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40"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July 1, 2016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Commission file number 1-8703</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40005</wp:posOffset>
            </wp:positionV>
            <wp:extent cx="1235075" cy="342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3"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214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33-0956711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80"/>
        </w:trPr>
        <w:tc>
          <w:tcPr>
            <w:tcW w:w="398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spacing w:after="0"/>
              <w:rPr>
                <w:sz w:val="15"/>
                <w:szCs w:val="15"/>
                <w:color w:val="auto"/>
              </w:rPr>
            </w:pPr>
          </w:p>
        </w:tc>
        <w:tc>
          <w:tcPr>
            <w:tcW w:w="220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96"/>
              </w:rPr>
              <w:t>(I.R.S. Employer</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6"/>
        </w:trPr>
        <w:tc>
          <w:tcPr>
            <w:tcW w:w="398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6"/>
              </w:rPr>
              <w:t>Incorporation or Organization</w:t>
            </w:r>
          </w:p>
        </w:tc>
        <w:tc>
          <w:tcPr>
            <w:tcW w:w="2920" w:type="dxa"/>
            <w:vAlign w:val="bottom"/>
          </w:tcPr>
          <w:p>
            <w:pPr>
              <w:spacing w:after="0"/>
              <w:rPr>
                <w:sz w:val="16"/>
                <w:szCs w:val="16"/>
                <w:color w:val="auto"/>
              </w:rPr>
            </w:pPr>
          </w:p>
        </w:tc>
        <w:tc>
          <w:tcPr>
            <w:tcW w:w="220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94"/>
              </w:rPr>
              <w:t>Identification No.)</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561"/>
        </w:trPr>
        <w:tc>
          <w:tcPr>
            <w:tcW w:w="3980" w:type="dxa"/>
            <w:vAlign w:val="bottom"/>
            <w:gridSpan w:val="3"/>
          </w:tcPr>
          <w:p>
            <w:pPr>
              <w:jc w:val="center"/>
              <w:ind w:left="677"/>
              <w:spacing w:after="0"/>
              <w:rPr>
                <w:sz w:val="20"/>
                <w:szCs w:val="20"/>
                <w:color w:val="auto"/>
              </w:rPr>
            </w:pPr>
            <w:r>
              <w:rPr>
                <w:rFonts w:ascii="Arial" w:cs="Arial" w:eastAsia="Arial" w:hAnsi="Arial"/>
                <w:sz w:val="18"/>
                <w:szCs w:val="18"/>
                <w:b w:val="1"/>
                <w:bCs w:val="1"/>
                <w:color w:val="auto"/>
                <w:w w:val="90"/>
              </w:rPr>
              <w:t>3355 Michelson Drive, Suite 100</w:t>
            </w:r>
          </w:p>
        </w:tc>
        <w:tc>
          <w:tcPr>
            <w:tcW w:w="2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4"/>
        </w:trPr>
        <w:tc>
          <w:tcPr>
            <w:tcW w:w="3980" w:type="dxa"/>
            <w:vAlign w:val="bottom"/>
            <w:gridSpan w:val="3"/>
          </w:tcPr>
          <w:p>
            <w:pPr>
              <w:jc w:val="center"/>
              <w:ind w:left="677"/>
              <w:spacing w:after="0"/>
              <w:rPr>
                <w:sz w:val="20"/>
                <w:szCs w:val="20"/>
                <w:color w:val="auto"/>
              </w:rPr>
            </w:pPr>
            <w:r>
              <w:rPr>
                <w:rFonts w:ascii="Arial" w:cs="Arial" w:eastAsia="Arial" w:hAnsi="Arial"/>
                <w:sz w:val="18"/>
                <w:szCs w:val="18"/>
                <w:b w:val="1"/>
                <w:bCs w:val="1"/>
                <w:color w:val="auto"/>
                <w:w w:val="94"/>
              </w:rPr>
              <w:t>Irvine, California</w:t>
            </w:r>
          </w:p>
        </w:tc>
        <w:tc>
          <w:tcPr>
            <w:tcW w:w="4640" w:type="dxa"/>
            <w:vAlign w:val="bottom"/>
            <w:gridSpan w:val="2"/>
          </w:tcPr>
          <w:p>
            <w:pPr>
              <w:jc w:val="right"/>
              <w:ind w:right="62"/>
              <w:spacing w:after="0"/>
              <w:rPr>
                <w:sz w:val="20"/>
                <w:szCs w:val="20"/>
                <w:color w:val="auto"/>
              </w:rPr>
            </w:pPr>
            <w:r>
              <w:rPr>
                <w:rFonts w:ascii="Arial" w:cs="Arial" w:eastAsia="Arial" w:hAnsi="Arial"/>
                <w:sz w:val="18"/>
                <w:szCs w:val="18"/>
                <w:b w:val="1"/>
                <w:bCs w:val="1"/>
                <w:color w:val="auto"/>
              </w:rPr>
              <w:t>92612</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8"/>
        </w:trPr>
        <w:tc>
          <w:tcPr>
            <w:tcW w:w="398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20" w:type="dxa"/>
            <w:vAlign w:val="bottom"/>
          </w:tcPr>
          <w:p>
            <w:pPr>
              <w:spacing w:after="0"/>
              <w:rPr>
                <w:sz w:val="18"/>
                <w:szCs w:val="18"/>
                <w:color w:val="auto"/>
              </w:rPr>
            </w:pPr>
          </w:p>
        </w:tc>
        <w:tc>
          <w:tcPr>
            <w:tcW w:w="1720" w:type="dxa"/>
            <w:vAlign w:val="bottom"/>
          </w:tcPr>
          <w:p>
            <w:pPr>
              <w:jc w:val="center"/>
              <w:ind w:left="902"/>
              <w:spacing w:after="0"/>
              <w:rPr>
                <w:sz w:val="20"/>
                <w:szCs w:val="20"/>
                <w:color w:val="auto"/>
              </w:rPr>
            </w:pPr>
            <w:r>
              <w:rPr>
                <w:rFonts w:ascii="Arial" w:cs="Arial" w:eastAsia="Arial" w:hAnsi="Arial"/>
                <w:sz w:val="14"/>
                <w:szCs w:val="14"/>
                <w:b w:val="1"/>
                <w:bCs w:val="1"/>
                <w:color w:val="auto"/>
                <w:w w:val="95"/>
              </w:rPr>
              <w:t>(Zip Code)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90"/>
        </w:trPr>
        <w:tc>
          <w:tcPr>
            <w:tcW w:w="1840" w:type="dxa"/>
            <w:vAlign w:val="bottom"/>
          </w:tcPr>
          <w:p>
            <w:pPr>
              <w:spacing w:after="0"/>
              <w:rPr>
                <w:sz w:val="24"/>
                <w:szCs w:val="24"/>
                <w:color w:val="auto"/>
              </w:rPr>
            </w:pPr>
          </w:p>
        </w:tc>
        <w:tc>
          <w:tcPr>
            <w:tcW w:w="6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(949) 672-7000</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78"/>
        </w:trPr>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00" w:type="dxa"/>
            <w:vAlign w:val="bottom"/>
            <w:gridSpan w:val="3"/>
          </w:tcPr>
          <w:p>
            <w:pPr>
              <w:jc w:val="center"/>
              <w:ind w:right="902"/>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6"/>
        </w:trPr>
        <w:tc>
          <w:tcPr>
            <w:tcW w:w="18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8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4"/>
        </w:trPr>
        <w:tc>
          <w:tcPr>
            <w:tcW w:w="3980" w:type="dxa"/>
            <w:vAlign w:val="bottom"/>
            <w:gridSpan w:val="3"/>
          </w:tcPr>
          <w:p>
            <w:pPr>
              <w:jc w:val="center"/>
              <w:ind w:left="677"/>
              <w:spacing w:after="0"/>
              <w:rPr>
                <w:sz w:val="20"/>
                <w:szCs w:val="20"/>
                <w:color w:val="auto"/>
              </w:rPr>
            </w:pPr>
            <w:r>
              <w:rPr>
                <w:rFonts w:ascii="Arial" w:cs="Arial" w:eastAsia="Arial" w:hAnsi="Arial"/>
                <w:sz w:val="18"/>
                <w:szCs w:val="18"/>
                <w:color w:val="auto"/>
                <w:w w:val="89"/>
              </w:rPr>
              <w:t>Common Stock, $.01 Par Value Per Share</w:t>
            </w:r>
          </w:p>
        </w:tc>
        <w:tc>
          <w:tcPr>
            <w:tcW w:w="2920" w:type="dxa"/>
            <w:vAlign w:val="bottom"/>
          </w:tcPr>
          <w:p>
            <w:pPr>
              <w:spacing w:after="0"/>
              <w:rPr>
                <w:sz w:val="22"/>
                <w:szCs w:val="22"/>
                <w:color w:val="auto"/>
              </w:rPr>
            </w:pPr>
          </w:p>
        </w:tc>
        <w:tc>
          <w:tcPr>
            <w:tcW w:w="2980" w:type="dxa"/>
            <w:vAlign w:val="bottom"/>
            <w:gridSpan w:val="5"/>
          </w:tcPr>
          <w:p>
            <w:pPr>
              <w:jc w:val="center"/>
              <w:ind w:right="300"/>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8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580" w:type="dxa"/>
            <w:vAlign w:val="bottom"/>
            <w:gridSpan w:val="3"/>
          </w:tcPr>
          <w:p>
            <w:pPr>
              <w:jc w:val="center"/>
              <w:ind w:left="42"/>
              <w:spacing w:after="0"/>
              <w:rPr>
                <w:sz w:val="20"/>
                <w:szCs w:val="20"/>
                <w:color w:val="auto"/>
              </w:rPr>
            </w:pPr>
            <w:r>
              <w:rPr>
                <w:rFonts w:ascii="Arial" w:cs="Arial" w:eastAsia="Arial" w:hAnsi="Arial"/>
                <w:sz w:val="18"/>
                <w:szCs w:val="18"/>
                <w:color w:val="auto"/>
                <w:w w:val="94"/>
              </w:rPr>
              <w:t>(NASDAQ Global Select Market)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387"/>
        </w:trPr>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00" w:type="dxa"/>
            <w:vAlign w:val="bottom"/>
            <w:gridSpan w:val="3"/>
          </w:tcPr>
          <w:p>
            <w:pPr>
              <w:jc w:val="center"/>
              <w:ind w:right="902"/>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0"/>
        </w:trPr>
        <w:tc>
          <w:tcPr>
            <w:tcW w:w="1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40" w:type="dxa"/>
            <w:vAlign w:val="bottom"/>
            <w:gridSpan w:val="2"/>
          </w:tcPr>
          <w:p>
            <w:pPr>
              <w:jc w:val="center"/>
              <w:ind w:right="1962"/>
              <w:spacing w:after="0"/>
              <w:rPr>
                <w:sz w:val="20"/>
                <w:szCs w:val="20"/>
                <w:color w:val="auto"/>
              </w:rPr>
            </w:pPr>
            <w:r>
              <w:rPr>
                <w:rFonts w:ascii="Arial" w:cs="Arial" w:eastAsia="Arial" w:hAnsi="Arial"/>
                <w:sz w:val="18"/>
                <w:szCs w:val="18"/>
                <w:b w:val="1"/>
                <w:bCs w:val="1"/>
                <w:color w:val="auto"/>
                <w:w w:val="88"/>
              </w:rPr>
              <w:t>None</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20" w:type="dxa"/>
            <w:vAlign w:val="bottom"/>
          </w:tcPr>
          <w:p>
            <w:pPr>
              <w:jc w:val="center"/>
              <w:ind w:right="250"/>
              <w:spacing w:after="0"/>
              <w:rPr>
                <w:sz w:val="20"/>
                <w:szCs w:val="20"/>
                <w:color w:val="auto"/>
              </w:rPr>
            </w:pPr>
            <w:r>
              <w:rPr>
                <w:rFonts w:ascii="Arial" w:cs="Arial" w:eastAsia="Arial" w:hAnsi="Arial"/>
                <w:sz w:val="18"/>
                <w:szCs w:val="18"/>
                <w:color w:val="auto"/>
                <w:w w:val="89"/>
              </w:rPr>
              <w:t>__________________________</w:t>
            </w: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98"/>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480" w:type="dxa"/>
            <w:vAlign w:val="bottom"/>
          </w:tcPr>
          <w:p>
            <w:pPr>
              <w:spacing w:after="0"/>
              <w:rPr>
                <w:sz w:val="20"/>
                <w:szCs w:val="20"/>
                <w:color w:val="auto"/>
              </w:rPr>
            </w:pPr>
            <w:r>
              <w:rPr>
                <w:rFonts w:ascii="Arial" w:cs="Arial" w:eastAsia="Arial" w:hAnsi="Arial"/>
                <w:sz w:val="18"/>
                <w:szCs w:val="18"/>
                <w:color w:val="auto"/>
              </w:rPr>
              <w:t>Yes x</w:t>
            </w:r>
          </w:p>
        </w:tc>
        <w:tc>
          <w:tcPr>
            <w:tcW w:w="380" w:type="dxa"/>
            <w:vAlign w:val="bottom"/>
          </w:tcPr>
          <w:p>
            <w:pPr>
              <w:ind w:left="140"/>
              <w:spacing w:after="0"/>
              <w:rPr>
                <w:sz w:val="20"/>
                <w:szCs w:val="20"/>
                <w:color w:val="auto"/>
              </w:rPr>
            </w:pPr>
            <w:r>
              <w:rPr>
                <w:rFonts w:ascii="Arial" w:cs="Arial" w:eastAsia="Arial" w:hAnsi="Arial"/>
                <w:sz w:val="18"/>
                <w:szCs w:val="18"/>
                <w:color w:val="auto"/>
                <w:w w:val="95"/>
              </w:rPr>
              <w:t>No</w:t>
            </w:r>
          </w:p>
        </w:tc>
        <w:tc>
          <w:tcPr>
            <w:tcW w:w="40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8"/>
                <w:szCs w:val="18"/>
                <w:color w:val="auto"/>
                <w:w w:val="96"/>
              </w:rPr>
              <w:t>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No x</w:t>
            </w:r>
          </w:p>
        </w:tc>
      </w:tr>
    </w:tbl>
    <w:p>
      <w:pPr>
        <w:spacing w:after="0" w:line="128"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8"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43"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84"/>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880" w:type="dxa"/>
            <w:vAlign w:val="bottom"/>
          </w:tcPr>
          <w:p>
            <w:pPr>
              <w:ind w:left="400"/>
              <w:spacing w:after="0"/>
              <w:rPr>
                <w:sz w:val="20"/>
                <w:szCs w:val="20"/>
                <w:color w:val="auto"/>
              </w:rPr>
            </w:pPr>
            <w:r>
              <w:rPr>
                <w:rFonts w:ascii="Arial" w:cs="Arial" w:eastAsia="Arial" w:hAnsi="Arial"/>
                <w:sz w:val="18"/>
                <w:szCs w:val="18"/>
                <w:color w:val="auto"/>
              </w:rPr>
              <w:t>x</w:t>
            </w:r>
          </w:p>
        </w:tc>
        <w:tc>
          <w:tcPr>
            <w:tcW w:w="256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7"/>
        </w:trPr>
        <w:tc>
          <w:tcPr>
            <w:tcW w:w="2020" w:type="dxa"/>
            <w:vAlign w:val="bottom"/>
          </w:tcPr>
          <w:p>
            <w:pPr>
              <w:spacing w:after="0"/>
              <w:rPr>
                <w:sz w:val="24"/>
                <w:szCs w:val="24"/>
                <w:color w:val="auto"/>
              </w:rPr>
            </w:pPr>
          </w:p>
        </w:tc>
        <w:tc>
          <w:tcPr>
            <w:tcW w:w="5880" w:type="dxa"/>
            <w:vAlign w:val="bottom"/>
            <w:vMerge w:val="restart"/>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60" w:type="dxa"/>
            <w:vAlign w:val="bottom"/>
          </w:tcPr>
          <w:p>
            <w:pPr>
              <w:ind w:left="680"/>
              <w:spacing w:after="0"/>
              <w:rPr>
                <w:sz w:val="20"/>
                <w:szCs w:val="20"/>
                <w:color w:val="auto"/>
              </w:rPr>
            </w:pPr>
            <w:r>
              <w:rPr>
                <w:rFonts w:ascii="Arial" w:cs="Arial" w:eastAsia="Arial" w:hAnsi="Arial"/>
                <w:sz w:val="18"/>
                <w:szCs w:val="18"/>
                <w:color w:val="auto"/>
              </w:rPr>
              <w:t>Smaller reporting</w:t>
            </w:r>
          </w:p>
        </w:tc>
        <w:tc>
          <w:tcPr>
            <w:tcW w:w="780" w:type="dxa"/>
            <w:vAlign w:val="bottom"/>
            <w:vMerge w:val="restart"/>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0"/>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5880" w:type="dxa"/>
            <w:vAlign w:val="bottom"/>
            <w:vMerge w:val="continue"/>
          </w:tcPr>
          <w:p>
            <w:pPr>
              <w:spacing w:after="0"/>
              <w:rPr>
                <w:sz w:val="21"/>
                <w:szCs w:val="21"/>
                <w:color w:val="auto"/>
              </w:rPr>
            </w:pPr>
          </w:p>
        </w:tc>
        <w:tc>
          <w:tcPr>
            <w:tcW w:w="2560" w:type="dxa"/>
            <w:vAlign w:val="bottom"/>
          </w:tcPr>
          <w:p>
            <w:pPr>
              <w:ind w:left="680"/>
              <w:spacing w:after="0"/>
              <w:rPr>
                <w:sz w:val="20"/>
                <w:szCs w:val="20"/>
                <w:color w:val="auto"/>
              </w:rPr>
            </w:pPr>
            <w:r>
              <w:rPr>
                <w:rFonts w:ascii="Arial" w:cs="Arial" w:eastAsia="Arial" w:hAnsi="Arial"/>
                <w:sz w:val="18"/>
                <w:szCs w:val="18"/>
                <w:color w:val="auto"/>
              </w:rPr>
              <w:t>company</w:t>
            </w: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7900" w:type="dxa"/>
            <w:vAlign w:val="bottom"/>
            <w:gridSpan w:val="2"/>
          </w:tcPr>
          <w:p>
            <w:pPr>
              <w:ind w:left="40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Act).</w:t>
            </w:r>
          </w:p>
        </w:tc>
        <w:tc>
          <w:tcPr>
            <w:tcW w:w="25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on December 31, 2015, the last business day of the registrant’s most recently completed second fiscal quarter, was $14 billion, based on the closing sale price as reported on the NASDAQ Global Select Market.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close of business on August 11, 2016, 284,264,636 shares of common stock, par value $.01 per share, were outstanding.</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Part III incorporates by reference certain information from the registrant’s definitive proxy statement (the “Proxy Statement”) for the 2016 Annual Meeting of Stockholders, which will be filed with the Securities and Exchange Commission within 120 days after the end of the 2016 fiscal year. Except with respect to information specifically incorporated by reference in this Form 10-K, the Proxy Statement is not deemed to be filed as part hereof.</w:t>
      </w:r>
    </w:p>
    <w:p>
      <w:pPr>
        <w:sectPr>
          <w:pgSz w:w="11900" w:h="16838" w:orient="portrait"/>
          <w:cols w:equalWidth="0" w:num="1">
            <w:col w:w="11380"/>
          </w:cols>
          <w:pgMar w:left="240" w:top="91"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00" w:type="dxa"/>
            <w:vAlign w:val="bottom"/>
            <w:gridSpan w:val="14"/>
          </w:tcPr>
          <w:p>
            <w:pPr>
              <w:jc w:val="center"/>
              <w:ind w:right="2300"/>
              <w:spacing w:after="0"/>
              <w:rPr>
                <w:sz w:val="20"/>
                <w:szCs w:val="20"/>
                <w:color w:val="auto"/>
              </w:rPr>
            </w:pPr>
            <w:r>
              <w:rPr>
                <w:rFonts w:ascii="Arial" w:cs="Arial" w:eastAsia="Arial" w:hAnsi="Arial"/>
                <w:sz w:val="18"/>
                <w:szCs w:val="18"/>
                <w:b w:val="1"/>
                <w:bCs w:val="1"/>
                <w:color w:val="auto"/>
              </w:rPr>
              <w:t>WESTERN DIGITAL CORPORATION</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0"/>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80" w:type="dxa"/>
            <w:vAlign w:val="bottom"/>
            <w:gridSpan w:val="16"/>
          </w:tcPr>
          <w:p>
            <w:pPr>
              <w:jc w:val="center"/>
              <w:ind w:right="1940"/>
              <w:spacing w:after="0"/>
              <w:rPr>
                <w:sz w:val="20"/>
                <w:szCs w:val="20"/>
                <w:color w:val="auto"/>
              </w:rPr>
            </w:pPr>
            <w:r>
              <w:rPr>
                <w:rFonts w:ascii="Arial" w:cs="Arial" w:eastAsia="Arial" w:hAnsi="Arial"/>
                <w:sz w:val="18"/>
                <w:szCs w:val="18"/>
                <w:b w:val="1"/>
                <w:bCs w:val="1"/>
                <w:color w:val="auto"/>
              </w:rPr>
              <w:t>INDEX TO ANNUAL REPORT ON FORM 10-K</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00" w:type="dxa"/>
            <w:vAlign w:val="bottom"/>
            <w:gridSpan w:val="14"/>
          </w:tcPr>
          <w:p>
            <w:pPr>
              <w:jc w:val="center"/>
              <w:ind w:right="2320"/>
              <w:spacing w:after="0"/>
              <w:rPr>
                <w:sz w:val="20"/>
                <w:szCs w:val="20"/>
                <w:color w:val="auto"/>
              </w:rPr>
            </w:pPr>
            <w:r>
              <w:rPr>
                <w:rFonts w:ascii="Arial" w:cs="Arial" w:eastAsia="Arial" w:hAnsi="Arial"/>
                <w:sz w:val="18"/>
                <w:szCs w:val="18"/>
                <w:b w:val="1"/>
                <w:bCs w:val="1"/>
                <w:color w:val="auto"/>
                <w:w w:val="91"/>
              </w:rPr>
              <w:t>For the Fiscal Year Ended July 1, 2016</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Page</w:t>
            </w: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80" w:type="dxa"/>
            <w:vAlign w:val="bottom"/>
            <w:gridSpan w:val="10"/>
          </w:tcPr>
          <w:p>
            <w:pPr>
              <w:jc w:val="center"/>
              <w:ind w:right="410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2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Item 1. Business</w:t>
              </w:r>
            </w:hyperlink>
          </w:p>
        </w:tc>
        <w:tc>
          <w:tcPr>
            <w:tcW w:w="3900" w:type="dxa"/>
            <w:vAlign w:val="bottom"/>
            <w:gridSpan w:val="16"/>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4100" w:type="dxa"/>
            <w:vAlign w:val="bottom"/>
            <w:gridSpan w:val="9"/>
          </w:tcPr>
          <w:p>
            <w:pPr>
              <w:spacing w:after="0"/>
              <w:rPr>
                <w:sz w:val="21"/>
                <w:szCs w:val="21"/>
                <w:color w:val="auto"/>
              </w:rPr>
            </w:pPr>
          </w:p>
        </w:tc>
        <w:tc>
          <w:tcPr>
            <w:tcW w:w="1480" w:type="dxa"/>
            <w:vAlign w:val="bottom"/>
            <w:gridSpan w:val="5"/>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372"/>
        </w:trPr>
        <w:tc>
          <w:tcPr>
            <w:tcW w:w="9780" w:type="dxa"/>
            <w:vAlign w:val="bottom"/>
            <w:gridSpan w:val="2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1A. Risk Factors</w:t>
              </w:r>
            </w:hyperlink>
          </w:p>
        </w:tc>
        <w:tc>
          <w:tcPr>
            <w:tcW w:w="1580" w:type="dxa"/>
            <w:vAlign w:val="bottom"/>
            <w:gridSpan w:val="6"/>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72"/>
        </w:trPr>
        <w:tc>
          <w:tcPr>
            <w:tcW w:w="2720" w:type="dxa"/>
            <w:vAlign w:val="bottom"/>
            <w:gridSpan w:val="11"/>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1B. Unresolved Staff Comments</w:t>
              </w:r>
            </w:hyperlink>
          </w:p>
        </w:tc>
        <w:tc>
          <w:tcPr>
            <w:tcW w:w="7060" w:type="dxa"/>
            <w:vAlign w:val="bottom"/>
            <w:gridSpan w:val="17"/>
          </w:tcPr>
          <w:p>
            <w:pPr>
              <w:spacing w:after="0"/>
              <w:rPr>
                <w:sz w:val="24"/>
                <w:szCs w:val="24"/>
                <w:color w:val="auto"/>
              </w:rPr>
            </w:pPr>
          </w:p>
        </w:tc>
        <w:tc>
          <w:tcPr>
            <w:tcW w:w="1580" w:type="dxa"/>
            <w:vAlign w:val="bottom"/>
            <w:gridSpan w:val="6"/>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72"/>
        </w:trPr>
        <w:tc>
          <w:tcPr>
            <w:tcW w:w="1280" w:type="dxa"/>
            <w:vAlign w:val="bottom"/>
            <w:gridSpan w:val="3"/>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Item 2. Properties</w:t>
              </w:r>
            </w:hyperlink>
          </w:p>
        </w:tc>
        <w:tc>
          <w:tcPr>
            <w:tcW w:w="1440" w:type="dxa"/>
            <w:vAlign w:val="bottom"/>
            <w:gridSpan w:val="8"/>
          </w:tcPr>
          <w:p>
            <w:pPr>
              <w:spacing w:after="0"/>
              <w:rPr>
                <w:sz w:val="24"/>
                <w:szCs w:val="24"/>
                <w:color w:val="auto"/>
              </w:rPr>
            </w:pPr>
          </w:p>
        </w:tc>
        <w:tc>
          <w:tcPr>
            <w:tcW w:w="7060" w:type="dxa"/>
            <w:vAlign w:val="bottom"/>
            <w:gridSpan w:val="17"/>
          </w:tcPr>
          <w:p>
            <w:pPr>
              <w:spacing w:after="0"/>
              <w:rPr>
                <w:sz w:val="24"/>
                <w:szCs w:val="24"/>
                <w:color w:val="auto"/>
              </w:rPr>
            </w:pPr>
          </w:p>
        </w:tc>
        <w:tc>
          <w:tcPr>
            <w:tcW w:w="1580" w:type="dxa"/>
            <w:vAlign w:val="bottom"/>
            <w:gridSpan w:val="6"/>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72"/>
        </w:trPr>
        <w:tc>
          <w:tcPr>
            <w:tcW w:w="9780" w:type="dxa"/>
            <w:vAlign w:val="bottom"/>
            <w:gridSpan w:val="2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 Legal Proceedings</w:t>
              </w:r>
            </w:hyperlink>
          </w:p>
        </w:tc>
        <w:tc>
          <w:tcPr>
            <w:tcW w:w="1580" w:type="dxa"/>
            <w:vAlign w:val="bottom"/>
            <w:gridSpan w:val="6"/>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72"/>
        </w:trPr>
        <w:tc>
          <w:tcPr>
            <w:tcW w:w="9780" w:type="dxa"/>
            <w:vAlign w:val="bottom"/>
            <w:gridSpan w:val="2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4. Mine Safety Disclosures</w:t>
              </w:r>
            </w:hyperlink>
          </w:p>
        </w:tc>
        <w:tc>
          <w:tcPr>
            <w:tcW w:w="1580" w:type="dxa"/>
            <w:vAlign w:val="bottom"/>
            <w:gridSpan w:val="6"/>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372"/>
        </w:trPr>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w:t>
              </w:r>
            </w:hyperlink>
          </w:p>
        </w:tc>
        <w:tc>
          <w:tcPr>
            <w:tcW w:w="4060" w:type="dxa"/>
            <w:vAlign w:val="bottom"/>
            <w:gridSpan w:val="8"/>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780" w:type="dxa"/>
            <w:vAlign w:val="bottom"/>
            <w:gridSpan w:val="2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5. Market for Registrant’s Common Equity, Related Stockholder Matters and Issuer Purchases of Equity Securities</w:t>
              </w:r>
            </w:hyperlink>
          </w:p>
        </w:tc>
        <w:tc>
          <w:tcPr>
            <w:tcW w:w="1580" w:type="dxa"/>
            <w:vAlign w:val="bottom"/>
            <w:gridSpan w:val="6"/>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72"/>
        </w:trPr>
        <w:tc>
          <w:tcPr>
            <w:tcW w:w="2260" w:type="dxa"/>
            <w:vAlign w:val="bottom"/>
            <w:gridSpan w:val="7"/>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Item 6. Selected Financial Data</w:t>
              </w:r>
            </w:hyperlink>
          </w:p>
        </w:tc>
        <w:tc>
          <w:tcPr>
            <w:tcW w:w="6360" w:type="dxa"/>
            <w:vAlign w:val="bottom"/>
            <w:gridSpan w:val="20"/>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gridSpan w:val="6"/>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72"/>
        </w:trPr>
        <w:tc>
          <w:tcPr>
            <w:tcW w:w="9780" w:type="dxa"/>
            <w:vAlign w:val="bottom"/>
            <w:gridSpan w:val="2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7. Management’s Discussion and Analysis of Financial Condition and Results of Operations</w:t>
              </w:r>
            </w:hyperlink>
          </w:p>
        </w:tc>
        <w:tc>
          <w:tcPr>
            <w:tcW w:w="1580" w:type="dxa"/>
            <w:vAlign w:val="bottom"/>
            <w:gridSpan w:val="6"/>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72"/>
        </w:trPr>
        <w:tc>
          <w:tcPr>
            <w:tcW w:w="5060" w:type="dxa"/>
            <w:vAlign w:val="bottom"/>
            <w:gridSpan w:val="17"/>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Item 7A. Quantitative and Qualitative Disclosures About Market Risk</w:t>
              </w:r>
            </w:hyperlink>
          </w:p>
        </w:tc>
        <w:tc>
          <w:tcPr>
            <w:tcW w:w="1940" w:type="dxa"/>
            <w:vAlign w:val="bottom"/>
            <w:gridSpan w:val="7"/>
          </w:tcPr>
          <w:p>
            <w:pPr>
              <w:spacing w:after="0"/>
              <w:rPr>
                <w:sz w:val="24"/>
                <w:szCs w:val="24"/>
                <w:color w:val="auto"/>
              </w:rPr>
            </w:pPr>
          </w:p>
        </w:tc>
        <w:tc>
          <w:tcPr>
            <w:tcW w:w="2780" w:type="dxa"/>
            <w:vAlign w:val="bottom"/>
            <w:gridSpan w:val="4"/>
          </w:tcPr>
          <w:p>
            <w:pPr>
              <w:spacing w:after="0"/>
              <w:rPr>
                <w:sz w:val="24"/>
                <w:szCs w:val="24"/>
                <w:color w:val="auto"/>
              </w:rPr>
            </w:pPr>
          </w:p>
        </w:tc>
        <w:tc>
          <w:tcPr>
            <w:tcW w:w="1580" w:type="dxa"/>
            <w:vAlign w:val="bottom"/>
            <w:gridSpan w:val="6"/>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72"/>
        </w:trPr>
        <w:tc>
          <w:tcPr>
            <w:tcW w:w="3880" w:type="dxa"/>
            <w:vAlign w:val="bottom"/>
            <w:gridSpan w:val="14"/>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Item 8. Financial Statements and Supplementary Data</w:t>
              </w:r>
            </w:hyperlink>
          </w:p>
        </w:tc>
        <w:tc>
          <w:tcPr>
            <w:tcW w:w="1180" w:type="dxa"/>
            <w:vAlign w:val="bottom"/>
            <w:gridSpan w:val="3"/>
          </w:tcPr>
          <w:p>
            <w:pPr>
              <w:spacing w:after="0"/>
              <w:rPr>
                <w:sz w:val="24"/>
                <w:szCs w:val="24"/>
                <w:color w:val="auto"/>
              </w:rPr>
            </w:pPr>
          </w:p>
        </w:tc>
        <w:tc>
          <w:tcPr>
            <w:tcW w:w="4720" w:type="dxa"/>
            <w:vAlign w:val="bottom"/>
            <w:gridSpan w:val="11"/>
          </w:tcPr>
          <w:p>
            <w:pPr>
              <w:spacing w:after="0"/>
              <w:rPr>
                <w:sz w:val="24"/>
                <w:szCs w:val="24"/>
                <w:color w:val="auto"/>
              </w:rPr>
            </w:pPr>
          </w:p>
        </w:tc>
        <w:tc>
          <w:tcPr>
            <w:tcW w:w="1580" w:type="dxa"/>
            <w:vAlign w:val="bottom"/>
            <w:gridSpan w:val="6"/>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72"/>
        </w:trPr>
        <w:tc>
          <w:tcPr>
            <w:tcW w:w="9780" w:type="dxa"/>
            <w:vAlign w:val="bottom"/>
            <w:gridSpan w:val="28"/>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Item 9. Changes in and Disagreements with Accountants on Accounting and Financial Disclosure</w:t>
              </w:r>
            </w:hyperlink>
          </w:p>
        </w:tc>
        <w:tc>
          <w:tcPr>
            <w:tcW w:w="1580" w:type="dxa"/>
            <w:vAlign w:val="bottom"/>
            <w:gridSpan w:val="6"/>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123</w:t>
              </w:r>
            </w:hyperlink>
          </w:p>
        </w:tc>
      </w:tr>
      <w:tr>
        <w:trPr>
          <w:trHeight w:val="372"/>
        </w:trPr>
        <w:tc>
          <w:tcPr>
            <w:tcW w:w="24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Item 9A. Controls and Procedures</w:t>
              </w:r>
            </w:hyperlink>
          </w:p>
        </w:tc>
        <w:tc>
          <w:tcPr>
            <w:tcW w:w="4560" w:type="dxa"/>
            <w:vAlign w:val="bottom"/>
            <w:tcBorders>
              <w:top w:val="single" w:sz="8" w:color="0000EE"/>
            </w:tcBorders>
            <w:gridSpan w:val="15"/>
          </w:tcPr>
          <w:p>
            <w:pPr>
              <w:spacing w:after="0"/>
              <w:rPr>
                <w:sz w:val="24"/>
                <w:szCs w:val="24"/>
                <w:color w:val="auto"/>
              </w:rPr>
            </w:pPr>
          </w:p>
        </w:tc>
        <w:tc>
          <w:tcPr>
            <w:tcW w:w="2760" w:type="dxa"/>
            <w:vAlign w:val="bottom"/>
            <w:gridSpan w:val="3"/>
          </w:tcPr>
          <w:p>
            <w:pPr>
              <w:spacing w:after="0"/>
              <w:rPr>
                <w:sz w:val="24"/>
                <w:szCs w:val="24"/>
                <w:color w:val="auto"/>
              </w:rPr>
            </w:pPr>
          </w:p>
        </w:tc>
        <w:tc>
          <w:tcPr>
            <w:tcW w:w="1300" w:type="dxa"/>
            <w:vAlign w:val="bottom"/>
            <w:gridSpan w:val="2"/>
          </w:tcPr>
          <w:p>
            <w:pPr>
              <w:spacing w:after="0"/>
              <w:rPr>
                <w:sz w:val="24"/>
                <w:szCs w:val="24"/>
                <w:color w:val="auto"/>
              </w:rPr>
            </w:pPr>
          </w:p>
        </w:tc>
        <w:tc>
          <w:tcPr>
            <w:tcW w:w="28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123</w:t>
              </w:r>
            </w:hyperlink>
          </w:p>
        </w:tc>
      </w:tr>
      <w:tr>
        <w:trPr>
          <w:trHeight w:val="372"/>
        </w:trPr>
        <w:tc>
          <w:tcPr>
            <w:tcW w:w="9780" w:type="dxa"/>
            <w:vAlign w:val="bottom"/>
            <w:gridSpan w:val="28"/>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Item 9B. Other Information</w:t>
              </w:r>
            </w:hyperlink>
          </w:p>
        </w:tc>
        <w:tc>
          <w:tcPr>
            <w:tcW w:w="1580" w:type="dxa"/>
            <w:vAlign w:val="bottom"/>
            <w:gridSpan w:val="6"/>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123</w:t>
              </w:r>
            </w:hyperlink>
          </w:p>
        </w:tc>
      </w:tr>
      <w:tr>
        <w:trPr>
          <w:trHeight w:val="372"/>
        </w:trPr>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PART III</w:t>
              </w:r>
            </w:hyperlink>
          </w:p>
        </w:tc>
        <w:tc>
          <w:tcPr>
            <w:tcW w:w="4020" w:type="dxa"/>
            <w:vAlign w:val="bottom"/>
            <w:gridSpan w:val="6"/>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47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26">
              <w:r>
                <w:rPr>
                  <w:rFonts w:ascii="Arial" w:cs="Arial" w:eastAsia="Arial" w:hAnsi="Arial"/>
                  <w:sz w:val="18"/>
                  <w:szCs w:val="18"/>
                  <w:color w:val="0000EE"/>
                  <w:w w:val="90"/>
                </w:rPr>
                <w:t>Item 10. Directors, Executive Officers and Corporate Governance</w:t>
              </w:r>
            </w:hyperlink>
          </w:p>
        </w:tc>
        <w:tc>
          <w:tcPr>
            <w:tcW w:w="5040" w:type="dxa"/>
            <w:vAlign w:val="bottom"/>
            <w:gridSpan w:val="13"/>
          </w:tcPr>
          <w:p>
            <w:pPr>
              <w:spacing w:after="0"/>
              <w:rPr>
                <w:sz w:val="21"/>
                <w:szCs w:val="21"/>
                <w:color w:val="auto"/>
              </w:rPr>
            </w:pPr>
          </w:p>
        </w:tc>
        <w:tc>
          <w:tcPr>
            <w:tcW w:w="130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124</w:t>
              </w:r>
            </w:hyperlink>
          </w:p>
        </w:tc>
      </w:tr>
      <w:tr>
        <w:trPr>
          <w:trHeight w:val="372"/>
        </w:trPr>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26">
              <w:r>
                <w:rPr>
                  <w:rFonts w:ascii="Arial" w:cs="Arial" w:eastAsia="Arial" w:hAnsi="Arial"/>
                  <w:sz w:val="18"/>
                  <w:szCs w:val="18"/>
                  <w:color w:val="0000EE"/>
                  <w:w w:val="89"/>
                </w:rPr>
                <w:t>Item 11. Executive Compensation</w:t>
              </w:r>
            </w:hyperlink>
          </w:p>
        </w:tc>
        <w:tc>
          <w:tcPr>
            <w:tcW w:w="7340" w:type="dxa"/>
            <w:vAlign w:val="bottom"/>
            <w:gridSpan w:val="19"/>
          </w:tcPr>
          <w:p>
            <w:pPr>
              <w:spacing w:after="0"/>
              <w:rPr>
                <w:sz w:val="24"/>
                <w:szCs w:val="24"/>
                <w:color w:val="auto"/>
              </w:rPr>
            </w:pPr>
          </w:p>
        </w:tc>
        <w:tc>
          <w:tcPr>
            <w:tcW w:w="1300" w:type="dxa"/>
            <w:vAlign w:val="bottom"/>
            <w:gridSpan w:val="2"/>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124</w:t>
              </w:r>
            </w:hyperlink>
          </w:p>
        </w:tc>
      </w:tr>
      <w:tr>
        <w:trPr>
          <w:trHeight w:val="372"/>
        </w:trPr>
        <w:tc>
          <w:tcPr>
            <w:tcW w:w="794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126">
              <w:r>
                <w:rPr>
                  <w:rFonts w:ascii="Arial" w:cs="Arial" w:eastAsia="Arial" w:hAnsi="Arial"/>
                  <w:sz w:val="18"/>
                  <w:szCs w:val="18"/>
                  <w:color w:val="0000EE"/>
                  <w:w w:val="90"/>
                </w:rPr>
                <w:t>Item 12. Security Ownership of Certain Beneficial Owners and Management and Related Stockholder Matters</w:t>
              </w:r>
            </w:hyperlink>
          </w:p>
        </w:tc>
        <w:tc>
          <w:tcPr>
            <w:tcW w:w="1840" w:type="dxa"/>
            <w:vAlign w:val="bottom"/>
            <w:gridSpan w:val="2"/>
          </w:tcPr>
          <w:p>
            <w:pPr>
              <w:spacing w:after="0"/>
              <w:rPr>
                <w:sz w:val="24"/>
                <w:szCs w:val="24"/>
                <w:color w:val="auto"/>
              </w:rPr>
            </w:pPr>
          </w:p>
        </w:tc>
        <w:tc>
          <w:tcPr>
            <w:tcW w:w="1300" w:type="dxa"/>
            <w:vAlign w:val="bottom"/>
            <w:gridSpan w:val="2"/>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124</w:t>
              </w:r>
            </w:hyperlink>
          </w:p>
        </w:tc>
      </w:tr>
      <w:tr>
        <w:trPr>
          <w:trHeight w:val="372"/>
        </w:trPr>
        <w:tc>
          <w:tcPr>
            <w:tcW w:w="9780" w:type="dxa"/>
            <w:vAlign w:val="bottom"/>
            <w:gridSpan w:val="28"/>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Item 13. Certain Relationships and Related Transactions and Director Independence</w:t>
              </w:r>
            </w:hyperlink>
          </w:p>
        </w:tc>
        <w:tc>
          <w:tcPr>
            <w:tcW w:w="1580" w:type="dxa"/>
            <w:vAlign w:val="bottom"/>
            <w:gridSpan w:val="6"/>
          </w:tcPr>
          <w:p>
            <w:pPr>
              <w:jc w:val="right"/>
              <w:spacing w:after="0"/>
              <w:rPr>
                <w:rFonts w:ascii="Arial" w:cs="Arial" w:eastAsia="Arial" w:hAnsi="Arial"/>
                <w:sz w:val="18"/>
                <w:szCs w:val="18"/>
                <w:color w:val="0000EE"/>
              </w:rPr>
            </w:pPr>
            <w:hyperlink w:anchor="page126">
              <w:r>
                <w:rPr>
                  <w:rFonts w:ascii="Arial" w:cs="Arial" w:eastAsia="Arial" w:hAnsi="Arial"/>
                  <w:sz w:val="18"/>
                  <w:szCs w:val="18"/>
                  <w:color w:val="0000EE"/>
                </w:rPr>
                <w:t>124</w:t>
              </w:r>
            </w:hyperlink>
          </w:p>
        </w:tc>
      </w:tr>
      <w:tr>
        <w:trPr>
          <w:trHeight w:val="372"/>
        </w:trPr>
        <w:tc>
          <w:tcPr>
            <w:tcW w:w="6040" w:type="dxa"/>
            <w:vAlign w:val="bottom"/>
            <w:tcBorders>
              <w:top w:val="single" w:sz="8" w:color="0000EE"/>
            </w:tcBorders>
            <w:gridSpan w:val="23"/>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Item 14. Principal Accountant Fees and Services</w:t>
              </w:r>
            </w:hyperlink>
          </w:p>
        </w:tc>
        <w:tc>
          <w:tcPr>
            <w:tcW w:w="3740" w:type="dxa"/>
            <w:vAlign w:val="bottom"/>
            <w:gridSpan w:val="5"/>
          </w:tcPr>
          <w:p>
            <w:pPr>
              <w:spacing w:after="0"/>
              <w:rPr>
                <w:sz w:val="24"/>
                <w:szCs w:val="24"/>
                <w:color w:val="auto"/>
              </w:rPr>
            </w:pPr>
          </w:p>
        </w:tc>
        <w:tc>
          <w:tcPr>
            <w:tcW w:w="1300" w:type="dxa"/>
            <w:vAlign w:val="bottom"/>
            <w:gridSpan w:val="2"/>
          </w:tcPr>
          <w:p>
            <w:pPr>
              <w:spacing w:after="0"/>
              <w:rPr>
                <w:sz w:val="24"/>
                <w:szCs w:val="24"/>
                <w:color w:val="auto"/>
              </w:rPr>
            </w:pPr>
          </w:p>
        </w:tc>
        <w:tc>
          <w:tcPr>
            <w:tcW w:w="280" w:type="dxa"/>
            <w:vAlign w:val="bottom"/>
            <w:tcBorders>
              <w:top w:val="single" w:sz="8" w:color="0000EE"/>
            </w:tcBorders>
            <w:gridSpan w:val="4"/>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124</w:t>
              </w:r>
            </w:hyperlink>
          </w:p>
        </w:tc>
      </w:tr>
      <w:tr>
        <w:trPr>
          <w:trHeight w:val="372"/>
        </w:trPr>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20" w:type="dxa"/>
            <w:vAlign w:val="bottom"/>
            <w:gridSpan w:val="11"/>
          </w:tcPr>
          <w:p>
            <w:pPr>
              <w:jc w:val="center"/>
              <w:ind w:right="4040"/>
              <w:spacing w:after="0"/>
              <w:rPr>
                <w:rFonts w:ascii="Arial" w:cs="Arial" w:eastAsia="Arial" w:hAnsi="Arial"/>
                <w:sz w:val="18"/>
                <w:szCs w:val="18"/>
                <w:b w:val="1"/>
                <w:bCs w:val="1"/>
                <w:color w:val="0000EE"/>
                <w:w w:val="95"/>
              </w:rPr>
            </w:pPr>
            <w:hyperlink w:anchor="page126">
              <w:r>
                <w:rPr>
                  <w:rFonts w:ascii="Arial" w:cs="Arial" w:eastAsia="Arial" w:hAnsi="Arial"/>
                  <w:sz w:val="18"/>
                  <w:szCs w:val="18"/>
                  <w:b w:val="1"/>
                  <w:bCs w:val="1"/>
                  <w:color w:val="0000EE"/>
                  <w:w w:val="95"/>
                </w:rPr>
                <w:t>PART IV</w:t>
              </w:r>
            </w:hyperlink>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38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26">
              <w:r>
                <w:rPr>
                  <w:rFonts w:ascii="Arial" w:cs="Arial" w:eastAsia="Arial" w:hAnsi="Arial"/>
                  <w:sz w:val="18"/>
                  <w:szCs w:val="18"/>
                  <w:color w:val="0000EE"/>
                  <w:w w:val="89"/>
                </w:rPr>
                <w:t>Item 15. Exhibits and Financial Statement Schedules</w:t>
              </w:r>
            </w:hyperlink>
          </w:p>
        </w:tc>
        <w:tc>
          <w:tcPr>
            <w:tcW w:w="1260" w:type="dxa"/>
            <w:vAlign w:val="bottom"/>
            <w:gridSpan w:val="4"/>
          </w:tcPr>
          <w:p>
            <w:pPr>
              <w:spacing w:after="0"/>
              <w:rPr>
                <w:sz w:val="21"/>
                <w:szCs w:val="21"/>
                <w:color w:val="auto"/>
              </w:rPr>
            </w:pPr>
          </w:p>
        </w:tc>
        <w:tc>
          <w:tcPr>
            <w:tcW w:w="680" w:type="dxa"/>
            <w:vAlign w:val="bottom"/>
            <w:tcBorders>
              <w:top w:val="single" w:sz="8" w:color="0000EE"/>
            </w:tcBorders>
            <w:gridSpan w:val="4"/>
          </w:tcPr>
          <w:p>
            <w:pPr>
              <w:spacing w:after="0"/>
              <w:rPr>
                <w:sz w:val="21"/>
                <w:szCs w:val="21"/>
                <w:color w:val="auto"/>
              </w:rPr>
            </w:pPr>
          </w:p>
        </w:tc>
        <w:tc>
          <w:tcPr>
            <w:tcW w:w="4040" w:type="dxa"/>
            <w:vAlign w:val="bottom"/>
            <w:gridSpan w:val="7"/>
          </w:tcPr>
          <w:p>
            <w:pPr>
              <w:spacing w:after="0"/>
              <w:rPr>
                <w:sz w:val="21"/>
                <w:szCs w:val="21"/>
                <w:color w:val="auto"/>
              </w:rPr>
            </w:pPr>
          </w:p>
        </w:tc>
        <w:tc>
          <w:tcPr>
            <w:tcW w:w="130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124</w:t>
              </w:r>
            </w:hyperlink>
          </w:p>
        </w:tc>
      </w:tr>
      <w:tr>
        <w:trPr>
          <w:trHeight w:val="372"/>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128">
              <w:r>
                <w:rPr>
                  <w:rFonts w:ascii="Arial" w:cs="Arial" w:eastAsia="Arial" w:hAnsi="Arial"/>
                  <w:sz w:val="18"/>
                  <w:szCs w:val="18"/>
                  <w:color w:val="0000EE"/>
                  <w:w w:val="85"/>
                </w:rPr>
                <w:t>Signatures</w:t>
              </w:r>
            </w:hyperlink>
          </w:p>
        </w:tc>
        <w:tc>
          <w:tcPr>
            <w:tcW w:w="9020" w:type="dxa"/>
            <w:vAlign w:val="bottom"/>
            <w:gridSpan w:val="27"/>
          </w:tcPr>
          <w:p>
            <w:pPr>
              <w:spacing w:after="0"/>
              <w:rPr>
                <w:sz w:val="24"/>
                <w:szCs w:val="24"/>
                <w:color w:val="auto"/>
              </w:rPr>
            </w:pPr>
          </w:p>
        </w:tc>
        <w:tc>
          <w:tcPr>
            <w:tcW w:w="1300" w:type="dxa"/>
            <w:vAlign w:val="bottom"/>
            <w:gridSpan w:val="2"/>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126</w:t>
              </w:r>
            </w:hyperlink>
          </w:p>
        </w:tc>
      </w:tr>
    </w:tbl>
    <w:p>
      <w:pPr>
        <w:spacing w:after="0" w:line="14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7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3355 Michelson Drive, Suite 100, Irvine, California 92612. Our telephone number is (949) 672-7000, and our website is www.westerndigital.com. The information on our website is not incorporated in this Annual Report on Form 10-K.</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Western Digital, WD, the WD logo, the HGST logo, SanDisk and G-Technology are registered trademarks or trademarks of Western Digital or its affiliates in the U.S. and/or other countries. All other trademarks, registered trademarks and/or service marks, indicated or otherwise, are the property of their respective owners.</w:t>
      </w:r>
    </w:p>
    <w:p>
      <w:pPr>
        <w:sectPr>
          <w:pgSz w:w="11900" w:h="16838" w:orient="portrait"/>
          <w:cols w:equalWidth="0" w:num="1">
            <w:col w:w="11400"/>
          </w:cols>
          <w:pgMar w:left="240" w:top="121"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80" w:lineRule="exact"/>
        <w:rPr>
          <w:sz w:val="20"/>
          <w:szCs w:val="20"/>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concerning the anticipated benefits of our acquisition of SanDisk Corporation;</w:t>
      </w:r>
    </w:p>
    <w:p>
      <w:pPr>
        <w:spacing w:after="0" w:line="117" w:lineRule="exact"/>
        <w:rPr>
          <w:rFonts w:ascii="Arial" w:cs="Arial" w:eastAsia="Arial" w:hAnsi="Arial"/>
          <w:sz w:val="18"/>
          <w:szCs w:val="18"/>
          <w:color w:val="auto"/>
        </w:rPr>
      </w:pPr>
    </w:p>
    <w:p>
      <w:pPr>
        <w:ind w:left="1460" w:right="440" w:hanging="736"/>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integration of our HGST and WD subsidiaries following the decision by the Ministry of Commerce of the People’s Republic of China in October 2015;</w:t>
      </w:r>
    </w:p>
    <w:p>
      <w:pPr>
        <w:spacing w:after="0" w:line="62"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growth of digital data and demand for digital storage;</w:t>
      </w:r>
    </w:p>
    <w:p>
      <w:pPr>
        <w:spacing w:after="0" w:line="117"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business strategy, our ability to execute that strategy and its intended benefits;</w:t>
      </w:r>
    </w:p>
    <w:p>
      <w:pPr>
        <w:spacing w:after="0" w:line="117" w:lineRule="exact"/>
        <w:rPr>
          <w:rFonts w:ascii="Arial" w:cs="Arial" w:eastAsia="Arial" w:hAnsi="Arial"/>
          <w:sz w:val="18"/>
          <w:szCs w:val="18"/>
          <w:i w:val="1"/>
          <w:iCs w:val="1"/>
          <w:color w:val="auto"/>
        </w:rPr>
      </w:pPr>
    </w:p>
    <w:p>
      <w:pPr>
        <w:ind w:left="1460" w:hanging="736"/>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with respect to relationships with our customers, employees, suppliers and strategic partners;</w:t>
      </w:r>
    </w:p>
    <w:p>
      <w:pPr>
        <w:spacing w:after="0" w:line="117" w:lineRule="exact"/>
        <w:rPr>
          <w:rFonts w:ascii="Arial" w:cs="Arial" w:eastAsia="Arial" w:hAnsi="Arial"/>
          <w:sz w:val="18"/>
          <w:szCs w:val="18"/>
          <w:i w:val="1"/>
          <w:iCs w:val="1"/>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plans to develop and invest in new products and expand into new storage markets and into emerging economic markets;</w:t>
      </w:r>
    </w:p>
    <w:p>
      <w:pPr>
        <w:spacing w:after="0" w:line="117"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personal computer market and the emergence of new storage markets for our products;</w:t>
      </w:r>
    </w:p>
    <w:p>
      <w:pPr>
        <w:spacing w:after="0" w:line="117"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amount and timing of charges and cash expenditures associated with our restructuring activities;</w:t>
      </w:r>
    </w:p>
    <w:p>
      <w:pPr>
        <w:spacing w:after="0" w:line="117"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w:t>
      </w:r>
    </w:p>
    <w:p>
      <w:pPr>
        <w:spacing w:after="0" w:line="117"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outcome of legal proceedings in which we are involved;</w:t>
      </w:r>
    </w:p>
    <w:p>
      <w:pPr>
        <w:spacing w:after="0" w:line="117"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repatriation of funds from our foreign operations;</w:t>
      </w:r>
    </w:p>
    <w:p>
      <w:pPr>
        <w:spacing w:after="0" w:line="117" w:lineRule="exact"/>
        <w:rPr>
          <w:rFonts w:ascii="Arial" w:cs="Arial" w:eastAsia="Arial" w:hAnsi="Arial"/>
          <w:sz w:val="18"/>
          <w:szCs w:val="18"/>
          <w:color w:val="auto"/>
        </w:rPr>
      </w:pPr>
    </w:p>
    <w:p>
      <w:pPr>
        <w:ind w:left="1460" w:right="100" w:hanging="736"/>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spacing w:after="0" w:line="62"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capital investments and sources of funding for those investments;</w:t>
      </w:r>
    </w:p>
    <w:p>
      <w:pPr>
        <w:spacing w:after="0" w:line="117" w:lineRule="exact"/>
        <w:rPr>
          <w:rFonts w:ascii="Arial" w:cs="Arial" w:eastAsia="Arial" w:hAnsi="Arial"/>
          <w:sz w:val="18"/>
          <w:szCs w:val="18"/>
          <w:i w:val="1"/>
          <w:iCs w:val="1"/>
          <w:color w:val="auto"/>
        </w:rPr>
      </w:pPr>
    </w:p>
    <w:p>
      <w:pPr>
        <w:ind w:left="1460" w:right="100" w:hanging="736"/>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the sufficiency of our available liquidity to meet our working capital, debt, dividend and capital expenditure needs; and</w:t>
      </w:r>
    </w:p>
    <w:p>
      <w:pPr>
        <w:spacing w:after="0" w:line="62" w:lineRule="exact"/>
        <w:rPr>
          <w:rFonts w:ascii="Arial" w:cs="Arial" w:eastAsia="Arial" w:hAnsi="Arial"/>
          <w:sz w:val="18"/>
          <w:szCs w:val="18"/>
          <w:color w:val="auto"/>
        </w:rPr>
      </w:pPr>
    </w:p>
    <w:p>
      <w:pPr>
        <w:ind w:left="1460" w:hanging="723"/>
        <w:spacing w:after="0"/>
        <w:tabs>
          <w:tab w:leader="none" w:pos="146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debt financing plans.</w:t>
      </w:r>
    </w:p>
    <w:p>
      <w:pPr>
        <w:spacing w:after="0" w:line="171"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 Item 1A of this Annual Report on Form 10-K,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Western Digital is a leading developer, manufacturer and provider of data storage devices and solutions that address the evolving needs of the information technology (“IT”) industry and the infrastructure that enables the proliferation of data in virtually every industry. Our broad portfolio of offerings addresses three categories: Datacenter Devices and Solutions (capacity and performance enterprise hard disk drives (“HDDs”), enterprise solid state drives (“SSDs”), datacenter software and system solutions); Client Devices (mobile, desktop, gaming and digital video hard drives, client SSDs, embedded products and wafers); and Client Solutions (removable products, hard drive content solutions and flash content solutions). We also generate license and royalty revenue related to our intellectual property which is included in each of the three categories.</w:t>
      </w:r>
    </w:p>
    <w:p>
      <w:pPr>
        <w:spacing w:after="0" w:line="7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have a rich heritage of innovation, operational execution, deep intellectual property assets and broad research and development (“R&amp;D”) capabilities. The landscape of storage markets we serve is changing rapidly in terms of how data is being used, stored and monetized, while data growth is continuing unabated. We estimate that on a worldwide basis, the rate at which data is generated will likely expand at approximately 40% per annum for the next several years. We are transforming ourselves to address this growth by providing the broadest range of storage technologies, product portfolio and global reach in the industry. Founded in 1970 and headquartered in Irvine, California, Western Digital has approximately 11,300 engineers, and one of the technology industry’s most valuable patent portfolios with more than 13,500 patents awarded worldwide. Since 2009, we have been a Standard &amp; Poor’s, or S&amp;P, 500 company.</w:t>
      </w:r>
    </w:p>
    <w:p>
      <w:pPr>
        <w:spacing w:after="0" w:line="81"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Built on decades of expertise in developing leading technology and components, we are enabling enterprises to collect virtually limitless sets of data, and helping cloud providers build more powerful, cost effective and efficient datacenters. We have relationships with the full range of original equipment manufacturers (“OEM”) and datacenter customers currently addressing storage opportunities, including storage subsystem suppliers, major server OEMs, Internet and social media infrastructure players, and personal computer (“PC”) and Mac™ OEMs. We have also built strong consumer brands by providing people with effective tools to manage fast-accumulating libraries of personal content. We market our products primarily under the HGST, SanDisk and WD brands, and our products are sold through distribution, retail and direct channels worldwide.</w:t>
      </w:r>
    </w:p>
    <w:p>
      <w:pPr>
        <w:spacing w:after="0" w:line="70"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We believe we are well positioned to capitalize on the ongoing expansion in digital content generation and management. These trends are linked directly to commercial enterprises’ and consumers’ increasingly ubiquitous experience with data and the increasing value of that data. The confluence of data growth and the ability to expand the extraction of value from data are driving the need for the long-term retention of as much data as possible for legal and regulatory purposes and for potential future refinements in a wide range of fields, including advertising, aerospace, e-commerce, energy, medical, mining and security surveillance. We believe the ways in which people and organizations are creating and using data are changing and that the amount of data considered useful to store is expanding. Increasingly, more and more digital content is being stored and managed on HDDs and SSDs in a cloud environment, and we believe we are well positioned to continue to play a role in this transition. With a focus on innovation and value creation, our goal is to grow through continued strong execution and with targeted investments in datacenter infrastructure, mobility and the cloud.</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Two pivotal events in fiscal 2016 contributed to the ongoing strategic transformation of our company in this context:</w:t>
      </w:r>
    </w:p>
    <w:p>
      <w:pPr>
        <w:spacing w:after="0" w:line="117" w:lineRule="exact"/>
        <w:rPr>
          <w:sz w:val="20"/>
          <w:szCs w:val="20"/>
          <w:color w:val="auto"/>
        </w:rPr>
      </w:pPr>
    </w:p>
    <w:p>
      <w:pPr>
        <w:ind w:left="660" w:right="100" w:hanging="247"/>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October 2015, the Ministry of Commerce of the People’s Republic of China (“MOFCOM”) lifted substantially all conditions associated with its 2012 hold separate ruling in connection with Western Digital’s 2012 acquisition of the HGST subsidiary of Hitachi, Ltd. (“Hitachi”). Prior to the October ruling by MOFCOM, we were required to operate our WD and HGST businesses as separate subsidiaries. The October decision allowed us to integrate all HGST and WD operations and resources except for sales forces and product brands, creating the opportunity to achieve significant efficiencies and synergies.</w:t>
      </w:r>
    </w:p>
    <w:p>
      <w:pPr>
        <w:spacing w:after="0" w:line="80" w:lineRule="exact"/>
        <w:rPr>
          <w:rFonts w:ascii="Arial" w:cs="Arial" w:eastAsia="Arial" w:hAnsi="Arial"/>
          <w:sz w:val="18"/>
          <w:szCs w:val="18"/>
          <w:color w:val="auto"/>
        </w:rPr>
      </w:pPr>
    </w:p>
    <w:p>
      <w:pPr>
        <w:ind w:left="660" w:hanging="247"/>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2016, we completed the acquisition (the “Merger”) of SanDisk Corporation (“SanDisk”), a global leader in NAND-flash storage solutions with a strong history of innovative flash-based product offerings. This acquisition aligned with our long-term strategy to be a broad based, innovative and media-agnostic leader in the storage industry, and it more than doubled our addressable market. SanDisk brings a 27-year history of innovation and expertise in non-volatile memory, systems solutions and manufacturing. The combination enables us to vertically integrate into non-volatile memory, providing long-term access to solid state technology at lower cost. It will also enable us to engage in R&amp;D that focuses on blending our technologies and to create enhanced storage solutions.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operate in the data storage and data management industry. Our devices and solutions are made using rotating magnetic or non-volatile memory storage technologies (“NAND”) that together provide a broad range of reliability, performance, storage capacity and data retention capabilities to our customers. With increasing ability to capture and create meaning from data, customers view data analytics insight as one of their most treasured assets. In a connected global marketplace, there is a proliferation in the methods by and the rates at which content is generated, consumed and stored by end users. When combined with fast global networks, these trends create tremendous need for cost effective, high-performance and/or high-capacity storage solutions in mobile, computing and consumer electronic devices, as well as in a wide range of storage systems, servers and datacenters. We are a market and customer driven company, focused on growth, innovation and value creation for our customers, employees and shareholders. We develop deep and collaborative relationships with our customers with a goal of enabling their continued success, an approach that has made us a trusted advisor and market maker in our served markets. As our portfolio of storage solutions expands further, we believe our customer engagement approach is one of the key factors that will help us continue to achieve strong financial performance over the long term. We believe that our product platform is broad-based and powerful, and our unique competitive advantages with growth drivers will continue to provide us the opportunity to expand our value-creation model within an evolving, changing and growing storage ecosystem.</w:t>
      </w:r>
    </w:p>
    <w:p>
      <w:pPr>
        <w:spacing w:after="0" w:line="7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Storage solutions that hold large amounts of data are a key enabler of the trends seen in the evolution of a data driven economy, underpinned by the proliferation of digital content creation, consumption and monetization. We believe the growth in the number of computing users and connected mobile devices in the world continues unabated, creating varied usage patterns and the need for greater volumes of digital content to be stored. Cloud computing applications are especially noteworthy in their ability to generate more data through creation of multiple copies of content such as photos, videos and in other formats to ensure smooth user experience in a secure manner.</w:t>
      </w:r>
    </w:p>
    <w:p>
      <w:pPr>
        <w:spacing w:after="0" w:line="8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There are several key shifts underway in the data storage industry, including a change in the methods of storage in client devices (both desktop and notebook PCs), the increased use of SSDs in client devices, and the shift of data storage from client, or local, devices to the cloud. As a broad-based provider of data storage technologies, devices and solutions in both the client and datacenter markets, we are strategically positioned to manage through these transitions, address these changes and meet the needs of our 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industry is highly competitive. We compete with manufacturers of HDDs and SSDs for client devices and solutions and datacenter devices and solutions. The HDD market consists of five principal brands: HGST, Samsung Electronics Co., Ltd (“Samsung”), Seagate Technology LLC (“Seagate”), Toshiba Corporation (“Toshiba”) and WD. In SSDs and storage solutions, we compete with a wide range of manufacturers, from numerous small startup companies to large multinational corporations, including captive NAND suppliers SK Hynix, Inc., Intel Corporation, Micron Technology, Inc., Samsung and Toshiba.</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storage industry is increasingly utilizing tiered architectures with both HDDs and SSDs to address an expanding set of uses and applications. We</w:t>
      </w:r>
    </w:p>
    <w:p>
      <w:pPr>
        <w:spacing w:after="0" w:line="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monitor the advantages, disadvantages and advances of the full array of storage technologies on an ongoing basis to ensure we are appropriately resourced to meet our customers’ storage needs.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Our overall strategy is to leverage our innovation and execution capabilities to be an industry-leading and broad-based developer, manufacturer and provider of storage devices and solutions that support the evolving IT industry infrastructure that enables the unabated proliferation of data. We strive to successfully execute our strategy through the following foundational elements:</w:t>
      </w:r>
    </w:p>
    <w:p>
      <w:pPr>
        <w:spacing w:after="0" w:line="73" w:lineRule="exact"/>
        <w:rPr>
          <w:sz w:val="20"/>
          <w:szCs w:val="20"/>
          <w:color w:val="auto"/>
        </w:rPr>
      </w:pPr>
    </w:p>
    <w:p>
      <w:pPr>
        <w:ind w:left="900" w:right="240" w:hanging="48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Focus on strategy and execution as we integrate: </w:t>
      </w:r>
      <w:r>
        <w:rPr>
          <w:rFonts w:ascii="Arial" w:cs="Arial" w:eastAsia="Arial" w:hAnsi="Arial"/>
          <w:sz w:val="18"/>
          <w:szCs w:val="18"/>
          <w:color w:val="auto"/>
        </w:rPr>
        <w:t>Ensure that we focus on both strategy and execution as we integrate our HGST, SanDisk and</w:t>
      </w:r>
      <w:r>
        <w:rPr>
          <w:rFonts w:ascii="Arial" w:cs="Arial" w:eastAsia="Arial" w:hAnsi="Arial"/>
          <w:sz w:val="18"/>
          <w:szCs w:val="18"/>
          <w:i w:val="1"/>
          <w:iCs w:val="1"/>
          <w:color w:val="auto"/>
        </w:rPr>
        <w:t xml:space="preserve"> </w:t>
      </w:r>
      <w:r>
        <w:rPr>
          <w:rFonts w:ascii="Arial" w:cs="Arial" w:eastAsia="Arial" w:hAnsi="Arial"/>
          <w:sz w:val="18"/>
          <w:szCs w:val="18"/>
          <w:color w:val="auto"/>
        </w:rPr>
        <w:t>WD subsidiaries to deliver the best outcome for our customers, partners and employees;</w:t>
      </w:r>
    </w:p>
    <w:p>
      <w:pPr>
        <w:spacing w:after="0" w:line="62" w:lineRule="exact"/>
        <w:rPr>
          <w:rFonts w:ascii="Arial" w:cs="Arial" w:eastAsia="Arial" w:hAnsi="Arial"/>
          <w:sz w:val="18"/>
          <w:szCs w:val="18"/>
          <w:color w:val="auto"/>
        </w:rPr>
      </w:pPr>
    </w:p>
    <w:p>
      <w:pPr>
        <w:ind w:left="900" w:right="100" w:hanging="48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Optimize our core HDD business: </w:t>
      </w:r>
      <w:r>
        <w:rPr>
          <w:rFonts w:ascii="Arial" w:cs="Arial" w:eastAsia="Arial" w:hAnsi="Arial"/>
          <w:sz w:val="18"/>
          <w:szCs w:val="18"/>
          <w:color w:val="auto"/>
        </w:rPr>
        <w:t>as an established leader in the HDD industry, we are focused on delivering the best value for our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datacenter and client markets through a relentless focus on operational excellence and continued innovation;</w:t>
      </w:r>
    </w:p>
    <w:p>
      <w:pPr>
        <w:spacing w:after="0" w:line="62" w:lineRule="exact"/>
        <w:rPr>
          <w:rFonts w:ascii="Arial" w:cs="Arial" w:eastAsia="Arial" w:hAnsi="Arial"/>
          <w:sz w:val="18"/>
          <w:szCs w:val="18"/>
          <w:color w:val="auto"/>
        </w:rPr>
      </w:pPr>
    </w:p>
    <w:p>
      <w:pPr>
        <w:ind w:left="900" w:right="200" w:hanging="48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Lead in SSDs and solutions: </w:t>
      </w:r>
      <w:r>
        <w:rPr>
          <w:rFonts w:ascii="Arial" w:cs="Arial" w:eastAsia="Arial" w:hAnsi="Arial"/>
          <w:sz w:val="18"/>
          <w:szCs w:val="18"/>
          <w:color w:val="auto"/>
        </w:rPr>
        <w:t>strategically align our investments to focus on established profitable and growing markets, as well as on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such as “Internet of Things”, to enable our future growth;</w:t>
      </w:r>
    </w:p>
    <w:p>
      <w:pPr>
        <w:spacing w:after="0" w:line="62" w:lineRule="exact"/>
        <w:rPr>
          <w:rFonts w:ascii="Arial" w:cs="Arial" w:eastAsia="Arial" w:hAnsi="Arial"/>
          <w:sz w:val="18"/>
          <w:szCs w:val="18"/>
          <w:color w:val="auto"/>
        </w:rPr>
      </w:pPr>
    </w:p>
    <w:p>
      <w:pPr>
        <w:jc w:val="both"/>
        <w:ind w:left="900" w:right="20" w:hanging="487"/>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Grow in higher value markets with a blend of HDD and SSD technologies: </w:t>
      </w:r>
      <w:r>
        <w:rPr>
          <w:rFonts w:ascii="Arial" w:cs="Arial" w:eastAsia="Arial" w:hAnsi="Arial"/>
          <w:sz w:val="18"/>
          <w:szCs w:val="18"/>
          <w:color w:val="auto"/>
        </w:rPr>
        <w:t>leverage our capabilities in firmware, software and systems to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compelling storage solutions to our customers that offer the best combinations of performance, cost, power consumption, form factor, quality and reliability;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900" w:right="520" w:hanging="487"/>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Align our retail devices and solutions portfolio: </w:t>
      </w:r>
      <w:r>
        <w:rPr>
          <w:rFonts w:ascii="Arial" w:cs="Arial" w:eastAsia="Arial" w:hAnsi="Arial"/>
          <w:sz w:val="18"/>
          <w:szCs w:val="18"/>
          <w:color w:val="auto"/>
        </w:rPr>
        <w:t>compete with the industry’s broadest portfolio of storage offerings for consumers in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we serve while creating new use cases for our solutions in emerging markets.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our strategy provides the following benefits, which distinguish us in the dynamic and competitive storage industry:</w:t>
      </w:r>
    </w:p>
    <w:p>
      <w:pPr>
        <w:spacing w:after="0" w:line="117" w:lineRule="exact"/>
        <w:rPr>
          <w:sz w:val="20"/>
          <w:szCs w:val="20"/>
          <w:color w:val="auto"/>
        </w:rPr>
      </w:pPr>
    </w:p>
    <w:p>
      <w:pPr>
        <w:ind w:left="900" w:right="260" w:hanging="487"/>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enables scaling for efficiency and flexibility, allowing us to leverage our R&amp;D and capital expenditures to deliver storage solutions to multiple markets;</w:t>
      </w:r>
    </w:p>
    <w:p>
      <w:pPr>
        <w:spacing w:after="0" w:line="62" w:lineRule="exact"/>
        <w:rPr>
          <w:rFonts w:ascii="Arial" w:cs="Arial" w:eastAsia="Arial" w:hAnsi="Arial"/>
          <w:sz w:val="18"/>
          <w:szCs w:val="18"/>
          <w:color w:val="auto"/>
        </w:rPr>
      </w:pPr>
    </w:p>
    <w:p>
      <w:pPr>
        <w:ind w:left="900" w:hanging="48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in continued diversification of our storage solutions portfolio and entry into additional growing adjacent markets; and</w:t>
      </w:r>
    </w:p>
    <w:p>
      <w:pPr>
        <w:spacing w:after="0" w:line="117" w:lineRule="exact"/>
        <w:rPr>
          <w:rFonts w:ascii="Arial" w:cs="Arial" w:eastAsia="Arial" w:hAnsi="Arial"/>
          <w:sz w:val="18"/>
          <w:szCs w:val="18"/>
          <w:color w:val="auto"/>
        </w:rPr>
      </w:pPr>
    </w:p>
    <w:p>
      <w:pPr>
        <w:ind w:left="900" w:right="240" w:hanging="487"/>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allows us to achieve strong financial performance, including healthy returns on invested capital and cash generation, thereby enabling efficient allocation of capital to shareholders and strategic long-term investments in innovative technologies.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Storage Solutions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offer a broad line of data storage solutions to meet the evolving storage needs of end markets which include the following: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Datacenter Devices and Solutions</w:t>
      </w:r>
    </w:p>
    <w:p>
      <w:pPr>
        <w:spacing w:after="0" w:line="117" w:lineRule="exact"/>
        <w:rPr>
          <w:sz w:val="20"/>
          <w:szCs w:val="20"/>
          <w:color w:val="auto"/>
        </w:rPr>
      </w:pPr>
    </w:p>
    <w:p>
      <w:pPr>
        <w:ind w:right="40" w:firstLine="392"/>
        <w:spacing w:after="0" w:line="270" w:lineRule="auto"/>
        <w:rPr>
          <w:sz w:val="20"/>
          <w:szCs w:val="20"/>
          <w:color w:val="auto"/>
        </w:rPr>
      </w:pPr>
      <w:r>
        <w:rPr>
          <w:rFonts w:ascii="Arial" w:cs="Arial" w:eastAsia="Arial" w:hAnsi="Arial"/>
          <w:sz w:val="17"/>
          <w:szCs w:val="17"/>
          <w:color w:val="auto"/>
        </w:rPr>
        <w:t>Datacenter devices and solutions consists of high-performance and high-capacity enterprise HDDs and enterprise SSDs, datacenter software and system solutions. Our high-performance HDDs are optimized for performance applications providing a range of capacity and performance levels primarily for use in enterprise servers, supporting high volume on-line transactions, data analysis and other enterprise applications. Our datacenter solutions also include a wide range of high-capacity HDDs and drive configurations which provide enterprise class reliability at the lowest cost per gigabyte (“GB”) and are primarily for use in data storage systems, in tiered storage models and where data must be stored reliably for years. Our enterprise SSDs include high-performance NAND-flash SSDs and software solutions designed to improve the performance in various enterprise workload environments. Our enterprise SSDs encompass all major storage interface protocols, including serial attached SCSI (Small Computer System Interface) (“SAS”), peripheral component interconnect express (“PCIe”), and serial advanced technology attachment (“SATA”). We also provide higher value data storage platforms and systems to the market through our vertically integrated scale-out object storage active archive systems. We also offer system solutions such as the InfiniFlash™ System, which provide petabyte scalable capacity with high performance metrics at compelling economics.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Client Devices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7"/>
          <w:szCs w:val="17"/>
          <w:color w:val="auto"/>
        </w:rPr>
        <w:t>Client devices consist of HDDs and SSDs for desktop PCs, notebook PCs, gaming consoles, set top boxes, security surveillance systems and other computing devices, embedded NAND-flash storage for mobile phones, tablets, notebook PCs and other portable and wearable devices, as well as in automotive and connected home applications, and NAND-flash wafers. Our HDDs and SSDs are designed for use in devices requiring high performance, reliability and capacity with various attributes such as low cost per GB, quiet acoustics, low power consumption and protection against shocks. Our embedded storage is designed to meet the increasing demand for increased internal storage for mobile phones, tablets, notebooks and other portable and wearable devices, as well as in automotive and connected home applications. Our embedded NAND-flash storage products include custom embedded solutions and our iNAND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embedded flash products, which include our multi-chip package, or MCP, solutions that combine NAND and mobile dynamic random-access memory (“DRAM”) in an integrated package.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Client Solutions</w:t>
      </w:r>
    </w:p>
    <w:p>
      <w:pPr>
        <w:spacing w:after="0" w:line="11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Client solutions consist of HDDs embedded into WD- and HGST-branded external storage products and SanDisk-branded removable NAND-flash products which include cards, universal serial bus (“USB”) flash drives and wireless drives. Our external HDD storage products provide high quality, reliable storage for backup and capacity expansion in both mobile and desktop form factors that are designed to keep digital content secure while providing portable storage. Our removable cards are designed primarily for use in mobile products such as smartphones, tablets, imaging systems, action video cameras, security surveillance systems and other consumer applications. Our USB flash drives are used in the computing and consumer markets, and are designed for high-performance and reliability. Our wireless drive products allow in-field back up of created content, as well as wireless streaming of high-definition movies, photos, music and documents to tablets, smartphones and PCs.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Rotating Magnetic Storage</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HDDs provide non-volatile data storage based on the recording of magnetic information on a spinning disk. The storage capacity of an HDD is given by the number of disks in the HDD enclosure multiplied by the surface area of each disk multiplied by the areal density (bits per unit area) of the magnetic bits recorded on the disk surface. Improvements over time in magnetic recording areal density (HDD capacity) have been enabled largely through advancements in recording head and magnetic media technology. We develop and manufacture a substantial portion of the recording heads and magnetic media used in our hard drive products. As areal density increases, we can achieve greater HDD capacities and/or lower product costs over time. We invest considerable resources in R&amp;D, manufacturing infrastructure and capital equipment for recording head and media technology, as well as in other aspects of the magnetic recording system such as HDD mechanics, controller and firmware technology, in order to secure our competitive position and cost structure.</w:t>
      </w:r>
    </w:p>
    <w:p>
      <w:pPr>
        <w:spacing w:after="0" w:line="5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Industry-standard interfaces allow the drives to communicate with the host system. The primary interface for PCs is SATA and the primary interfaces for enterprise systems are Fibre Channel, SAS, SATA and PCIe.</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Solid State Storage</w:t>
      </w:r>
    </w:p>
    <w:p>
      <w:pPr>
        <w:spacing w:after="0" w:line="90" w:lineRule="exact"/>
        <w:rPr>
          <w:sz w:val="20"/>
          <w:szCs w:val="20"/>
          <w:color w:val="auto"/>
        </w:rPr>
      </w:pPr>
    </w:p>
    <w:p>
      <w:pPr>
        <w:jc w:val="both"/>
        <w:ind w:right="60" w:firstLine="392"/>
        <w:spacing w:after="0" w:line="342" w:lineRule="auto"/>
        <w:rPr>
          <w:sz w:val="20"/>
          <w:szCs w:val="20"/>
          <w:color w:val="auto"/>
        </w:rPr>
      </w:pPr>
      <w:r>
        <w:rPr>
          <w:rFonts w:ascii="Arial" w:cs="Arial" w:eastAsia="Arial" w:hAnsi="Arial"/>
          <w:sz w:val="16"/>
          <w:szCs w:val="16"/>
          <w:color w:val="auto"/>
        </w:rPr>
        <w:t>Solid state storage products provide non-volatile storage based on NAND-flash technology. We develop and manufacture solid state storage products in different form factors for a variety of different markets, including enterprise or cloud storage, client storage, mobile devices and removable memory devices.</w:t>
      </w:r>
    </w:p>
    <w:p>
      <w:pPr>
        <w:spacing w:after="0" w:line="70" w:lineRule="exact"/>
        <w:rPr>
          <w:sz w:val="20"/>
          <w:szCs w:val="20"/>
          <w:color w:val="auto"/>
        </w:rPr>
      </w:pPr>
    </w:p>
    <w:p>
      <w:pPr>
        <w:ind w:right="80" w:firstLine="392"/>
        <w:spacing w:after="0" w:line="219" w:lineRule="exact"/>
        <w:rPr>
          <w:sz w:val="20"/>
          <w:szCs w:val="20"/>
          <w:color w:val="auto"/>
        </w:rPr>
      </w:pPr>
      <w:r>
        <w:rPr>
          <w:rFonts w:ascii="Arial" w:cs="Arial" w:eastAsia="Arial" w:hAnsi="Arial"/>
          <w:sz w:val="18"/>
          <w:szCs w:val="18"/>
          <w:color w:val="auto"/>
        </w:rPr>
        <w:t>Our solid state storage products leverage our internal NAND-flash technology which we develop and manufacture through our business ventures with Toshiba. We focus significant research, development and effort on developing highly reliable, high-performance, cost-effective NAND-flash technology. We have successfully developed and commercialized 2-bits per cell flash multi</w:t>
      </w:r>
      <w:r>
        <w:rPr>
          <w:rFonts w:ascii="MS PGothic" w:cs="MS PGothic" w:eastAsia="MS PGothic" w:hAnsi="MS PGothic"/>
          <w:sz w:val="18"/>
          <w:szCs w:val="18"/>
          <w:color w:val="auto"/>
        </w:rPr>
        <w:t>‑</w:t>
      </w:r>
      <w:r>
        <w:rPr>
          <w:rFonts w:ascii="Arial" w:cs="Arial" w:eastAsia="Arial" w:hAnsi="Arial"/>
          <w:sz w:val="18"/>
          <w:szCs w:val="18"/>
          <w:color w:val="auto"/>
        </w:rPr>
        <w:t>level cell (“X2”) and 3-bits per cell flash multi</w:t>
      </w:r>
      <w:r>
        <w:rPr>
          <w:rFonts w:ascii="MS PGothic" w:cs="MS PGothic" w:eastAsia="MS PGothic" w:hAnsi="MS PGothic"/>
          <w:sz w:val="18"/>
          <w:szCs w:val="18"/>
          <w:color w:val="auto"/>
        </w:rPr>
        <w:t>‑</w:t>
      </w:r>
      <w:r>
        <w:rPr>
          <w:rFonts w:ascii="Arial" w:cs="Arial" w:eastAsia="Arial" w:hAnsi="Arial"/>
          <w:sz w:val="18"/>
          <w:szCs w:val="18"/>
          <w:color w:val="auto"/>
        </w:rPr>
        <w:t>level cell (“X3”) technologies, which have enabled significant cost reduction and growth in NAND-flash usage. A majority of our NAND manufacturing capacity utilizes the 15-nanometer node and we expect this node to be our last technology node on 2D NAND-flash architecture. To drive further cost reduction in NAND, we are transitioning to a 3-dimensional NAND (“3D NAND”) architecture.</w:t>
      </w:r>
    </w:p>
    <w:p>
      <w:pPr>
        <w:spacing w:after="0" w:line="1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July 2016, we announced that we have successfully developed our next generation 3D NAND technology, BiCS3, with 64 layers of vertical storage capability. BiCS3 will feature the use of X3 technology along with advances in high aspect ratio semiconductor processing. We expect to develop and commercialize additional generations of 3D NAND technologies over the next several years while continuing to utilize our 2D NAND technology for certain markets and applications.</w:t>
      </w:r>
    </w:p>
    <w:p>
      <w:pPr>
        <w:spacing w:after="0" w:line="52" w:lineRule="exact"/>
        <w:rPr>
          <w:sz w:val="20"/>
          <w:szCs w:val="20"/>
          <w:color w:val="auto"/>
        </w:rPr>
      </w:pPr>
    </w:p>
    <w:p>
      <w:pPr>
        <w:jc w:val="both"/>
        <w:ind w:right="320" w:firstLine="392"/>
        <w:spacing w:after="0" w:line="312" w:lineRule="auto"/>
        <w:rPr>
          <w:sz w:val="20"/>
          <w:szCs w:val="20"/>
          <w:color w:val="auto"/>
        </w:rPr>
      </w:pPr>
      <w:r>
        <w:rPr>
          <w:rFonts w:ascii="Arial" w:cs="Arial" w:eastAsia="Arial" w:hAnsi="Arial"/>
          <w:sz w:val="16"/>
          <w:szCs w:val="16"/>
          <w:color w:val="auto"/>
        </w:rPr>
        <w:t>With Toshiba, we are also investing in 3D resistive random-access memory (“ReRAM”) technology, and we are collaborating with Hewlett Packard Enterprise Development LP on the further development of 3D ReRAM for use in storage class memory applications. We have also initiated, defined and developed standards to meet new market needs and to promote wide acceptance of flash storage standards through interoperability and ease-of-use.</w:t>
      </w:r>
    </w:p>
    <w:p>
      <w:pPr>
        <w:spacing w:after="0" w:line="93" w:lineRule="exact"/>
        <w:rPr>
          <w:sz w:val="20"/>
          <w:szCs w:val="20"/>
          <w:color w:val="auto"/>
        </w:rPr>
      </w:pPr>
    </w:p>
    <w:p>
      <w:pPr>
        <w:jc w:val="both"/>
        <w:ind w:right="140" w:firstLine="392"/>
        <w:spacing w:after="0" w:line="279" w:lineRule="auto"/>
        <w:rPr>
          <w:sz w:val="20"/>
          <w:szCs w:val="20"/>
          <w:color w:val="auto"/>
        </w:rPr>
      </w:pPr>
      <w:r>
        <w:rPr>
          <w:rFonts w:ascii="Arial" w:cs="Arial" w:eastAsia="Arial" w:hAnsi="Arial"/>
          <w:sz w:val="17"/>
          <w:szCs w:val="17"/>
          <w:color w:val="auto"/>
        </w:rPr>
        <w:t>Our solid state storage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 For a discussion of associated risks, see Part I, Item 1A of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devote substantial resources to the development of new products and the improvement of existing products. We focus our engineering efforts on coordinating our product design and manufacturing processes to bring our products to market in a cost-effective and timely manner. R&amp;D expenses totaled $1.6 billion, $1.6 billion and $1.7 billion in 2016, 2015 and 2014, respectively. For a discussion of associated risks, see Part I, Item 1A of this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Information</w:t>
      </w:r>
    </w:p>
    <w:p>
      <w:pPr>
        <w:spacing w:after="0" w:line="121" w:lineRule="exact"/>
        <w:rPr>
          <w:sz w:val="20"/>
          <w:szCs w:val="20"/>
          <w:color w:val="auto"/>
        </w:rPr>
      </w:pPr>
    </w:p>
    <w:p>
      <w:pPr>
        <w:ind w:right="460" w:firstLine="405"/>
        <w:spacing w:after="0" w:line="286" w:lineRule="auto"/>
        <w:rPr>
          <w:sz w:val="20"/>
          <w:szCs w:val="20"/>
          <w:color w:val="auto"/>
        </w:rPr>
      </w:pPr>
      <w:r>
        <w:rPr>
          <w:rFonts w:ascii="Arial" w:cs="Arial" w:eastAsia="Arial" w:hAnsi="Arial"/>
          <w:sz w:val="17"/>
          <w:szCs w:val="17"/>
          <w:color w:val="auto"/>
        </w:rPr>
        <w:t>We have more than 13,500 active patents and have many patent applications in process. We believe that although our active patents and patent applications have considerable value, the successful manufacturing and marketing of our products depends primarily upon the technical and managerial competence of our staff. Accordingly, the patents held and applied for do not ensure our future success.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patent protection of certain intellectual property rights, we consider elements of our product designs and processes to be proprietary and confidential. We believe that our non-patented intellectual property, particularly some of our process technology, is an important factor in our success. We rely upon non-disclosure agreements and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United States (“U.S.”).</w:t>
      </w:r>
    </w:p>
    <w:p>
      <w:pPr>
        <w:spacing w:after="0" w:line="80" w:lineRule="exact"/>
        <w:rPr>
          <w:sz w:val="20"/>
          <w:szCs w:val="20"/>
          <w:color w:val="auto"/>
        </w:rPr>
      </w:pPr>
    </w:p>
    <w:p>
      <w:pPr>
        <w:ind w:right="140" w:firstLine="405"/>
        <w:spacing w:after="0" w:line="221" w:lineRule="exact"/>
        <w:rPr>
          <w:sz w:val="20"/>
          <w:szCs w:val="20"/>
          <w:color w:val="auto"/>
        </w:rPr>
      </w:pPr>
      <w:r>
        <w:rPr>
          <w:rFonts w:ascii="Arial" w:cs="Arial" w:eastAsia="Arial" w:hAnsi="Arial"/>
          <w:sz w:val="18"/>
          <w:szCs w:val="18"/>
          <w:color w:val="auto"/>
        </w:rPr>
        <w:t>We rely on certain technology that we license from other parties to manufacture and sell our products. We believe that we have adequate cross-licenses and other agreements in place in addition to our own intellectual property portfolio to compete successfully in the storage industry. For a discussion of associated risks, see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believe that we have significant know-how, unique product manufacturing processes, test and tooling, execution skills, and human resources to continue to be successful and to grow, as necessary, our manufacturing operations. We strive to maintain manufacturing flexibility, high manufacturing yields, reliable products and high-quality components. The critical elements of our production of HDD and NAND-flash products are high-volume and utilization, low-cost assembly and testing, strict adherence to quality metrics and maintaining close relationships with our strategic component suppliers to access best-in-class technology and manufacturing capacity.</w:t>
      </w:r>
    </w:p>
    <w:p>
      <w:pPr>
        <w:spacing w:after="0" w:line="8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HDD and NAND-flash product manufacturing is a complex process involving the production and assembly of precision components with narrow tolerances and thorough testing. The assembly process occurs in a “clean room” environment that demands skill in process engineering and efficient space utilization to control the operating costs of this manufacturing environment. Our clean room manufacturing process consists of modular production units, each of which contains a number of work cells.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w:t>
      </w:r>
    </w:p>
    <w:p>
      <w:pPr>
        <w:spacing w:after="0" w:line="7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A majority of our NAND-flash supply requirements for our NAND-flash products is obtained from our business ventures with Toshiba, which provide us with leading-edge, high-quality, low-cost NAND-flash wafers. This represents a captive supply and we are obligated to take our share of the output from these ventures or pay the fixed costs associated with that capacity. See “Ventures with Toshiba” below for additional information. While a majority of our flash memory supply utilized for our products is purchased from these ventures, from time-to-time, we also purchase flash memory from other NAND-flash manufacturers, which we refer to as non-captive. While we do not unilaterally control the operations of these ventures, we believe that our business venture relationship with Toshiba helps us to reduce the costs of producing our products, increases our ability to control the quality of our products and speeds delivery of our products to our customers. Our vertically integrated manufacturing operations for our NAND-flash products are concentrated in three locations, with our business ventures with Toshiba located in Yokkaichi, Japan, and our in-house assembly and test operations located in Shanghai, China and Penang, Malaysia.</w:t>
      </w:r>
    </w:p>
    <w:p>
      <w:pPr>
        <w:spacing w:after="0" w:line="89" w:lineRule="exact"/>
        <w:rPr>
          <w:sz w:val="20"/>
          <w:szCs w:val="20"/>
          <w:color w:val="auto"/>
        </w:rPr>
      </w:pPr>
    </w:p>
    <w:p>
      <w:pPr>
        <w:ind w:right="100" w:firstLine="405"/>
        <w:spacing w:after="0" w:line="223" w:lineRule="exact"/>
        <w:rPr>
          <w:sz w:val="20"/>
          <w:szCs w:val="20"/>
          <w:color w:val="auto"/>
        </w:rPr>
      </w:pPr>
      <w:r>
        <w:rPr>
          <w:rFonts w:ascii="Arial" w:cs="Arial" w:eastAsia="Arial" w:hAnsi="Arial"/>
          <w:sz w:val="18"/>
          <w:szCs w:val="18"/>
          <w:color w:val="auto"/>
        </w:rPr>
        <w:t>We also leverage the efficiencies of contract manufacturers when strategically advantageous. For a discussion of associated risks, see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Supplies</w:t>
      </w:r>
    </w:p>
    <w:p>
      <w:pPr>
        <w:spacing w:after="0" w:line="12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main components of the hard drive are a head-disk-assembly (“HDA”) and a printed circuit board assembly (“PCBA”). The HDA includes recording heads, magnetic media, head positioning mechanism (“actuator”) and spindle motor. A rigid base and top cover contain these components in a contamination-controlled environment. One or more disks positioned around a motor-driven spindle hub that rotates the disks comprise the disk-pack assembly. The disk is made up of a smooth substrate on which thin layers of magnetic materials are deposited. The head stack assembly (“HSA”) is comprised of a magnetic positioner and a pivot-arm module on which the head gimbal assemblies (“HGAs”) including suspension, are mounted. Each disk surface has a head suspended directly above it, which can read data from or write data to the spinning disk. Other key components of our hard drives are pre-amps and voice coil magnets.</w:t>
      </w:r>
    </w:p>
    <w:p>
      <w:pPr>
        <w:spacing w:after="0" w:line="8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PCBA includes both standard and custom integrated circuits, an interface connector to the host computer and a power connector. The integrated circuits on the printed circuit board typically include a power device that controls the motor and HSA positioner and a system-on-chip (“SoC”) comprised of a drive interface, controller and recording channel. The drive interface receives instructions from the host computer, while the controller directs the flow of data to or from the disks and controls the heads. The location of data on each disk is logically maintained in concentric tracks divided into sectors. The host computer sends instructions to the controller to read data from or write data to the disks, based on logical track and sector locations. Guided by instructions from the controller, the HSA pivots in an arc across the disk until it reaches the selected track of a disk, where the data is recorded or retrieved.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design and manufacture a substantial portion of the recording heads and magnetic media required for our products. Consequently, we are more dependent upon our own development and execution efforts and less able to take advantage of recording head and magnetic media technologies developed by other manufacturers. We depend on an external supply base for all remaining components and materials for use in our HDD product design and manufacturing.</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NAND-flash memory and controllers are the main components in our NAND-flash products. A majority of our NAND-flash memory is primarily supplied by our business ventures with Toshiba. Controllers are primarily designed in-house and manufactured by third-party foundries or acquired from third party suppliers. We believe the use of our in-house assembly and test facilities, as well as contract manufacturers, provides flexibility and gives us access to increased production capacity. We have developed deep relationships with these vendors and Toshiba to establish continuous supply of NAND-flash memory and controllers.</w:t>
      </w:r>
    </w:p>
    <w:p>
      <w:pPr>
        <w:spacing w:after="0" w:line="80" w:lineRule="exact"/>
        <w:rPr>
          <w:sz w:val="20"/>
          <w:szCs w:val="20"/>
          <w:color w:val="auto"/>
        </w:rPr>
      </w:pPr>
    </w:p>
    <w:p>
      <w:pPr>
        <w:jc w:val="both"/>
        <w:ind w:right="420" w:firstLine="405"/>
        <w:spacing w:after="0" w:line="264" w:lineRule="auto"/>
        <w:rPr>
          <w:sz w:val="20"/>
          <w:szCs w:val="20"/>
          <w:color w:val="auto"/>
        </w:rPr>
      </w:pPr>
      <w:r>
        <w:rPr>
          <w:rFonts w:ascii="Arial" w:cs="Arial" w:eastAsia="Arial" w:hAnsi="Arial"/>
          <w:sz w:val="18"/>
          <w:szCs w:val="18"/>
          <w:color w:val="auto"/>
        </w:rPr>
        <w:t>We generally retain multiple suppliers for our component requirements but in some instances use sole or single sources for business or technology reasons. Currently, we believe that there are no major issues with component availability. For a discussion of associated risks, see Part I, Item 1A of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Ventures with Toshiba</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and Toshiba currently operate three business ventures in 300-millimeter NAND-flash manufacturing facilities in Yokkaichi, Japan, which provide us leading-edge, cost-competitive NAND wafers for our end products. Flash Partners Ltd., which operates primarily in Toshiba’s Fab 3 facility (“Fab 3”) was formed in September 2004. Flash Alliance Ltd., which operates primarily in Toshiba’s Fab 4 facility (“Fab 4”) was formed in July 2006. Flash Forward Ltd., which operates primarily in Toshiba’s Fab 5 facility (“Fab 5”) was formed in July 2010. We refer to Flash Partners, Flash Alliance and Flash Forward collectively as Flash Ventures. In addition, we have a facility agreement with Toshiba related to the construction and operation of Toshiba’s “New Fab 2” fabrication facility, which is primarily intended to provide additional clean room space to convert a portion of existing 2D NAND wafer capacity to 3D NAND.</w:t>
      </w:r>
    </w:p>
    <w:p>
      <w:pPr>
        <w:spacing w:after="0" w:line="81"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Through Flash Ventures, we and Toshiba collaborate in the development and manufacture of NAND-flash wafers using semiconductor manufacturing equipment owned or leased by each of the Flash Venture entities. We hold a 49.9% ownership position in each of the Flash Venture entities. Each Flash Venture entity purchases wafers from Toshiba at cost and then resells those wafers to us and Toshiba at cost plus a mark-up. We are committed to purchase half of Flash Ventures’ NAND wafer supply or pay for half of Flash Ventures’ fixed costs regardless of the output we choose to purchase. We are also committed to fund 49.9% to 50% of Flash Ventures’ investments to the extent that Flash Ventures’ operating cash flow is insufficient to fund these investments. We and Toshiba also collaborate on certain R&amp;D activities. For a discussion of associated risks, see Part I, Item 1A of this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72%, 79% and 80% of our net revenue for 2016, 2015 and 2014, respectively. Sales to international customers are subject to certain risks not normally encountered in domestic operations, including exposure to tariffs and various trade regulations. For a discussion of associated risks, see Part I, Item 1A of this Annual Report on Form 10-K.</w:t>
      </w:r>
    </w:p>
    <w:p>
      <w:pPr>
        <w:spacing w:after="0" w:line="8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perform our marketing and advertising functions internally and through outside firms utilizing both consumer media and trade publications targeting various reseller and end-user categories.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w:t>
      </w:r>
    </w:p>
    <w:p>
      <w:pPr>
        <w:spacing w:after="0" w:line="4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i w:val="1"/>
          <w:iCs w:val="1"/>
          <w:color w:val="auto"/>
        </w:rPr>
        <w:t xml:space="preserve">Original Equipment Manufacturers. </w:t>
      </w:r>
      <w:r>
        <w:rPr>
          <w:rFonts w:ascii="Arial" w:cs="Arial" w:eastAsia="Arial" w:hAnsi="Arial"/>
          <w:sz w:val="17"/>
          <w:szCs w:val="17"/>
          <w:color w:val="auto"/>
        </w:rPr>
        <w:t>OEMs, including large-scale datacenter operators</w:t>
      </w:r>
      <w:r>
        <w:rPr>
          <w:rFonts w:ascii="Arial" w:cs="Arial" w:eastAsia="Arial" w:hAnsi="Arial"/>
          <w:sz w:val="17"/>
          <w:szCs w:val="17"/>
          <w:i w:val="1"/>
          <w:iCs w:val="1"/>
          <w:color w:val="auto"/>
        </w:rPr>
        <w:t xml:space="preserve">, </w:t>
      </w:r>
      <w:r>
        <w:rPr>
          <w:rFonts w:ascii="Arial" w:cs="Arial" w:eastAsia="Arial" w:hAnsi="Arial"/>
          <w:sz w:val="17"/>
          <w:szCs w:val="17"/>
          <w:color w:val="auto"/>
        </w:rPr>
        <w:t>system integrators and hyperscale customers who bundle, embed</w:t>
      </w:r>
      <w:r>
        <w:rPr>
          <w:rFonts w:ascii="Arial" w:cs="Arial" w:eastAsia="Arial" w:hAnsi="Arial"/>
          <w:sz w:val="17"/>
          <w:szCs w:val="17"/>
          <w:i w:val="1"/>
          <w:iCs w:val="1"/>
          <w:color w:val="auto"/>
        </w:rPr>
        <w:t xml:space="preserve"> </w:t>
      </w:r>
      <w:r>
        <w:rPr>
          <w:rFonts w:ascii="Arial" w:cs="Arial" w:eastAsia="Arial" w:hAnsi="Arial"/>
          <w:sz w:val="17"/>
          <w:szCs w:val="17"/>
          <w:color w:val="auto"/>
        </w:rPr>
        <w:t>or integrate our storage solutions, purchase our products, either directly or through a contract manufacturer such as an original design manufacturer (“ODM”) and assemble them into the devices they build. OEMs typically seek to qualify two or more providers for each generation of products and generally will purchase products from those vendors for the life of that product. Many of our OEM customers utilize just-in-time inventory management processes. As a result, for certain OEMs, we maintain a base stock of finished goods inventory in facilities located near or adjacent to the OEM’s operations. In addition, we also sell directly to cloud infrastructure players as well as flash storage solutions to customers that offer our products under their own brand name in the retail market, which we classify as OEMs for purposes of channel information.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Distributors. </w:t>
      </w:r>
      <w:r>
        <w:rPr>
          <w:rFonts w:ascii="Arial" w:cs="Arial" w:eastAsia="Arial" w:hAnsi="Arial"/>
          <w:sz w:val="18"/>
          <w:szCs w:val="18"/>
          <w:color w:val="auto"/>
        </w:rPr>
        <w:t>We use a broad group of distributors to sell our products to non-direct customers such as small computer and consumer electronics (“CE”)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dealers, value-added resellers, systems integrators, online retailers and other resellers. Distributors generally enter into non-exclusive agreements with us for the purchase and redistribution of our products in specific territories.</w:t>
      </w:r>
    </w:p>
    <w:p>
      <w:pPr>
        <w:spacing w:after="0" w:line="73"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i w:val="1"/>
          <w:iCs w:val="1"/>
          <w:color w:val="auto"/>
        </w:rPr>
        <w:t xml:space="preserve">Retailers. </w:t>
      </w:r>
      <w:r>
        <w:rPr>
          <w:rFonts w:ascii="Arial" w:cs="Arial" w:eastAsia="Arial" w:hAnsi="Arial"/>
          <w:sz w:val="17"/>
          <w:szCs w:val="17"/>
          <w:color w:val="auto"/>
        </w:rPr>
        <w:t>We sell our branded products directly to a select group of major retailers such as computer superstores, warehouse clubs, online retailers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computer electronics stores, and authorize sales through distributors to smaller retailers. The retail channel complements our other sales channels, while helping to build brand awareness for us and our products. We also sell our branded products through our websites.</w:t>
      </w:r>
    </w:p>
    <w:p>
      <w:pPr>
        <w:spacing w:after="0" w:line="5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For fiscal 2016, no single customer accounted for 10% or more of our net revenue. For both fiscal 2015 and 2014, Hewlett-Packard Company accounted for 11% of our net revenue. For a discussion of associated risks, see Part I, Item 1A of this Annual Report on Form 10-K. For additional information regarding revenue recognition, sales by geographic region and major customers, see Part II, Item 8, Notes 1 and 7 of the Notes to Consolidated Financial Statements included in this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 substantial portion of our orders are generally for shipments within 60 days of the placement of the order. Customers’ purchase orders may be canceled with relatively short notice to us, with little or no cost to the customer, or modified by customers to provide for delivery at a later date. In addition, for many of our OEMs utilizing just-in-time inventory, we do not generally require firm order commitments and instead, receive a periodic forecast of requirements. Therefore, backlog information as of the end of a particular period is not necessarily indicative of future levels of our revenue and profit and may not be comparable to prior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have historically experienced seasonal fluctuations in our business with higher levels of demand in the first and second quarters of our fiscal year as a result of increased customer spending. Seasonality can also be impacted by the growth in emerging markets and macroeconomic conditions. For a discussion of associated risks, see Part I, Item 1A of this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12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generally warrant our newly manufactured products against defects in materials and workmanship from one to five years from the date of manufacture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 of the Notes to Consolidated Financial Statements included in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12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are subject to a variety of U.S. and foreign laws and regulations in connection with our operations and relating to the protection of the environment, including those governing discharges of pollutants into the air and water, the management and disposal of hazardous substances and the clean-up of contaminated sites. Some of our operations require environmental permits and controls to prevent and reduce air and water pollution. These permits are subject to modification, renewal and revocation by issuing authorities. We believe that we have obtained or are in the process of obtaining all necessary environmental permits for our operations.</w:t>
      </w:r>
    </w:p>
    <w:p>
      <w:pPr>
        <w:spacing w:after="0" w:line="80"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have established environmental management systems and continually update our environmental policies and standard operating procedures for our operations worldwide. We believe that our operations are in material compliance with applicable environmental laws, regulations and permits. We budget for operating and capital costs on an ongoing basis to comply with environmental laws.</w:t>
      </w:r>
    </w:p>
    <w:p>
      <w:pPr>
        <w:spacing w:after="0" w:line="73"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Our properties have in some cases been operated for many years and may contain soil or groundwater contamination. In certain of our facilities we are undertaking voluntary monitoring of soil and groundwater. Based on available information, including our voluntary monitoring activities, we do not believe that we have a current affirmative legal obligation for any remedial action.</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 discussion of associated risks, see Part I, Item 1A of this Annual Report on Form 10-K.</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of July 1, 2016, we employed a total of 72,878 employees worldwide, excluding temporary employees and contractors. Many of our employees are highly skilled, and our continued success depends in part upon our ability to attract and retain such employees. Accordingly, we offer employee benefit programs that we believe are, in the aggregate, competitive with those offered by our competitors.</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While the substantial majority of our employees are not party to a collective bargaining agreement, a majority of our employees in Japan and China are subject to collective bargaining agreements. We consider our employee relations to be good. For a discussion of associated risks, see Part I, Item 1A of this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w:t>
      </w:r>
    </w:p>
    <w:p>
      <w:pPr>
        <w:spacing w:after="0" w:line="121"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We believe that corporate social responsibility is an essential factor for our overall corporate success. This includes adopting ethical and sustainable business practices to direct how we do business while keeping the interests of our stakeholders and the environment in focus.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strive to uphold the following principles:</w:t>
      </w:r>
    </w:p>
    <w:p>
      <w:pPr>
        <w:spacing w:after="0" w:line="117" w:lineRule="exact"/>
        <w:rPr>
          <w:sz w:val="20"/>
          <w:szCs w:val="20"/>
          <w:color w:val="auto"/>
        </w:rPr>
      </w:pPr>
    </w:p>
    <w:p>
      <w:pPr>
        <w:ind w:left="900" w:hanging="48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treat all employees with dignity and respect;</w:t>
      </w:r>
    </w:p>
    <w:p>
      <w:pPr>
        <w:spacing w:after="0" w:line="117" w:lineRule="exact"/>
        <w:rPr>
          <w:rFonts w:ascii="Arial" w:cs="Arial" w:eastAsia="Arial" w:hAnsi="Arial"/>
          <w:sz w:val="18"/>
          <w:szCs w:val="18"/>
          <w:color w:val="auto"/>
        </w:rPr>
      </w:pPr>
    </w:p>
    <w:p>
      <w:pPr>
        <w:ind w:left="900" w:right="260" w:hanging="487"/>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 up processes and procedures intended to comply with applicable laws and regulations as well as our internal guidelines and uphold ethical standards;</w:t>
      </w:r>
    </w:p>
    <w:p>
      <w:pPr>
        <w:spacing w:after="0" w:line="62" w:lineRule="exact"/>
        <w:rPr>
          <w:rFonts w:ascii="Arial" w:cs="Arial" w:eastAsia="Arial" w:hAnsi="Arial"/>
          <w:sz w:val="18"/>
          <w:szCs w:val="18"/>
          <w:color w:val="auto"/>
        </w:rPr>
      </w:pPr>
    </w:p>
    <w:p>
      <w:pPr>
        <w:ind w:left="900" w:right="520" w:hanging="487"/>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policies and procedures intended to promote the idea that the quality of our products and services, consistency of production and employee well-being are predicated on a safe and healthy work environment; and</w:t>
      </w:r>
    </w:p>
    <w:p>
      <w:pPr>
        <w:spacing w:after="0" w:line="62" w:lineRule="exact"/>
        <w:rPr>
          <w:rFonts w:ascii="Arial" w:cs="Arial" w:eastAsia="Arial" w:hAnsi="Arial"/>
          <w:sz w:val="18"/>
          <w:szCs w:val="18"/>
          <w:color w:val="auto"/>
        </w:rPr>
      </w:pPr>
    </w:p>
    <w:p>
      <w:pPr>
        <w:ind w:left="900" w:hanging="48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policies and procedures intended to promote environmental responsibility as an integral part of our culture.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maintain an Internet website at www.westerndigital.com. Our Annual Report on Form 10-K, Quarterly Reports on Form 10-Q, Current Reports on Form 8-K and amendments to reports filed or furnished pursuant to Sections 13(a) and 15(d) of the Securities Exchange Act of 1934, as amended, are available on our website at www.westerndigital.com, free of charge, as soon as reasonably practicable after the electronic filing of these reports with, or furnishing of these reports to, the Securities and Exchange Commission (“SEC”). Any materials we file with the SEC are available at the SEC’s Public Reference Room at 100 F Street, NE, Washington, DC 20549. Additional information about the operation of the Public Reference Room can also be obtained by calling the SEC at 1-800-SEC-0330. In addition, the SEC maintains a website at www.sec.gov that contains reports, proxy and information statements and other information regarding issuers that file electronically with the SEC, including us.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21"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business, financial condition and operating results of the Company can be affected by a number of risks and uncertainties, whether currently known or unknown, any one or more of which could, directly or indirectly, cause the Company’s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Adverse global economic conditions and credit market uncertainty could harm our business, results of operations and financial condition.</w:t>
      </w:r>
    </w:p>
    <w:p>
      <w:pPr>
        <w:spacing w:after="0" w:line="11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the June 23, 2016 referendum by British voters to exit the European Union, commonly referred to as “Brexit”. Some of the risks and uncertainties we face as a result of these conditions include the following:</w:t>
      </w:r>
    </w:p>
    <w:p>
      <w:pPr>
        <w:spacing w:after="0" w:line="85" w:lineRule="exact"/>
        <w:rPr>
          <w:sz w:val="20"/>
          <w:szCs w:val="20"/>
          <w:color w:val="auto"/>
        </w:rPr>
      </w:pPr>
    </w:p>
    <w:p>
      <w:pPr>
        <w:ind w:left="660" w:right="20" w:hanging="328"/>
        <w:spacing w:after="0" w:line="29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Volatile Demand and Supplier Risk. Our direct and indirect customers may delay or reduce their purchases of our products and systems containing our 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or partners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56" w:lineRule="exact"/>
        <w:rPr>
          <w:rFonts w:ascii="Arial" w:cs="Arial" w:eastAsia="Arial" w:hAnsi="Arial"/>
          <w:sz w:val="16"/>
          <w:szCs w:val="16"/>
          <w:color w:val="auto"/>
        </w:rPr>
      </w:pPr>
    </w:p>
    <w:p>
      <w:pPr>
        <w:ind w:left="660" w:right="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Restructuring Activities. If demand for our products slows as a result of a deterioration in economic conditions, we may undertake restructuring activities to realign our cost structure with softening demand. The occurrence of restructuring activities could result in impairment charges and other expenses, which could adversely impact our results of operations and financial condition.</w:t>
      </w:r>
    </w:p>
    <w:p>
      <w:pPr>
        <w:spacing w:after="0" w:line="73"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Credit Volatility and Loss of Receivables. We extend credit and payment terms to some of our customers. In addition to ongoing credit evaluations of our customers’ financial condition, we traditionally seek to mitigate our credit risk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to pay us on their accounts receivable balances. Additionally, negative or uncertain global economic conditions increase the risk that if a customer we have insured fails to pay us on their accounts receivable, the financial condition of the insurance carrier for such customer account may have also deteriorated such that it cannot cover our loss. A significant loss of accounts receivable that we cannot recover through credit insurance would have a negative impact on our financial condition.</w:t>
      </w:r>
    </w:p>
    <w:p>
      <w:pPr>
        <w:spacing w:after="0" w:line="70" w:lineRule="exact"/>
        <w:rPr>
          <w:rFonts w:ascii="Arial" w:cs="Arial" w:eastAsia="Arial" w:hAnsi="Arial"/>
          <w:sz w:val="17"/>
          <w:szCs w:val="17"/>
          <w:color w:val="auto"/>
        </w:rPr>
      </w:pPr>
    </w:p>
    <w:p>
      <w:pPr>
        <w:ind w:left="660" w:right="20" w:hanging="328"/>
        <w:spacing w:after="0" w:line="29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Impairment Charges. We test goodwill for impairment annually as of the first day of our fourth fiscal quarter and at other times if events have occurred or circumstances exist that indicate the carrying value of goodwill may no longer be recoverable. Negative or uncertain global economic conditions could result in circumstances, such as a sustained decline in our stock price and market capitalization or a decrease in our forecasted cash flows, indicating that the carrying value of our long-lived assets or goodwill may be impaired. If we are required to record a significant charge to earnings in our consolidated financial statements because of an impairment of our long-lived assets or goodwill, our results of operations will be adversely affected. For example, given the recent volatility of our market capitalization, it is possible that our goodwill could become impaired in the near term which could result in a material charge and adversely affect our results of operations and financial condition.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Integrating SanDisk’s operations with ours may be more difficult, costly or time consuming than expected and the anticipated benefits, synergies and cost savings of the Merger may not be realized.</w:t>
      </w:r>
    </w:p>
    <w:p>
      <w:pPr>
        <w:spacing w:after="0" w:line="6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success of our recent acquisition of SanDisk, including anticipated benefits, synergies and cost savings, will depend, in part, on our ability to successfully combine and integrate the businesses and culture of SanDisk into our company. It is possible that the integration process will take longer than anticipated. In addition, the integration process could result in the loss of key employees, higher than expected costs, ongoing diversion of management attention, the disruption of our ongoing businesses or inconsistencies in standards, controls, procedures and policies that adversely affect our ability to maintain relationships with customers, vendors, partners and employees. If we experience difficulties with the integration process, the anticipated benefits of the Merger may not be realized fully or at all, or may take longer to realize than expected. In addition, the actual cost savings of the Merger could be less than anticipated. Additionally, the integration of SanDisk’s operations into our operations may also increase the risk that our internal controls are found to be ineffective.</w:t>
      </w:r>
    </w:p>
    <w:p>
      <w:pPr>
        <w:spacing w:after="0" w:line="84"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Achieving the benefits of the Merger will depend, in part, on our ability to integrate the business and operations of SanDisk successfully and efficiently with our business. The challenges involved in this integration, which will be complex and time-consuming, include, but are not limited to, the following:</w:t>
      </w:r>
    </w:p>
    <w:p>
      <w:pPr>
        <w:spacing w:after="0" w:line="7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we have no or limited direct prior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managing relationships with our strategic partners, and our combined supplier and customer base;</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coordinating and integrating independent R&amp;D and engineering teams across technologies and product platforms to enhance product development while reducing costs;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levels of investment in R&amp;D, manufacturing capability and technology enhancement relating to SanDisk’s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transitioning to 3D NAND and alternative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coordinating sales and marketing efforts to effectively position the combined company’s capabilities and the direction of product development;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integrating the systems and processes of two companies with complex operations and multiple manufacturing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increased scale and complexity of our operations resulting from the Merger;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obligations that we will have to counterparties of SanDisk that arise as a result of the change in control of SanDisk;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diversion of management attention from other important business objectives.</w:t>
      </w:r>
    </w:p>
    <w:p>
      <w:pPr>
        <w:spacing w:after="0" w:line="11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If we do not successfully manage these issues and the other challenges inherent in integrating an acquired business of the size and complexity of SanDisk, then we may not achieve the anticipated benefits of the Merger and our revenue, expenses, operating results and financial condition could be materially adversely affected.</w:t>
      </w:r>
    </w:p>
    <w:p>
      <w:pPr>
        <w:spacing w:after="0" w:line="73"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i w:val="1"/>
          <w:iCs w:val="1"/>
          <w:color w:val="auto"/>
        </w:rPr>
        <w:t>The incurrence of substantial indebtedness in connection with the financing of the Merger may have an adverse impact on our liquidity, limit our flexibility in responding to other business opportunities and increase our vulnerability to adverse economic and industry conditions.</w:t>
      </w:r>
    </w:p>
    <w:p>
      <w:pPr>
        <w:spacing w:after="0" w:line="3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connection with the Merger, we substantially increased our indebtedness, which could adversely affect our ability to fulfill our obligations and have a negative impact on our financing options and liquidity position. As of July 1, 2016, our total indebtedness was $17.5 billion, and we had $1.0 billion of additional borrowing availability under our revolving credit facility. On April 13, 2016, we issued $1.875 billion in senior secured notes and $3.35 billion in senior unsecured notes. We also entered into new senior credit facilities on April 29, 2016 and an additional $3.0 billion bridge facility on May 12, 2016 under which we have borrowed in the aggregate approximately $11.9 billion as of the date of this Annual Report on Form 10-K. The proceeds from the notes issuance and new credit facilities were used to pay part of the purchase price for the Merger, refinance existing indebtedness of WD and SanDisk and pay related transaction-related fees and expenses. On July 21, 2016, we repaid the $3.0 billion bridge facility in full. On August 17, 2016 we issued a new $3.0 billion U.S. dollar-denominated Term Loan B-1. In connection with this transaction, we settled the previous U.S. Term Loan B tranche with the proceeds of this new loan and a voluntary cash prepayment of $750 million.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117" w:lineRule="exact"/>
        <w:rPr>
          <w:sz w:val="20"/>
          <w:szCs w:val="20"/>
          <w:color w:val="auto"/>
        </w:rPr>
      </w:pPr>
    </w:p>
    <w:p>
      <w:pPr>
        <w:ind w:left="660" w:right="5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in the future for working capital, capital expenditures, acquisitions or other general corporate purposes;</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refinance our indebtedness on terms acceptable to us or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imposing restrictive covenants on our operations;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breach the covenants under our debt agreements, causing an event of default under the applicable indebtedness, which, if not cured or waived, could result in us having to repay our indebtedness before their due dates or result in cross defaults;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carrying less debt;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w:t>
      </w:r>
    </w:p>
    <w:p>
      <w:pPr>
        <w:spacing w:after="0" w:line="11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our credit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7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may from time to time seek to refinance the substantial indebtedness we incurred to finance the Merger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If we are unable to successfully integrate the business and operations of HGST, our business and financial condition may be adversely affected.</w:t>
      </w:r>
    </w:p>
    <w:p>
      <w:pPr>
        <w:spacing w:after="0" w:line="1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obtaining the regulatory approvals required to complete the acquisition of HGST, we agreed to certain conditions required by MOFCOM, including adopting measures to keep HGST as an independent competitor until MOFCOM agreed otherwise. On October 19, 2015, MOFCOM announced that it had made a decision allowing us to integrate substantial portions of our HGST and WD subsidiaries, provided that we continue to offer both HGST and WD product brands and maintain separate sales teams that will separately offer products under the WD and HGST brands for two years from the date of the decision.</w:t>
      </w:r>
    </w:p>
    <w:p>
      <w:pPr>
        <w:spacing w:after="0" w:line="8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result of MOFCOM’s decision, we immediately began planning for the integration of the substantial portions of our HGST and WD subsidiaries that we are now allowed to integrate (including corporate functions, R&amp;D, recording heads and magnetic media operations, engineering and manufacturing). We expect this integration to continue through the end of calendar year 2017. Our integration efforts during this time may involve significant management time and create uncertainty for employees and customers. Any delays in the integration process could have a material adverse effect on our business, results of operations and financial condition. It is possible that the integration process could result in the loss of key employees, the loss of customers, the disruption of our company’s ongoing business or in unexpected integration issues, higher than expected integration costs and an overall integration process that takes longer than originally anticipated. Additionally, the integration of the operations of our HGST and WDT subsidiaries may also increase the risk that our internal controls are found to be ineffective. Further, until we are able to begin combining our HGST and WD product brands and sales teams on October 19, 2017, we will continue to incur additional costs to maintain separate brands and sales teams. These additional costs, along with any delay in the integration process or higher than expected integration costs or other integration issues, could adversely affect our ability to achieve the full operating expense synergies we expect from integration of the businesses of our HGST and WDT subsidiaries. Any failure to achieve the full operating expense synergies that we expect from this integration could harm our business and financial condition. Achieving these synergies is also subject to significant business, operational, economic and competitive uncertainties and contingencies, and we cannot assure you that any or all of these synergies will be achieved in the anticipated amounts or within the anticipated timeframes or cost expectations or at all.</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We participate in a highly competitive industry that is subject to declining average selling prices (“ASPs”), volatile gross margins and significant shifts in market share, all of which could adversely affect our operating results and financial condition.</w:t>
      </w:r>
    </w:p>
    <w:p>
      <w:pPr>
        <w:spacing w:after="0" w:line="6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PCs and mobile devices) manufactured by our customers and on storage upgrades to existing systems. The demand for systems has been volatile in the past and often has had an exaggerated effect on the demand for our products in any given period. The price of NAND flash memory is also influenced by, among other factors, the balance between supply and demand, including the effects of new fab capacity in the industry, macroeconomic factors, business conditions, technology transitions, conversion of industry DRAM capacity to NAND, conversion of 2D NAND capacity to 3D NAND or other actions taken by us or our competitors. The storage market has experienced periods of excess capacity, which can lead to liquidation of excess inventories and more intense price competition. If more intense price competition occurs, we may be forced to lower prices sooner and more than expected, which could adversely impact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Rapid technological changes often reduce the volume and profitability of sales of existing products and increase the risk of inventory obsolescence.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6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6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experience significant sales seasonality and cyclicality, which could cause our operating results to fluctuate.</w:t>
      </w:r>
    </w:p>
    <w:p>
      <w:pPr>
        <w:spacing w:after="0" w:line="11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Sales of computer systems, mobile devices, storage subsystems, gaming consoles and consumer electronics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Our sales to the CE, cloud computing, network attached storage (NAS), surveillance systems and enterprise markets, which have accounted for and may continue accounting for an increasing percentage of our overall revenue, may grow at a slower rate than current estimates or not at all, which could materially adversely impact our operating results and financial condition.</w:t>
      </w:r>
    </w:p>
    <w:p>
      <w:pPr>
        <w:spacing w:after="0" w:line="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secular growth of digital data has resulted in a more diversified mix of revenue from the CE, cloud computing, NAS, surveillance systems and enterprise markets. As sales into these markets have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79" w:lineRule="exact"/>
        <w:rPr>
          <w:sz w:val="20"/>
          <w:szCs w:val="20"/>
          <w:color w:val="auto"/>
        </w:rPr>
      </w:pPr>
    </w:p>
    <w:p>
      <w:pPr>
        <w:ind w:left="660" w:right="4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Mobile Devices. There has been and continues to be a rapid growth in devices that do not contain a hard drive such as tablet computers and 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even after our acquisition of SanDisk, demand for our products in these markets may decrease and our financial results could be materially adversely affected. In addition, global slowdown in the growth rate of mobile devices will also negatively impact our financial results.</w:t>
      </w:r>
    </w:p>
    <w:p>
      <w:pPr>
        <w:spacing w:after="0" w:line="85" w:lineRule="exact"/>
        <w:rPr>
          <w:rFonts w:ascii="Arial" w:cs="Arial" w:eastAsia="Arial" w:hAnsi="Arial"/>
          <w:sz w:val="18"/>
          <w:szCs w:val="18"/>
          <w:color w:val="auto"/>
        </w:rPr>
      </w:pPr>
    </w:p>
    <w:p>
      <w:pPr>
        <w:ind w:left="660" w:right="20" w:hanging="328"/>
        <w:spacing w:after="0" w:line="270"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Enterprise. The enterprise storage space is comprised of customers with long design, qualification and test cycles prior to sales. We spend substantial time and resources in our sales process without any assurance that our efforts will produce any customer orders on the timelines or in the quantities we expect. These lengthy and uncertain processes also make it difficult for us to forecast demand and timing of customer orders. Due to longer customer product cycles, we may not be able to transition customers to our leading edge products, which would prevent us from benefitting from the technology transitions that enable cost reductions, which may harm our gross margin. Demand for our enterprise solutions from our hyperscale customers is correlated to large projects and expansions which can be sporadic, resulting in demand that is lumpy and less consistent than the consumer-driven demand for many of our solutions. Hyperscale customers may place orders for significant volumes with short lead times that may be difficult for us to fulfill, and sales to hyperscale customers may negatively impact gross margins due to product mix and pricing, each of which could adversely affect our business. In addition, hyperscale companies may internally develop enterprise storage solutions that reduce the demand for our solutions.</w:t>
      </w:r>
    </w:p>
    <w:p>
      <w:pPr>
        <w:spacing w:after="0" w:line="69" w:lineRule="exact"/>
        <w:rPr>
          <w:rFonts w:ascii="Arial" w:cs="Arial" w:eastAsia="Arial" w:hAnsi="Arial"/>
          <w:sz w:val="17"/>
          <w:szCs w:val="17"/>
          <w:color w:val="auto"/>
        </w:rPr>
      </w:pPr>
    </w:p>
    <w:p>
      <w:pPr>
        <w:ind w:left="660" w:right="20" w:hanging="328"/>
        <w:spacing w:after="0" w:line="29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Cloud Computing. Consumers traditionally have stored their data on their PC, often supplemented with personal external storage devices. Most businesses also include similar local storage as a primary or secondary storage location. This storage is typically provided by HDDs and increasingly SSDs. With cloud computing, applications and data are hosted, accessed and processed through a third-party provider over a broadband Internet connection, potentially reducing or eliminating the need for, among other things, significant storage inside the accessing electronic device. Even if we are successful at increasing revenues from sales to cloud computing customers, if we are not successful in manufacturing compelling products to address the cloud computing opportunity, demand for our products in these other markets may decrease and our financial results could be materially adversely affected. Demand for cloud computing solutions themselves may be volatile due to differing patterns of technology adoption and innovation, improved data storage efficiency by cloud computing service providers, and concerns about data protection by end users.</w:t>
      </w:r>
    </w:p>
    <w:p>
      <w:pPr>
        <w:spacing w:after="0" w:line="5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Obsolete Inventory. In some cases, products we manufacture for these markets are uniquely configured for a single customer’s application, creating a risk of obsolete inventory if anticipated demand is not actually realized. In addition, rapid technological change in our industry increases the risk of inventory obsolescence.</w:t>
      </w:r>
    </w:p>
    <w:p>
      <w:pPr>
        <w:spacing w:after="0" w:line="73"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Macroeconomic Conditions. Consumer spending has been, and may continue to be, adversely affected in many regions due to negative macroeconomic conditions and high unemployment levels. Please see the risk factor entitled “</w:t>
      </w:r>
      <w:r>
        <w:rPr>
          <w:rFonts w:ascii="Arial" w:cs="Arial" w:eastAsia="Arial" w:hAnsi="Arial"/>
          <w:sz w:val="18"/>
          <w:szCs w:val="18"/>
          <w:i w:val="1"/>
          <w:iCs w:val="1"/>
          <w:color w:val="auto"/>
        </w:rPr>
        <w:t>Adverse global economic conditions and credit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could harm our business, results of operations and financial condition</w:t>
      </w:r>
      <w:r>
        <w:rPr>
          <w:rFonts w:ascii="Arial" w:cs="Arial" w:eastAsia="Arial" w:hAnsi="Arial"/>
          <w:sz w:val="18"/>
          <w:szCs w:val="18"/>
          <w:color w:val="auto"/>
        </w:rPr>
        <w:t>” for additional risks and uncertainties relating to macroeconomic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demand in these areas also could be negatively impacted by developments in the regulation and enforcement of digital rights management and the emergence of new technologies, such as data 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and financial condition. Furthermore, our ability to accurately read and respond to market trends, such as trends relating to the Internet of Things or big data, could harm our results.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Deterioration in the PC market may continue or accelerate, which could cause our operating results to suffer.</w:t>
      </w:r>
    </w:p>
    <w:p>
      <w:pPr>
        <w:spacing w:after="0" w:line="11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While sales to non-PC markets are becoming a more significant source of revenue, sales to the PC market remain an important part of our business. We believe that sales of PCs have declined due to fundamental changes in the PC market, including the growth of alternative mobile devices and the lengthening of product life cycles, and that further deterioration of the PC market may continue or accelerate, which could cause our operating results and financial condition to suffer. Additionally, if demand in the PC market is worse than expected as a result of these or other conditions, or demand for our products in the PC market decreases at a faster rate than expected, our operating results and financial condition may be adversely affected.</w:t>
      </w:r>
    </w:p>
    <w:p>
      <w:pPr>
        <w:spacing w:after="0" w:line="5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We must successfully respond to the rapid change away from traditional advertising media, marketing and sales methods to the use of Internet media and advertising, particularly social media, and online sales, or our brand and retail sales could be negatively affected.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 HGST™ or SanDisk brand products, our operating results may be adversely affected. A significant portion of our sales is made through retailers, and if our retailers are not successful in selling our products, not only would our revenue decrease, but we could also experience lower gross margin due to the return of unsold inventory or the protection we provide to retailers against price declines.</w:t>
      </w:r>
    </w:p>
    <w:p>
      <w:pPr>
        <w:spacing w:after="0" w:line="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89" w:lineRule="exact"/>
        <w:rPr>
          <w:sz w:val="20"/>
          <w:szCs w:val="20"/>
          <w:color w:val="auto"/>
        </w:rPr>
      </w:pPr>
    </w:p>
    <w:p>
      <w:pPr>
        <w:ind w:right="60" w:firstLine="648"/>
        <w:spacing w:after="0" w:line="323"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 of market share with or by a key customer, or consolidation among our customer base, could harm our operating results.</w:t>
      </w:r>
    </w:p>
    <w:p>
      <w:pPr>
        <w:spacing w:after="0" w:line="11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fiscal year ended July 1, 2016, 43%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8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we could decide not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57" w:lineRule="exact"/>
        <w:rPr>
          <w:sz w:val="20"/>
          <w:szCs w:val="20"/>
          <w:color w:val="auto"/>
        </w:rPr>
      </w:pPr>
    </w:p>
    <w:p>
      <w:pPr>
        <w:ind w:right="620" w:firstLine="324"/>
        <w:spacing w:after="0" w:line="264" w:lineRule="auto"/>
        <w:rPr>
          <w:sz w:val="20"/>
          <w:szCs w:val="20"/>
          <w:color w:val="auto"/>
        </w:rPr>
      </w:pPr>
      <w:r>
        <w:rPr>
          <w:rFonts w:ascii="Arial" w:cs="Arial" w:eastAsia="Arial" w:hAnsi="Arial"/>
          <w:sz w:val="18"/>
          <w:szCs w:val="18"/>
          <w:i w:val="1"/>
          <w:iCs w:val="1"/>
          <w:color w:val="auto"/>
        </w:rPr>
        <w:t>Expansion into new markets may increase the complexity of our business, cause us to increase our R&amp;D expenses to develop new products and technologies or cause our capital expenditures to increase, and if we are unable to successfully adapt our business processes and product offerings as required by these new markets, our ability to grow will be adversely affected.</w:t>
      </w:r>
    </w:p>
    <w:p>
      <w:pPr>
        <w:spacing w:after="0" w:line="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To remain a significant supplier in the storage industry and to expand into new markets, we will need to offer a broader range of storage products to our customers. We currently offer a variety of 3.5-inch and 2.5-inch hard drives, solid state drives and systems, flash storage solutions, and other products for the PC, mobile, enterprise, data center and other storage markets. As we expand our product lines to sell into new markets, such as our recent entry into active archive systems and new flash memory business through the Merger, including the vertically integrated business model through Flash Ventures,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other markets may result in increases in R&amp;D expenses and substantial investments in manufacturing capability, technology enhancements and go-to-market capability. Flash Ventures requires significant investments by both Toshiba and us for technology transitions, including the transition to 3D NAND, and capacity expansions. If we fail to successfully expand into new markets with products that we do not currently offer, we may lose business to our competitors or new entrants who offer these products.</w:t>
      </w:r>
    </w:p>
    <w:p>
      <w:pPr>
        <w:spacing w:after="0" w:line="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i w:val="1"/>
          <w:iCs w:val="1"/>
          <w:color w:val="auto"/>
        </w:rPr>
        <w:t>Our vertical integration of recording head and magnetic media manufacturing makes us dependent on our ability to timely and cost-effectively develop recording heads and magnetic media with leading technology and overall quality, increasing capital expenditure costs and asset utilization risks for our business.</w:t>
      </w:r>
    </w:p>
    <w:p>
      <w:pPr>
        <w:spacing w:after="0" w:line="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develop and manufacture a substantial portion of the recording heads and magnetic media used in the hard drive products we produce. Consequently, we are more dependent upon our own development and execution efforts and less able to take advantage of recording head and magnetic media technologies developed by other manufacturers. Technology transition for recording heads and magnetic media designs is critical to increasing our volume production of recording heads and magnetic media. We may be unsuccessful in timely and cost-effectively developing and manufacturing recording heads or magnetic media for products using future technologies. We also may not effectively transition our recording head or magnetic media design and technology to achieve acceptable manufacturing yields using the technologies necessary to satisfy our customers’ product needs, or we may encounter quality problems with the recording heads or magnetic media we manufacture. If we are unable to timely and cost-effectively develop recording heads and magnetic media with leading technology and overall quality, our ability to sell our products may be significantly diminished, which could materially and adversely affect our business and financial results.</w:t>
      </w:r>
    </w:p>
    <w:p>
      <w:pPr>
        <w:spacing w:after="0" w:line="7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as a result of our vertical integration of recording heads and magnetic media manufacturing, we make more capital investments and carry a higher percentage of fixed costs than we would if we were not vertically integrated. If our overall level of production decreases for any reason, and we are unable to reduce our fixed costs to match sales, our recording head or magnetic media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recording head or magnetic media manufacturing operations, our ongoing operations could be disrupted, resulting in a decrease in our revenue or profit margins and negatively impacting our operating results.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a leading supplier of hard drives and flash storage solutions, we make significant investments to maintain our existing products and to lead innovation and development of new technologies. This strategy requires us to make significant investments in R&amp;D. In addition, we may increase our capital expenditures and expenses above our historical run-rate model in order to remain competitive or as a result of the Merger with SanDisk, which has historically maintained higher levels of investment in R&amp;D than our company. The current inherent physical limitations associated with storage technologies are resulting in more costly capital expenditures that reduce the cost benefits of technology transitions and could limit our ability to keep pace with reductions in ASPs. These investments may not result in viable technologies or products, and even if they do result in viable technologies or products, they may not be profitable or accepted by the market.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Current or future competitors may gain a technology advantage or develop an advantageous cost structure that we cannot match.</w:t>
      </w:r>
    </w:p>
    <w:p>
      <w:pPr>
        <w:spacing w:after="0" w:line="11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price, capacity, performance, reliability, serviceability, industry standards or formats, brand and marketing,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Consolidation within the data storage industry could provide competitive advantages to our competitors.</w:t>
      </w:r>
    </w:p>
    <w:p>
      <w:pPr>
        <w:spacing w:after="0" w:line="11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data storage industry as a whole has experienced consolidation over the past several years through acquisitions, mergers and decisions by industry players to exit the industry. Consolidation across the industry, including by our competitors, may enhance their capacity, abilities and resources and lower their cost structure, causing us to be at a competitive disadvantage.</w:t>
      </w:r>
    </w:p>
    <w:p>
      <w:pPr>
        <w:spacing w:after="0" w:line="7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Some of our competitors with diversified business units outside of storage products, may, over extended periods of time, sell storage products at prices that we cannot profitably match.</w:t>
      </w:r>
    </w:p>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If we fail to qualify our products and achieve design wins with our customers, it may have a significant adverse impact on our sales and margins.</w:t>
      </w:r>
    </w:p>
    <w:p>
      <w:pPr>
        <w:spacing w:after="0" w:line="1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regularly engage in new product qualification with our customers, and the product qualification process may be lengthy for some customers, including those in enterprise storage.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and hyperscale customers,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 Moreover, in transitioning to new technologies, such as 3D NAND, and products, we may not achieve design wins, our customers may delay transition to these new technologies, our competitors may transition more quickly than we do, or we may experience product delays, cost overruns or performance issues that could harm our operating results and financial condition.</w:t>
      </w:r>
    </w:p>
    <w:p>
      <w:pPr>
        <w:spacing w:after="0" w:line="61"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i w:val="1"/>
          <w:iCs w:val="1"/>
          <w:color w:val="auto"/>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73"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ODM customers. Our business liability insurance may be inadequate or future coverage may be unavailable on acceptable terms, which could adversely impact our operating results and financial condition.</w:t>
      </w:r>
    </w:p>
    <w:p>
      <w:pPr>
        <w:spacing w:after="0" w:line="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8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5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and subject us to liability.</w:t>
      </w:r>
    </w:p>
    <w:p>
      <w:pPr>
        <w:spacing w:after="0" w:line="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We rely substantially on our business ventures and strategic partnerships with Toshiba for the supply of NAND flash memory, which subjects us to risks and uncertainties that could harm our business, financial condition and operating results.</w:t>
      </w:r>
    </w:p>
    <w:p>
      <w:pPr>
        <w:spacing w:after="0" w:line="6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are dependent on Flash Ventures and other strategic relationships with Toshiba for our NAND flash memory supply, and therefore our business, financial condition and operating results, and our ability to realize the anticipated benefits from the Merger, will be dependent on the success of Flash Ventures and other strategic relationships with Toshiba.</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A majority of our NAND flash memory is supplied by Flash Ventures, which limits our ability to respond to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or lower of cost or net realizable value inventory write-downs or under-utilization charges, and the potential impairment of our investments in Flash Ventures. On the other hand, if we or Toshiba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and share as a result. If our NAND memory supply is limited, we may make strategic decisions with respect to the allocation of our supply among our products and customers, and these strategic allocation decisions may result in less favorable gross margin in the short term or damage certain customer relationships. Growth of our NAND flash memory bit supply at a slower rate than the overall industry for an extended period of time would result in lowering our share which could limit our future opportunities and harm our financial results. We are also contractually obligated to pay for 50% of the fixed costs of Flash Ventures regardless of whether we purchase any wafers from Flash Ventures. Furthermore, purchase orders placed with Flash Ventures and under the foundry arrangements with Toshiba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In addition, we partner with Toshiba on the development of NAND flash technology. SanDisk has entered into strategic partnerships with Toshiba relating to R&amp;D for the next technology transitions of NAND flash and alternative technologies beyond NAND flash technologies.</w:t>
      </w:r>
    </w:p>
    <w:p>
      <w:pPr>
        <w:spacing w:after="0" w:line="38"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These ventures and strategic partnerships are subject to various risks that could harm the value of our investments, our revenue and costs, our future rate of spending, our technology plans and our future growth opportunities. Under the terms of SanDisk’s venture agreements with Toshiba, which govern the operations of Flash Ventures, we have limited power to unilaterally direct most of the activities that most significantly impact Flash Ventures’ performance.</w:t>
      </w:r>
    </w:p>
    <w:p>
      <w:pPr>
        <w:spacing w:after="0" w:line="292" w:lineRule="auto"/>
        <w:rPr>
          <w:sz w:val="20"/>
          <w:szCs w:val="20"/>
          <w:color w:val="auto"/>
        </w:rPr>
      </w:pPr>
      <w:r>
        <w:rPr>
          <w:rFonts w:ascii="Arial" w:cs="Arial" w:eastAsia="Arial" w:hAnsi="Arial"/>
          <w:sz w:val="16"/>
          <w:szCs w:val="16"/>
          <w:color w:val="auto"/>
        </w:rPr>
        <w:t>Although SanDisk and Toshiba have a long history of aligning on important manufacturing and technology development decisions, the integration of SanDisk into our organization could complicate the process of reaching agreement with Toshiba in a timely and favorable manner. We may not always agree with Toshiba on the NAND R&amp;D roadmap, the technology path beyond NAND flash memory, or expansions or conversions of production capacity. A change in the management or control of Toshiba’s storage business could lead to delays in decision-making or changes in strategic direction that could also adversely impact Flash Ventures. In addition, Toshiba’s financial position or shift in strategic priorities could adversely impact our business.</w:t>
      </w:r>
    </w:p>
    <w:p>
      <w:pPr>
        <w:spacing w:after="0" w:line="5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Flash Ventures requires significant investments by both Toshiba and us for technology transitions, including the transition to 3D NAND, and capacity expansions. In March 2016, Toshiba announced plans to construct a new wafer fab in Yokkaichi, Japan, to provide additional cleanroom space for expanded 3D NAND production. Although we intend to extend the joint venture partnership with Toshiba to the new wafer fab, there is no certainty as to when, and on what terms, we will participate with Toshiba in any investment in, or use of, the new wafer fab, if at all. Failure to extend the joint venture partnership or failure to continue to secure and invest in additional cleanroom space to support the continued 3D NAND transition could adversely impact our supply of captive NAND flash memory and financial results. If Toshiba does not or we do not provide sufficient resources or have adequate access to credit, these investments could be delayed or reduced. In addition, in the event that lease financings for Flash Ventures are not available on favorable terms or at all, more cash would be required to fund these investments.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strategic relationships subject us to risks that could adversely affect our business, financial condition and results of operations.</w:t>
      </w:r>
    </w:p>
    <w:p>
      <w:pPr>
        <w:spacing w:after="0" w:line="11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have entered into strategic relationships with various partners for future product development, sales growth and the supply of technologies, components, equipment and materials for use in our product design and manufacturing, including our relationships with Toshiba for NAND flash memory supply. In addition, in November 2015, we entered into an agreement to form a joint venture with Unis to market and sell our current data center storage systems in China and to develop data storage systems for the Chinese market in the future; the joint venture is 49% owned by us and 51% owned by Unis and its subsidiary, Unissoft (Wuxi) Group Co. Ltd. Please see the risk factor entitled “</w:t>
      </w:r>
      <w:r>
        <w:rPr>
          <w:rFonts w:ascii="Arial" w:cs="Arial" w:eastAsia="Arial" w:hAnsi="Arial"/>
          <w:sz w:val="16"/>
          <w:szCs w:val="16"/>
          <w:i w:val="1"/>
          <w:iCs w:val="1"/>
          <w:color w:val="auto"/>
        </w:rPr>
        <w:t>Because we are dependent on a limited number of qualified suppliers for</w:t>
      </w:r>
      <w:r>
        <w:rPr>
          <w:rFonts w:ascii="Arial" w:cs="Arial" w:eastAsia="Arial" w:hAnsi="Arial"/>
          <w:sz w:val="16"/>
          <w:szCs w:val="16"/>
          <w:color w:val="auto"/>
        </w:rPr>
        <w:t xml:space="preserve"> </w:t>
      </w:r>
      <w:r>
        <w:rPr>
          <w:rFonts w:ascii="Arial" w:cs="Arial" w:eastAsia="Arial" w:hAnsi="Arial"/>
          <w:sz w:val="16"/>
          <w:szCs w:val="16"/>
          <w:i w:val="1"/>
          <w:iCs w:val="1"/>
          <w:color w:val="auto"/>
        </w:rPr>
        <w:t>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6"/>
          <w:szCs w:val="16"/>
          <w:color w:val="auto"/>
        </w:rPr>
        <w:t>” for a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the risks associated with our reliance on external suppliers. These strategic relationships are subject to various risks that could adversely affect the value of our investments and our results of operations and financial condition. These risks include, but are not limited to, the following:</w:t>
      </w:r>
    </w:p>
    <w:p>
      <w:pPr>
        <w:spacing w:after="0" w:line="59" w:lineRule="exact"/>
        <w:rPr>
          <w:sz w:val="20"/>
          <w:szCs w:val="20"/>
          <w:color w:val="auto"/>
        </w:rPr>
      </w:pPr>
    </w:p>
    <w:p>
      <w:pPr>
        <w:ind w:left="660" w:right="1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and transferring technology to, our business ventures;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140"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differing business models or long-term business goals, our partners may decide not to join us in funding capital investment by our business ventures, which may result in higher levels of cash expenditures by us;</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lose the rights to technology or products being developed by the strategic relationship, including if any of our co-venturers is acquired by another company, files for bankruptcy or experiences financial or other losses;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6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i w:val="1"/>
          <w:iCs w:val="1"/>
          <w:color w:val="auto"/>
        </w:rPr>
        <w:t>Because we are dependent on a limited number 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p>
    <w:p>
      <w:pPr>
        <w:spacing w:after="0" w:line="7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depend on an external supply base for technologies, software (including firmware),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Our supply base has experienced industry consolidation. Where we rely on a limited number of suppliers or a single supplier, the risk of supplier loss due to industry consolidation is enhanced. Any disruption in our supply chain could reduce our revenue and adversely impact our financial results.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We do not have long-term contracts with some of our existing suppliers, nor do we always have guaranteed manufacturing capacity with our suppliers and, therefore, we cannot guarantee that they will devote sufficient resources or capacity to manufacturing our products. We are not able to directly control product delivery schedules or quality assurance. Furthermore, we manufacture on a turnkey basis with some of our suppliers. In these arrangements, we do not have visibility and control of our suppliers’ inventories of purchased parts necessary to build our products or of the progress of our products through their assembly line.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5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products require controllers and firmware. We rely on a limited number of third-party vendors to develop or supply controllers for many of our high-value solutions. Any delays or cost increases in developing or sourcing controllers or firmware, or incompatibility or quality issues relating to the controllers or firmware in our products, could harm our financial results as well as business relationships with our customers.</w:t>
      </w:r>
    </w:p>
    <w:p>
      <w:pPr>
        <w:spacing w:after="0" w:line="5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 majority of our flash memory is currently supplied by Flash Ventures and, to a much lesser extent, by third-party silicon suppliers. Any disruption or shortage in supply of flash memory from our captive or non-captive sources would harm our operating results and financial condition. Many of the risks that affect us also affect our supply base and Flash Ventures, including, but not limited to, having single site manufacturing locations and other facilities based in high risk regions of the world (for example, Flash Ventures is located in Yokkaichi, Japan), natural disasters, power shortages, macro and local economic conditions, shortages of commodity materials, proper management of technology transitions, geo-political risks, employee strikes and other labor actions, compliance with legal requirements, financial instability and exposure to intellectual property (“IP”) and other litigation, including an injunction or other action that could delay shipping. If any of these risks were to affect our suppliers or Flash Ventures,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and strategic partners to develop new technologies and, as a result, we may become subject to litigation from our suppliers, strategic partners or third parties.</w:t>
      </w:r>
    </w:p>
    <w:p>
      <w:pPr>
        <w:spacing w:after="0" w:line="6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Some of our suppliers have also experienced a decline in financial performance.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Our success in new product areas may be dependent on our ability to develop close relationships with new suppliers, with preferential agreements. Where this cannot be done, our business and operations may be adversely affected.</w:t>
      </w:r>
    </w:p>
    <w:p>
      <w:pPr>
        <w:spacing w:after="0" w:line="70" w:lineRule="exact"/>
        <w:rPr>
          <w:sz w:val="20"/>
          <w:szCs w:val="20"/>
          <w:color w:val="auto"/>
        </w:rPr>
      </w:pPr>
    </w:p>
    <w:p>
      <w:pPr>
        <w:ind w:right="340" w:firstLine="648"/>
        <w:spacing w:after="0" w:line="273" w:lineRule="auto"/>
        <w:rPr>
          <w:sz w:val="20"/>
          <w:szCs w:val="20"/>
          <w:color w:val="auto"/>
        </w:rPr>
      </w:pPr>
      <w:r>
        <w:rPr>
          <w:rFonts w:ascii="Arial" w:cs="Arial" w:eastAsia="Arial" w:hAnsi="Arial"/>
          <w:sz w:val="17"/>
          <w:szCs w:val="17"/>
          <w:color w:val="auto"/>
        </w:rPr>
        <w:t>In addition to an external supply base, we also rely on an internal supply chain of heads, media and media substrate, and we rely on our business ventures with Toshiba for the supply of NAND flash memory. Please see the risk factors entitled, “</w:t>
      </w:r>
      <w:r>
        <w:rPr>
          <w:rFonts w:ascii="Arial" w:cs="Arial" w:eastAsia="Arial" w:hAnsi="Arial"/>
          <w:sz w:val="17"/>
          <w:szCs w:val="17"/>
          <w:i w:val="1"/>
          <w:iCs w:val="1"/>
          <w:color w:val="auto"/>
        </w:rPr>
        <w:t>A fundamental change in storage technologies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standards could result in significant increases in our costs and could put us at a competitive disadvantage,” “If we do not properly manage technology transitions, our competitiveness and operating results may be negatively affected,” and “We rely substantially on our business ventures and strategic partnerships with Toshiba for the supply of NAND flash memory, which subjects us to risks and uncertainties that could harm our business, financial condition and operating results” </w:t>
      </w:r>
      <w:r>
        <w:rPr>
          <w:rFonts w:ascii="Arial" w:cs="Arial" w:eastAsia="Arial" w:hAnsi="Arial"/>
          <w:sz w:val="17"/>
          <w:szCs w:val="17"/>
          <w:color w:val="auto"/>
        </w:rPr>
        <w:t>for a review of some of the risks related to these supplies.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Price volatility, shortages of critical materials or components, or use by other industries of materials and components used in the storage industry, may negatively impact our operating results.</w:t>
      </w:r>
    </w:p>
    <w:p>
      <w:pPr>
        <w:spacing w:after="0" w:line="6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 flash,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6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Contractual commitments with component suppliers may result in us paying increased charges and cash advances for such components or may cause us to have inadequate or excess component inventory.</w:t>
      </w:r>
    </w:p>
    <w:p>
      <w:pPr>
        <w:spacing w:after="0" w:line="6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 we do not properly manage technology transitions, our competitiveness and operating results may be negatively affected.</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For example, as 2D NAND technology reaches its limits of cost effective technology scaling, our successful development of 3D NAND and alternative technologies, such as 3D ReRAM, and transitioning our customers to these technologies in a timely and effective manner are crucial to continuing the cost reductions necessary to maintain adequate gross margin.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NAND flash memory producers or may not fall commensurate with declines in the price of NAND flash memory, which would harm revenues, our gross margin and operating results.</w:t>
      </w:r>
    </w:p>
    <w:p>
      <w:pPr>
        <w:spacing w:after="0" w:line="5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Many companies, including some of our competitors, have developed or are attempting to develop alternative non-volatile technologies. Successful broad-based commercialization of one or more competing technologies, as well as differing strategies and timing with respect to the transition from 2D NAND to 3D NAND, could reduce the competitiveness and future revenue and profitability of our 2D NAND and 3D NAND flash technologies, and the potential 3D ReRAM technology that we are developing with our partners. In addition, we generate license and royalty revenue from NAND flash technology, and if NAND flash technology is replaced by a technology where our IP is less relevant, our license and royalty revenue would decrease. Also, we may not have access to alternative technologies that we do not develop internally and we may have to pay royalties in order to access such technologies.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1"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product life cycles could adversely affect our financial results.</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product life cycles lengthen, we may need to develop new technologies or programs to reduce our costs on any particular product to maintain competitive pricing for that product. Longer product life cycles could also restrict our ability to transition customers to our newer products in a timely manner, or at all, negatively impacting our ability to recoup our significant R&amp;D investments to improve our existing technology and develop new technologies.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57"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i w:val="1"/>
          <w:iCs w:val="1"/>
          <w:color w:val="auto"/>
        </w:rPr>
        <w:t>A fundamental change in storage technologies and standards could result in significant increases in our costs and could put us at a competitive disadvantage.</w:t>
      </w:r>
    </w:p>
    <w:p>
      <w:pPr>
        <w:spacing w:after="0" w:line="6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Historically, when the industry experiences a fundamental change in storage technologies or standards, any manufacturer that fails to successfully and timely adjust its designs and processes to accommodate the new technology or standard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In addition, many companies, including some of our competitors, have developed or are attempting to develop alternative non-volatile technologies, including non-NAND technologies such as magnetorestitive RAM, ReRAM, 3D XPoint, phase change and Memristor, as well as NAND based vertical or stacked 3D memories based on charge trap, floating gate and other cell architecture. In embedded solutions, certain competitors have recently introduced a mobile storage standard referred to as Universal Flash Storage, or UFS, and in the datacenter market, certain competitors have recently introduced a non-volatile memory express, or NVMe, product that can be used as a substitute for our PCIe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6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The difficulty of introducing hard drives with higher levels of areal density and the challenges of reducing other costs may impact our ability to achieve historical levels of cost reduction.</w:t>
      </w:r>
    </w:p>
    <w:p>
      <w:pPr>
        <w:spacing w:after="0" w:line="62"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recording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73"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2009 license agreement with Samsung expired on August 14, 2016. If we are unable to negotiate a new agreement or if we negotiate a new agreement on less favorable terms such as a lower effective royalty rate compared to the expired license agreement, we will experience a decrease in license and royalty revenue.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 we do not properly manage new product development, our competitiveness and operating results may be negatively affected.</w:t>
      </w:r>
    </w:p>
    <w:p>
      <w:pPr>
        <w:spacing w:after="0" w:line="11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success depends in part on our ability to develop and introduce new products in a timely manner in order to keep pace with technology advancements. Advances in semiconductor technology have resulted in other emerging technologies that can be competitive with traditional storage technologies. We may be unsuccessful in anticipating and developing new and improved products for the client, enterprise and other storage markets in response to competing technologies. If our hard drive, solid state products and our storage solutions products fail to offer a superior value proposition to alternative storage products, we will be at a competitive disadvantage and our business will suffer. In some cases, our customers’ demand for a more diversified portfolio results in investments in new products for a particular market that do not necessarily expand overall market opportunity, which may negatively affect our operating results. As we introduce new products, standards or technologies, it can take time for these new standards or technologies to be adopted, for consumers to accept and transition to these new standards or technologies and for significant sales to be generated, if at all. Failure of consumers or enterprises to adopt our new products, standards or technologies could harm our results of operations as we fail to reap the benefits of our investments.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these new products.</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particular, as part of our growth strategy, we have made significant investments in active archive systems, which are designed to enable organizations to rapidly access massive long-term data stores. For example, our acquisition of Amplidata was partially driven by our strategy to expand in this area. We expect to continue to make significant investments in active archive systems. Our active archive systems may fail to gain market acceptance, or the market for active archive systems may not grow as we anticipate.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52525"/>
        </w:rPr>
        <w:t>have also seen, and anticipate continuing to see, an increase in customers requesting that we develop products, including software associated</w:t>
      </w:r>
      <w:r>
        <w:rPr>
          <w:rFonts w:ascii="Arial" w:cs="Arial" w:eastAsia="Arial" w:hAnsi="Arial"/>
          <w:sz w:val="16"/>
          <w:szCs w:val="16"/>
          <w:color w:val="auto"/>
        </w:rPr>
        <w:t xml:space="preserve"> </w:t>
      </w:r>
      <w:r>
        <w:rPr>
          <w:rFonts w:ascii="Arial" w:cs="Arial" w:eastAsia="Arial" w:hAnsi="Arial"/>
          <w:sz w:val="16"/>
          <w:szCs w:val="16"/>
          <w:color w:val="252525"/>
        </w:rPr>
        <w:t xml:space="preserve">with our products, that incorporate open source software elements and operate in an open source environment. Adapting to this demand may cause product delays, placing us at a competitive disadvantage. </w:t>
      </w:r>
      <w:r>
        <w:rPr>
          <w:rFonts w:ascii="Arial" w:cs="Arial" w:eastAsia="Arial" w:hAnsi="Arial"/>
          <w:sz w:val="16"/>
          <w:szCs w:val="16"/>
          <w:color w:val="000000"/>
        </w:rPr>
        <w:t>Open source products could also reduce our capability for product differentiation or innovation and our</w:t>
      </w:r>
      <w:r>
        <w:rPr>
          <w:rFonts w:ascii="Arial" w:cs="Arial" w:eastAsia="Arial" w:hAnsi="Arial"/>
          <w:sz w:val="16"/>
          <w:szCs w:val="16"/>
          <w:color w:val="252525"/>
        </w:rPr>
        <w:t xml:space="preserve"> </w:t>
      </w:r>
      <w:r>
        <w:rPr>
          <w:rFonts w:ascii="Arial" w:cs="Arial" w:eastAsia="Arial" w:hAnsi="Arial"/>
          <w:sz w:val="16"/>
          <w:szCs w:val="16"/>
          <w:color w:val="000000"/>
        </w:rPr>
        <w:t>affected products could be diminished to commodity status, which we expect would place increased downward pressure on our margins. If we fail to successfully anticipate and manage issues associated with our product development generally, our business may suffer.</w:t>
      </w:r>
    </w:p>
    <w:p>
      <w:pPr>
        <w:spacing w:after="0" w:line="5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concentration of Flash Ventures in Yokkaichi, Japan, magnifies the risks of supply disruption.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WD's internal slider capacity and 60% of WD's hard drive manufacturing capacity was in Thailand. As a result of the flooding in Thailand, WD's facilities were inundated and temporarily shut down. During that period, WD's ability to manufacture hard drives was significantly constrained, adversely affecting WD's business, financial condition and results of operations. In addition, the concentration of our manufacturing sites could exacerbate the negative impacts resulting from localized labor unrest or other employment issues.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7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Toshiba to obtain and maintain sufficient property, business interruption and other insurance for Flash Ventures. If Toshiba fails to do so, we could suffer significant unreimbursable losses, and such failure could also cause Flash Ventures to breach various financing covenants.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Manufacturing, marketing and selling our products globally subjects us to numerous risks.</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7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changes in foreign laws and regulations;</w:t>
      </w:r>
    </w:p>
    <w:p>
      <w:pPr>
        <w:spacing w:after="0" w:line="140"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 civil unrest and natural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limited transportation availability, delays, and extended time required for shipping, which risks may be compounded in periods of price declines;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trade restrictions or higher tariffs and fees, import and export restriction including on encryption technology, and complex customs regulations;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labor and overhead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these risks, our business, results of operations or financial condition could be adversely affected.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Terrorist attacks may adversely affect our business and operating results.</w:t>
      </w:r>
    </w:p>
    <w:p>
      <w:pPr>
        <w:spacing w:after="0" w:line="11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Recent terrorist incidents around the world and 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Sudden disruptions to the availability of air transportation, or ocean or land freight lanes, could have an impact on our operations.</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7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i w:val="1"/>
          <w:iCs w:val="1"/>
          <w:color w:val="auto"/>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experience cyber attacks of varying degrees on our technology infrastructure and systems and, as a result, unauthorized parties have obtained in the past, and may in the future obtain, access to our computer systems and networks. The technology infrastructure and systems of our suppliers, vendors and partners may also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security vulnerabilities or security weaknesses, as well as intentional or unintentional acts by employees or other insiders with access privileges, intentional acts of vandalism by third parties and sabotage. We believe cyber attack attempts are increasing in number and that cyber attackers are developing increasingly sophisticated systems and means to not only attack systems, but also to evade detection or to obscure their activities. Our products are also targets for cyber attacks.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Toshiba, to undertake certain commitments to promote information security, and we may be liable to Toshiba or such other parties if we fail to meet our cyber security commitments.</w:t>
      </w:r>
    </w:p>
    <w:p>
      <w:pPr>
        <w:spacing w:after="0" w:line="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1"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62"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For example, we have completed the acquisitions of SanDisk (in May 2016), Amplidata (in March 2015), Virident Systems, Inc. (in October 2013) and sTec, Inc. (in September 2013).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which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stockholders and the issuance of additional indebtedness which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8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6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We and certain of our officers are at times involved in litigation, including IP, antitrust and securities litigation, which may be costly, may divert the efforts of our key personnel and could result in adverse court rulings, which could materially harm our business.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Litigation is subject to inherent risks and uncertainties that may cause actual results to differ materially from our expectations. If we receive an adverse judgment in any litigation, we could be required to pay substantial damages and cease certain practices or activities, including the manufacture, use and sale of products. With or without merit, litigation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and any related publicity, may divert the efforts and attention of some of our key personnel. Litigation may also harm the market prices of our securities.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or regulatory investigations. These liabilities could be substantial and may include, among other things: the costs of defending lawsuits against these individuals; the cost of defending stockholder derivative suits; the cost of governmental, law enforcement or regulatory investigations; civil or criminal fines and penalties; legal and other expenses; and expenses associated with the remedial measures, if any, which may be imposed.</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color w:val="auto"/>
        </w:rPr>
        <w:t>.</w:t>
      </w:r>
    </w:p>
    <w:p>
      <w:pPr>
        <w:spacing w:after="0" w:line="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7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The nature of our industry and its reliance on IP and other proprietary information subjects us and our suppliers, customers and partners to the risk of significant litigation.</w:t>
      </w:r>
    </w:p>
    <w:p>
      <w:pPr>
        <w:spacing w:after="0" w:line="6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8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5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Our reliance on IP and other proprietary information subjects us to the risk that these key ingredients of our business could be copied by competitors.</w:t>
      </w:r>
    </w:p>
    <w:p>
      <w:pPr>
        <w:spacing w:after="0" w:line="14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8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The costs of compliance with state, federal and international legal and regulatory requirements, such as environmental, labor, trade, health, safety, anti-corruption and tax regulations, customers’ standards of corporate citizenship, and industry and coalition standards, such as those established by the Electronics Industry Citizenship Coalition, could cause an increase in our operating costs.</w:t>
      </w:r>
    </w:p>
    <w:p>
      <w:pPr>
        <w:spacing w:after="0" w:line="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Electronics Industry Citizenship Coalition,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Conflict minerals regulations may cause us to incur additional expenses and could limit the supply and increase the cost of certain components and metals contained in our products.</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August 2012, the SEC adopted rules establishing diligence and disclosure requirements regarding the use and source of gold, tantalum, tin and tungsten, commonly referred to as 3TG or conflict minerals, that are necessary to the functionality or production of products manufactured or contracted to be manufactured by public companies. These rules require us to determine and report annually whether such 3TG originated from the Democratic Republic of the Congo or an adjoining country.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and some of our customers have notified us that they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and challenges from government regulators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To the extent that conflict minerals legislation is adopted by the European Commission, Canada or any other jurisdiction, these risks could increase.</w:t>
      </w:r>
    </w:p>
    <w:p>
      <w:pPr>
        <w:spacing w:after="0" w:line="7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Violation of applicable laws, including labor or environmental laws, and certain other practices by our suppliers, customers or partners could harm our business.</w:t>
      </w:r>
    </w:p>
    <w:p>
      <w:pPr>
        <w:spacing w:after="0" w:line="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w:t>
      </w:r>
    </w:p>
    <w:p>
      <w:pPr>
        <w:spacing w:after="0" w:line="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exposing us to potential liability for our suppliers’, customers’ or partners’ wrongdoings.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Because of high debt levels, we may not be able to service our debt obligations in accordance with their terms.</w:t>
      </w:r>
    </w:p>
    <w:p>
      <w:pPr>
        <w:spacing w:after="0" w:line="11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As of July 1, 2016, our total indebtedness was $17.5 billion, and we had $1.0 billion of additional borrowing availability under our revolving credit facility. Our ability to meet our expense and debt service obligations contained in our debt agreements will depend on our available cash and our future performance, which will be affected by financial, business, economic and other factors, including potential changes in laws or regulations, industry conditions, industry supply and demand balance, customer preferences, the success of our products and pressure from competitors. If we are unable to meet our debt service obligations or should we fail to comply with our financial and other restrictive covenants contained in the agreements governing our indebtedness,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or at all. If we are able to raise additional funds through the issuance of equity securities, such issuance would also result in dilution to our shareholders. Our inability to service our debt obligations or refinance our debt could have a material adverse effect on our business, operating results and financial condition. In addition, our debt obligations may limit our ability to make required investments in capacity, technology or other areas of our business, which could have a material adverse effect on our business, operating results and financial condition. Further, if we are unable to repay, refinance or restructure our secured indebtedness, the holder of such debt could proceed against the collateral securing that indebtedness.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The terms of the agreements governing our indebtedness may restrict our current and future operations, particularly our ability to respond to changes or to pursue our business strategies, and could adversely affect our capital resources, financial condition and liquidity.</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agreements that govern our indebtedness contain a number of restrictive covenants that impose significant operating and financial restrictions on us and may limit our ability to engage in acts that may be in our long-term best interests, including, among other things, restrictions on our ability to:</w:t>
      </w:r>
    </w:p>
    <w:p>
      <w:pPr>
        <w:spacing w:after="0" w:line="12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assume or guarantee additional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declare or pay dividends or make other distributions with respect to, or purchase or otherwise acquire or retire for value, equity interests;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principal payments on, or redeem or repurchase, subordinated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loans, advances or other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assets, make investments, complete acquisitions, consolidate or merge with or into, or sell all or substantially all of our assets to, another person;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Due to these restrictions, we may be unable to raise additional debt or equity financing to operate our business during general economic or business downturns, and we may be unable to compete effectively or take advantage of new opportunities to grow our business. In addition, our credit facilities require us to comply with certain financial maintenance covenants. Our ability to satisfy these financial maintenance covenants can be affected by events beyond our control, and we cannot assure you that we will meet them. The indebtedness and these restrictive covenants may have the effect, among other things, of limiting our flexibility in the conduct of our business and making us more vulnerable to economic downturns and adverse competitive and industry conditions.</w:t>
      </w:r>
    </w:p>
    <w:p>
      <w:pPr>
        <w:spacing w:after="0" w:line="8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breach of the covenants under these agreements could result in an event of default under the applicable indebtedness, which, if not cured or waived, could result in us having to repay our borrowings or repay our notes before their due dates. Such default may allow the debt holders to accelerate the related debt and may result in the acceleration of any other debt, leases, or other obligations to which a cross-acceleration or cross-default provision applies. If we are forced to refinance these borrowings or our notes on less favorable terms or if we were to experience difficulty in refinancing the debt prior to maturity, our results of operations and financial condition could be materially affected. In addition, an event of default under our credit facilities may permit the lenders under our credit facilities to terminate all commitments to extend further credit under such credit facilities. If we are unable to repay the amounts due and payable under our credit facilities and our senior secured notes, those lenders may be able to proceed against the collateral granted to them to secure that indebtedness. In the event our lenders or holders of notes accelerate the repayment of such borrowings, we cannot assure you that we will have sufficient assets to repay such indebtedness. Any of the foregoing would have a material adverse effect on our business, results of operations and financial condition.</w:t>
      </w:r>
    </w:p>
    <w:p>
      <w:pPr>
        <w:spacing w:after="0" w:line="5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Flash Ventures’ equipment lease agreements contain covenants and other cancellation events, and cancellation of the leases would harm our business, operating results and financial condition.</w:t>
      </w:r>
    </w:p>
    <w:p>
      <w:pPr>
        <w:spacing w:after="0" w:line="6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Flash Ventures sells and leases back from a consortium of financial institutions (“lessors”) a portion of its equipment and Flash Ventures has entered into equipment lease agreements, of which we and Toshiba each guarantee half of the total outstanding obligations. As of July 1, 2016, the portion of outstanding Flash Ventures’ lease obligations covered by our guarantees totaled approximately $1.15 billion, based upon the exchange rate at July 1, 2016.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acceleration of other monetary debts of a guarantor above a specified threshold and certain financial covenants.</w:t>
      </w:r>
    </w:p>
    <w:p>
      <w:pPr>
        <w:spacing w:after="0" w:line="5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Any decisions to reduce or discontinue paying cash dividends to our shareholders could cause the market price for our common stock to decline.</w:t>
      </w:r>
    </w:p>
    <w:p>
      <w:pPr>
        <w:spacing w:after="0" w:line="1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modify, suspend or cancel our cash dividend policy in any manner and at any time. Any reduction or discontinuance by us of the payment of quarterly cash dividends could cause the market price of our common stock to decline. Moreover, in the event our payment of quarterly cash dividends are reduced or discontinued, our failure or inability to resume paying cash dividends at historical levels could cause the market price of our common stock to decline.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Fluctuations in currency exchange rates as a result of our international operations may negatively affect our operating results.</w:t>
      </w:r>
    </w:p>
    <w:p>
      <w:pPr>
        <w:spacing w:after="0" w:line="11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Because we manufacture and sell our products abroad, our revenue, cost of goods sold,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NAND flash memory from Flash Ventures and our investment in Flash Ventures are denominated in Japanese yen. If the Japanese yen appreciates against the U.S. dollar, our cost of purchasing NAND flash wafers and the cost to us of future funding of Flash Ventures would increase, and the value of our investments denominated in Japanese yen would be higher, increasing our exposure to asset impairment. If any of these events occur, they would have a negative impact on our operating results.</w:t>
      </w:r>
    </w:p>
    <w:p>
      <w:pPr>
        <w:spacing w:after="0" w:line="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Prices for our products are substantially U.S. dollar denominated, even when sold to customers that are located outside the United States. Therefore, as a substantial portion of our sales are from countries outside the United States,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United States.</w:t>
      </w:r>
    </w:p>
    <w:p>
      <w:pPr>
        <w:spacing w:after="0" w:line="4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5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6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loss of major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117"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62"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successfully transition to 3D NAND or other technology developments, or other failure to reduce product costs to keep pace with reduction in ASPs;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realize the potential benefits of our acquisitions and the success of our integration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penetrate new markets for our storage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 and other fluctuations in demand often due to technological advances;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costs due to warranty claims;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7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reserves for doubtful accounts;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warranty costs related to product defects;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expensing of stock-based compensation.</w:t>
      </w:r>
    </w:p>
    <w:p>
      <w:pPr>
        <w:spacing w:after="0" w:line="11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1"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market price of our common stock is volatile.</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 and any litigation;</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62" w:lineRule="exact"/>
        <w:rPr>
          <w:rFonts w:ascii="Arial" w:cs="Arial" w:eastAsia="Arial" w:hAnsi="Arial"/>
          <w:sz w:val="18"/>
          <w:szCs w:val="18"/>
          <w:color w:val="auto"/>
        </w:rPr>
      </w:pPr>
    </w:p>
    <w:p>
      <w:pPr>
        <w:ind w:left="660" w:right="9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and trends in the hard drive, solid state storage, flash memory, computer, mobile, data and content management, storage and communication industries;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1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In addition,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8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7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The resale of shares of common stock issued to Hitachi in connection with our acquisition of HGST could adversely affect the market price of our common stock.</w:t>
      </w:r>
    </w:p>
    <w:p>
      <w:pPr>
        <w:spacing w:after="0" w:line="62"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On March 8, 2012, as partial consideration for our acquisition of HGST, we issued 25 million shares of our common stock to Hitachi. On each of November 6, 2013 and November 13, 2014, Hitachi completed a secondary offering of 12.5 million and 6.25 million, respectively, of these shares. Future sales of the remaining 6.25 million shares of our common stock held by Hitachi could adversely affect the market price of our common stock.</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240" w:top="121"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cash balances and investment portfolio are subject to various risks, any of which could adversely impact our financial position.</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U.S. government securities and bank deposits.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FDIC limits could also have an adverse impact on our financial position.</w:t>
      </w:r>
    </w:p>
    <w:p>
      <w:pPr>
        <w:spacing w:after="0" w:line="8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i</w:t>
      </w:r>
      <w:r>
        <w:rPr>
          <w:rFonts w:ascii="Arial" w:cs="Arial" w:eastAsia="Arial" w:hAnsi="Arial"/>
          <w:sz w:val="18"/>
          <w:szCs w:val="18"/>
          <w:color w:val="252525"/>
        </w:rPr>
        <w:t>f we are unable to generate sufficient cash flows from operations to repay our indebtedness, fund acquisitions, pay dividends, or</w:t>
      </w:r>
      <w:r>
        <w:rPr>
          <w:rFonts w:ascii="Arial" w:cs="Arial" w:eastAsia="Arial" w:hAnsi="Arial"/>
          <w:sz w:val="18"/>
          <w:szCs w:val="18"/>
          <w:color w:val="auto"/>
        </w:rPr>
        <w:t xml:space="preserve"> </w:t>
      </w:r>
      <w:r>
        <w:rPr>
          <w:rFonts w:ascii="Arial" w:cs="Arial" w:eastAsia="Arial" w:hAnsi="Arial"/>
          <w:sz w:val="18"/>
          <w:szCs w:val="18"/>
          <w:color w:val="252525"/>
        </w:rPr>
        <w:t>repurchase shares of our common stock, we may choose or be required to increase our borrowings, if available, or to repatriate funds to the United States at a substantial tax cost.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 our internal controls are found to be ineffective, our stock price may be adversely affected.</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most recent evaluation resulted in our conclusion that as of July 1, 2016,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we may be required to restate our financial results, our access to capital markets may be limited, and we may be subject to sanctions from regulatory agencies and The NASDAQ Global Select Market, each of which may adversely affect our stock price.</w:t>
      </w:r>
    </w:p>
    <w:p>
      <w:pPr>
        <w:spacing w:after="0" w:line="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subject to income taxes in the United States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a Revenue Agent’s Report seeking certain adjustments to income as disclosed in Part II, Item 8, Note 10 to the Consolidated Financial Statements included in this Annual Report on Form 10-K.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We are subject to risks associated with loss or non-renewal of favorable tax treatment under agreements or treaties with foreign tax authorities.</w:t>
      </w:r>
    </w:p>
    <w:p>
      <w:pPr>
        <w:spacing w:after="0" w:line="1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tax laws could increase our worldwide tax rate and materially affect our financial position and results of operations.</w:t>
      </w:r>
    </w:p>
    <w:p>
      <w:pPr>
        <w:spacing w:after="0" w:line="11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Tax laws are dynamic and subject to change as new laws and regulations are passed and new interpretations of the laws are issued or applied. The current U.S. administration and key members of Congress have made public statements indicating that tax reform is a priority, and certain changes to the U.S. tax laws and regulations have been proposed. In addition, many countries in the European Union, as well as a number of other countries and organizations such as the Organization for Economic Cooperation and Development, are actively considering changes to existing tax laws that, if enacted, could increase our tax obligations in many countries where we do business. Due to the large scale of our U.S. and international business activities, many of these proposed changes to the taxation of our activities, if enacted, could increase our worldwide effective tax rate and harm our financial position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principal executive offices are located in Irvine, California. Our leased facilities are occupied under leases that expire at various times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principal manufacturing, R&amp;D, marketing and administrative facilities at July 1, 2016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Buildings Owned</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Approximate</w:t>
            </w:r>
          </w:p>
        </w:tc>
        <w:tc>
          <w:tcPr>
            <w:tcW w:w="616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or Leased</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6"/>
              </w:rPr>
              <w:t>Square Footage</w:t>
            </w:r>
          </w:p>
        </w:tc>
        <w:tc>
          <w:tcPr>
            <w:tcW w:w="100" w:type="dxa"/>
            <w:vAlign w:val="bottom"/>
            <w:tcBorders>
              <w:bottom w:val="single" w:sz="8" w:color="CCEEFF"/>
            </w:tcBorders>
          </w:tcPr>
          <w:p>
            <w:pPr>
              <w:spacing w:after="0"/>
              <w:rPr>
                <w:sz w:val="16"/>
                <w:szCs w:val="16"/>
                <w:color w:val="auto"/>
              </w:rPr>
            </w:pPr>
          </w:p>
        </w:tc>
        <w:tc>
          <w:tcPr>
            <w:tcW w:w="6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380"/>
              <w:spacing w:after="0"/>
              <w:rPr>
                <w:sz w:val="20"/>
                <w:szCs w:val="20"/>
                <w:color w:val="auto"/>
              </w:rPr>
            </w:pPr>
            <w:r>
              <w:rPr>
                <w:rFonts w:ascii="Arial" w:cs="Arial" w:eastAsia="Arial" w:hAnsi="Arial"/>
                <w:sz w:val="18"/>
                <w:szCs w:val="18"/>
                <w:color w:val="auto"/>
              </w:rPr>
              <w:t>California</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Fremont</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of head wafers and R&amp;D</w:t>
            </w: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Irvine</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538,000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R&amp;D, administrative and marketing and sales</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San Jose</w:t>
            </w: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Owned and</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3,260,000</w:t>
            </w:r>
          </w:p>
        </w:tc>
        <w:tc>
          <w:tcPr>
            <w:tcW w:w="100" w:type="dxa"/>
            <w:vAlign w:val="bottom"/>
            <w:shd w:val="clear" w:color="auto" w:fill="CCEEFF"/>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of head wafers, head, media and product development, R&amp;D,</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and marketing and sales</w:t>
            </w: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Milpitas</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589,000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R&amp;D, marketing and sales, operations and administrative</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Santa Ana</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0" w:type="dxa"/>
            <w:vAlign w:val="bottom"/>
          </w:tcPr>
          <w:p>
            <w:pPr>
              <w:spacing w:after="0"/>
              <w:rPr>
                <w:sz w:val="1"/>
                <w:szCs w:val="1"/>
                <w:color w:val="auto"/>
              </w:rPr>
            </w:pPr>
          </w:p>
        </w:tc>
      </w:tr>
      <w:tr>
        <w:trPr>
          <w:trHeight w:val="243"/>
        </w:trPr>
        <w:tc>
          <w:tcPr>
            <w:tcW w:w="2760" w:type="dxa"/>
            <w:vAlign w:val="bottom"/>
            <w:gridSpan w:val="2"/>
          </w:tcPr>
          <w:p>
            <w:pPr>
              <w:ind w:left="380"/>
              <w:spacing w:after="0"/>
              <w:rPr>
                <w:sz w:val="20"/>
                <w:szCs w:val="20"/>
                <w:color w:val="auto"/>
              </w:rPr>
            </w:pPr>
            <w:r>
              <w:rPr>
                <w:rFonts w:ascii="Arial" w:cs="Arial" w:eastAsia="Arial" w:hAnsi="Arial"/>
                <w:sz w:val="18"/>
                <w:szCs w:val="18"/>
                <w:color w:val="auto"/>
              </w:rPr>
              <w:t>Colorado</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Longmont</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0" w:type="dxa"/>
            <w:vAlign w:val="bottom"/>
          </w:tcPr>
          <w:p>
            <w:pPr>
              <w:spacing w:after="0"/>
              <w:rPr>
                <w:sz w:val="1"/>
                <w:szCs w:val="1"/>
                <w:color w:val="auto"/>
              </w:rPr>
            </w:pPr>
          </w:p>
        </w:tc>
      </w:tr>
      <w:tr>
        <w:trPr>
          <w:trHeight w:val="243"/>
        </w:trPr>
        <w:tc>
          <w:tcPr>
            <w:tcW w:w="2760" w:type="dxa"/>
            <w:vAlign w:val="bottom"/>
            <w:gridSpan w:val="2"/>
          </w:tcPr>
          <w:p>
            <w:pPr>
              <w:ind w:left="380"/>
              <w:spacing w:after="0"/>
              <w:rPr>
                <w:sz w:val="20"/>
                <w:szCs w:val="20"/>
                <w:color w:val="auto"/>
              </w:rPr>
            </w:pPr>
            <w:r>
              <w:rPr>
                <w:rFonts w:ascii="Arial" w:cs="Arial" w:eastAsia="Arial" w:hAnsi="Arial"/>
                <w:sz w:val="18"/>
                <w:szCs w:val="18"/>
                <w:color w:val="auto"/>
              </w:rPr>
              <w:t>Minnesota</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Rochester</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Asia</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China</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Shenzhen</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 and</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1,194,000</w:t>
            </w:r>
          </w:p>
        </w:tc>
        <w:tc>
          <w:tcPr>
            <w:tcW w:w="10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Manufacturing of hard drives, HGAs and media and administrative</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Shanghai</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assembly and test</w:t>
            </w:r>
          </w:p>
        </w:tc>
        <w:tc>
          <w:tcPr>
            <w:tcW w:w="0" w:type="dxa"/>
            <w:vAlign w:val="bottom"/>
          </w:tcPr>
          <w:p>
            <w:pPr>
              <w:spacing w:after="0"/>
              <w:rPr>
                <w:sz w:val="1"/>
                <w:szCs w:val="1"/>
                <w:color w:val="auto"/>
              </w:rPr>
            </w:pPr>
          </w:p>
        </w:tc>
      </w:tr>
      <w:tr>
        <w:trPr>
          <w:trHeight w:val="243"/>
        </w:trPr>
        <w:tc>
          <w:tcPr>
            <w:tcW w:w="2760" w:type="dxa"/>
            <w:vAlign w:val="bottom"/>
            <w:gridSpan w:val="2"/>
          </w:tcPr>
          <w:p>
            <w:pPr>
              <w:ind w:left="380"/>
              <w:spacing w:after="0"/>
              <w:rPr>
                <w:sz w:val="20"/>
                <w:szCs w:val="20"/>
                <w:color w:val="auto"/>
              </w:rPr>
            </w:pPr>
            <w:r>
              <w:rPr>
                <w:rFonts w:ascii="Arial" w:cs="Arial" w:eastAsia="Arial" w:hAnsi="Arial"/>
                <w:sz w:val="18"/>
                <w:szCs w:val="18"/>
                <w:b w:val="1"/>
                <w:bCs w:val="1"/>
                <w:color w:val="auto"/>
              </w:rPr>
              <w:t>Japan</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Fujisawa</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0" w:type="dxa"/>
            <w:vAlign w:val="bottom"/>
          </w:tcPr>
          <w:p>
            <w:pPr>
              <w:spacing w:after="0"/>
              <w:rPr>
                <w:sz w:val="1"/>
                <w:szCs w:val="1"/>
                <w:color w:val="auto"/>
              </w:rPr>
            </w:pPr>
          </w:p>
        </w:tc>
      </w:tr>
      <w:tr>
        <w:trPr>
          <w:trHeight w:val="243"/>
        </w:trPr>
        <w:tc>
          <w:tcPr>
            <w:tcW w:w="2760" w:type="dxa"/>
            <w:vAlign w:val="bottom"/>
            <w:gridSpan w:val="2"/>
          </w:tcPr>
          <w:p>
            <w:pPr>
              <w:ind w:left="380"/>
              <w:spacing w:after="0"/>
              <w:rPr>
                <w:sz w:val="20"/>
                <w:szCs w:val="20"/>
                <w:color w:val="auto"/>
              </w:rPr>
            </w:pPr>
            <w:r>
              <w:rPr>
                <w:rFonts w:ascii="Arial" w:cs="Arial" w:eastAsia="Arial" w:hAnsi="Arial"/>
                <w:sz w:val="18"/>
                <w:szCs w:val="18"/>
                <w:b w:val="1"/>
                <w:bCs w:val="1"/>
                <w:color w:val="auto"/>
              </w:rPr>
              <w:t>Malaysia</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Johor</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of substrates</w:t>
            </w: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Kuala Lumpur</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1,074,000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Manufacturing of hard drives and R&amp;D</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Kuching</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development of substrates</w:t>
            </w: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Penang</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1,075,000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Assembly and test, manufacturing of media and SSDs and R&amp;D</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Philippines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Laguna</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621,000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Manufacturing of HGAs and slider fabrication</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Singapore</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of media, R&amp;D and administrative</w:t>
            </w:r>
          </w:p>
        </w:tc>
        <w:tc>
          <w:tcPr>
            <w:tcW w:w="0" w:type="dxa"/>
            <w:vAlign w:val="bottom"/>
          </w:tcPr>
          <w:p>
            <w:pPr>
              <w:spacing w:after="0"/>
              <w:rPr>
                <w:sz w:val="1"/>
                <w:szCs w:val="1"/>
                <w:color w:val="auto"/>
              </w:rPr>
            </w:pPr>
          </w:p>
        </w:tc>
      </w:tr>
      <w:tr>
        <w:trPr>
          <w:trHeight w:val="243"/>
        </w:trPr>
        <w:tc>
          <w:tcPr>
            <w:tcW w:w="2760" w:type="dxa"/>
            <w:vAlign w:val="bottom"/>
            <w:gridSpan w:val="2"/>
          </w:tcPr>
          <w:p>
            <w:pPr>
              <w:ind w:left="380"/>
              <w:spacing w:after="0"/>
              <w:rPr>
                <w:sz w:val="20"/>
                <w:szCs w:val="20"/>
                <w:color w:val="auto"/>
              </w:rPr>
            </w:pPr>
            <w:r>
              <w:rPr>
                <w:rFonts w:ascii="Arial" w:cs="Arial" w:eastAsia="Arial" w:hAnsi="Arial"/>
                <w:sz w:val="18"/>
                <w:szCs w:val="18"/>
                <w:b w:val="1"/>
                <w:bCs w:val="1"/>
                <w:color w:val="auto"/>
              </w:rPr>
              <w:t>Thailand</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Bang Pa-In</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Slider fabrication, manufacturing of hard drives and HGAs and R&amp;D</w:t>
            </w: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Navanakorn</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290,000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Manufacturing of HGAs</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Prachinburi</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of hard drives</w:t>
            </w:r>
          </w:p>
        </w:tc>
        <w:tc>
          <w:tcPr>
            <w:tcW w:w="0" w:type="dxa"/>
            <w:vAlign w:val="bottom"/>
          </w:tcPr>
          <w:p>
            <w:pPr>
              <w:spacing w:after="0"/>
              <w:rPr>
                <w:sz w:val="1"/>
                <w:szCs w:val="1"/>
                <w:color w:val="auto"/>
              </w:rPr>
            </w:pPr>
          </w:p>
        </w:tc>
      </w:tr>
      <w:tr>
        <w:trPr>
          <w:trHeight w:val="243"/>
        </w:trPr>
        <w:tc>
          <w:tcPr>
            <w:tcW w:w="2760" w:type="dxa"/>
            <w:vAlign w:val="bottom"/>
            <w:gridSpan w:val="2"/>
          </w:tcPr>
          <w:p>
            <w:pPr>
              <w:ind w:left="380"/>
              <w:spacing w:after="0"/>
              <w:rPr>
                <w:sz w:val="20"/>
                <w:szCs w:val="20"/>
                <w:color w:val="auto"/>
              </w:rPr>
            </w:pPr>
            <w:r>
              <w:rPr>
                <w:rFonts w:ascii="Arial" w:cs="Arial" w:eastAsia="Arial" w:hAnsi="Arial"/>
                <w:sz w:val="18"/>
                <w:szCs w:val="18"/>
                <w:b w:val="1"/>
                <w:bCs w:val="1"/>
                <w:color w:val="auto"/>
              </w:rPr>
              <w:t>India</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Bangalore</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marketing and administrative</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b w:val="1"/>
                <w:bCs w:val="1"/>
                <w:color w:val="auto"/>
              </w:rPr>
              <w:t>Middle East</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Israel</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Kfar Saba</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167,000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R&amp;D, marketing and administrative</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Tefen</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marketing and administrative</w:t>
            </w:r>
          </w:p>
        </w:tc>
        <w:tc>
          <w:tcPr>
            <w:tcW w:w="0" w:type="dxa"/>
            <w:vAlign w:val="bottom"/>
          </w:tcPr>
          <w:p>
            <w:pPr>
              <w:spacing w:after="0"/>
              <w:rPr>
                <w:sz w:val="1"/>
                <w:szCs w:val="1"/>
                <w:color w:val="auto"/>
              </w:rPr>
            </w:pPr>
          </w:p>
        </w:tc>
      </w:tr>
      <w:tr>
        <w:trPr>
          <w:trHeight w:val="45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ind w:left="3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also lease office space in various other locations throughout the world primarily for R&amp;D, sales, operations, administration and technical support.</w:t>
      </w:r>
    </w:p>
    <w:p>
      <w:pPr>
        <w:spacing w:after="0" w:line="140"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We believe our present facilities are adequate for our current needs, although we from time to time upgrade our facilities to meet anticipated future technological and market requirements. New manufacturing facilities, in general, can be developed and become operational within approximately nine to eighteen months should we require such additional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a description of our legal proceedings, see Part II, Item 8, Note 6 of the Notes to Consolidated Financial Statements included in this Annual Report on Form 10-K, which is incorporated by reference in response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8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Market Information for Common Stock</w:t>
      </w:r>
    </w:p>
    <w:p>
      <w:pPr>
        <w:ind w:right="280" w:firstLine="405"/>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“WDC.” The approximate number of holders of record of our common stock as of August 11, 2016 was 1,155.</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high and low sales prices of our common stock as reported by NASDAQ for each quarter of 2016 and 2015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0" w:type="dxa"/>
            <w:vAlign w:val="bottom"/>
            <w:gridSpan w:val="2"/>
          </w:tcPr>
          <w:p>
            <w:pPr>
              <w:ind w:left="580"/>
              <w:spacing w:after="0"/>
              <w:rPr>
                <w:sz w:val="20"/>
                <w:szCs w:val="20"/>
                <w:color w:val="auto"/>
              </w:rPr>
            </w:pPr>
            <w:r>
              <w:rPr>
                <w:rFonts w:ascii="Arial" w:cs="Arial" w:eastAsia="Arial" w:hAnsi="Arial"/>
                <w:sz w:val="14"/>
                <w:szCs w:val="14"/>
                <w:b w:val="1"/>
                <w:bCs w:val="1"/>
                <w:color w:val="auto"/>
              </w:rPr>
              <w:t>First</w:t>
            </w:r>
          </w:p>
        </w:tc>
        <w:tc>
          <w:tcPr>
            <w:tcW w:w="1600" w:type="dxa"/>
            <w:vAlign w:val="bottom"/>
            <w:gridSpan w:val="2"/>
          </w:tcPr>
          <w:p>
            <w:pPr>
              <w:ind w:left="520"/>
              <w:spacing w:after="0"/>
              <w:rPr>
                <w:sz w:val="20"/>
                <w:szCs w:val="20"/>
                <w:color w:val="auto"/>
              </w:rPr>
            </w:pPr>
            <w:r>
              <w:rPr>
                <w:rFonts w:ascii="Arial" w:cs="Arial" w:eastAsia="Arial" w:hAnsi="Arial"/>
                <w:sz w:val="14"/>
                <w:szCs w:val="14"/>
                <w:b w:val="1"/>
                <w:bCs w:val="1"/>
                <w:color w:val="auto"/>
              </w:rPr>
              <w:t>Second</w:t>
            </w:r>
          </w:p>
        </w:tc>
        <w:tc>
          <w:tcPr>
            <w:tcW w:w="1580" w:type="dxa"/>
            <w:vAlign w:val="bottom"/>
            <w:gridSpan w:val="2"/>
          </w:tcPr>
          <w:p>
            <w:pPr>
              <w:ind w:left="560"/>
              <w:spacing w:after="0"/>
              <w:rPr>
                <w:sz w:val="20"/>
                <w:szCs w:val="20"/>
                <w:color w:val="auto"/>
              </w:rPr>
            </w:pPr>
            <w:r>
              <w:rPr>
                <w:rFonts w:ascii="Arial" w:cs="Arial" w:eastAsia="Arial" w:hAnsi="Arial"/>
                <w:sz w:val="14"/>
                <w:szCs w:val="14"/>
                <w:b w:val="1"/>
                <w:bCs w:val="1"/>
                <w:color w:val="auto"/>
              </w:rPr>
              <w:t>Third</w:t>
            </w:r>
          </w:p>
        </w:tc>
        <w:tc>
          <w:tcPr>
            <w:tcW w:w="1480" w:type="dxa"/>
            <w:vAlign w:val="bottom"/>
          </w:tcPr>
          <w:p>
            <w:pPr>
              <w:ind w:left="520"/>
              <w:spacing w:after="0"/>
              <w:rPr>
                <w:sz w:val="20"/>
                <w:szCs w:val="20"/>
                <w:color w:val="auto"/>
              </w:rPr>
            </w:pPr>
            <w:r>
              <w:rPr>
                <w:rFonts w:ascii="Arial" w:cs="Arial" w:eastAsia="Arial" w:hAnsi="Arial"/>
                <w:sz w:val="14"/>
                <w:szCs w:val="14"/>
                <w:b w:val="1"/>
                <w:bCs w:val="1"/>
                <w:color w:val="auto"/>
              </w:rPr>
              <w:t>Fourth</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High</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$88.46</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$86.39</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$60.97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$51.27</w:t>
            </w: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Low</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$67.87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$57.94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$38.64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$103.51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$114.69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$113.88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$102.07</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Low</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$91.99</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$82.85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$89.82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$78.27</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Equity Securities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repurchases by us of shares of our common stock during the quarter ended July 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Shareholders</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September 13, 2012, we announced that our Board of Directors had authorized the adoption of a quarterly cash dividend policy. Under the cash dividend policy, holders of our common stock receive dividends when and as declared by our Board of Directors. In 2016, we declared aggregate cash dividends of $2.00 per share of our common stock, totaling $490 million. We may modify, suspend, or cancel our cash dividend policy in any manner and at any time.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the quarterly dividends our Board of Directors declared in the last two fiscal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Record Date</w:t>
            </w:r>
          </w:p>
        </w:tc>
        <w:tc>
          <w:tcPr>
            <w:tcW w:w="3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Dividend Per Share</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October 3, 2014</w:t>
            </w:r>
          </w:p>
        </w:tc>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15, 2014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0.40</w:t>
            </w:r>
          </w:p>
        </w:tc>
      </w:tr>
      <w:tr>
        <w:trPr>
          <w:trHeight w:val="27"/>
        </w:trPr>
        <w:tc>
          <w:tcPr>
            <w:tcW w:w="34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2, 2015</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January 15,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April 3, 2015</w:t>
            </w:r>
          </w:p>
        </w:tc>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16, 2015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0.50</w:t>
            </w:r>
          </w:p>
        </w:tc>
      </w:tr>
      <w:tr>
        <w:trPr>
          <w:trHeight w:val="27"/>
        </w:trPr>
        <w:tc>
          <w:tcPr>
            <w:tcW w:w="34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3, 2015</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15,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October 2, 2015</w:t>
            </w:r>
          </w:p>
        </w:tc>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15, 2015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0.50</w:t>
            </w:r>
          </w:p>
        </w:tc>
      </w:tr>
      <w:tr>
        <w:trPr>
          <w:trHeight w:val="27"/>
        </w:trPr>
        <w:tc>
          <w:tcPr>
            <w:tcW w:w="34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2016</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January 15,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April 1, 2016</w:t>
            </w:r>
          </w:p>
        </w:tc>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15, 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0.50</w:t>
            </w:r>
          </w:p>
        </w:tc>
      </w:tr>
      <w:tr>
        <w:trPr>
          <w:trHeight w:val="27"/>
        </w:trPr>
        <w:tc>
          <w:tcPr>
            <w:tcW w:w="34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2016</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15,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r>
      <w:tr>
        <w:trPr>
          <w:trHeight w:val="459"/>
        </w:trPr>
        <w:tc>
          <w:tcPr>
            <w:tcW w:w="3420" w:type="dxa"/>
            <w:vAlign w:val="bottom"/>
          </w:tcPr>
          <w:p>
            <w:pPr>
              <w:spacing w:after="0"/>
              <w:rPr>
                <w:sz w:val="24"/>
                <w:szCs w:val="24"/>
                <w:color w:val="auto"/>
              </w:rPr>
            </w:pPr>
          </w:p>
        </w:tc>
        <w:tc>
          <w:tcPr>
            <w:tcW w:w="3660" w:type="dxa"/>
            <w:vAlign w:val="bottom"/>
          </w:tcPr>
          <w:p>
            <w:pPr>
              <w:jc w:val="right"/>
              <w:ind w:right="119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following graph compares the cumulative total stockholder return of our common stock with the cumulative total return of the S&amp;P 500 Index and the Dow Jones US Technology Hardware &amp; Equipment Index for the five years ended July 1, 2016. The graph assumes that $100 was invested in our common stock at the close of market on July 1, 2011 and that all dividends were reinvested. Stockholder returns over the indicated period should not be considered indicative of future stockholder returns.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RETURN TO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$100 investment on 7/1/11)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5715</wp:posOffset>
            </wp:positionV>
            <wp:extent cx="5025390" cy="3310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539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Analysis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7/1/11</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6/29/12</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6/28/13</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6/27/14</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7/3/15</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7/1/16</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Corporation</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   100.00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173.28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  263.24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233.69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139.22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105.45</w:t>
            </w: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127.17</w:t>
            </w:r>
          </w:p>
        </w:tc>
        <w:tc>
          <w:tcPr>
            <w:tcW w:w="1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170.22</w:t>
            </w: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177.02</w:t>
            </w:r>
          </w:p>
        </w:tc>
      </w:tr>
      <w:tr>
        <w:trPr>
          <w:trHeight w:val="27"/>
        </w:trPr>
        <w:tc>
          <w:tcPr>
            <w:tcW w:w="5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Dow Jones US Technology Hardware &amp; Equipment Index</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113.15</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109.65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156.06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176.80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163.20</w:t>
            </w:r>
          </w:p>
        </w:tc>
      </w:tr>
      <w:tr>
        <w:trPr>
          <w:trHeight w:val="27"/>
        </w:trPr>
        <w:tc>
          <w:tcPr>
            <w:tcW w:w="5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b w:val="1"/>
          <w:bCs w:val="1"/>
          <w:color w:val="auto"/>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This selected consolidated financial data should be read together with the Consolidated Financial Statements and related Notes contained in this Annual Report on Form 10-K, as well as the section of this Annual Report on Form 10-K entitled “Management’s Discussion and Analysis of Financial Condition and Results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July 1,</w:t>
            </w:r>
          </w:p>
        </w:tc>
        <w:tc>
          <w:tcPr>
            <w:tcW w:w="260" w:type="dxa"/>
            <w:vAlign w:val="bottom"/>
          </w:tcPr>
          <w:p>
            <w:pPr>
              <w:spacing w:after="0"/>
              <w:rPr>
                <w:sz w:val="14"/>
                <w:szCs w:val="14"/>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4"/>
                <w:szCs w:val="14"/>
                <w:color w:val="auto"/>
              </w:rPr>
            </w:pPr>
          </w:p>
        </w:tc>
        <w:tc>
          <w:tcPr>
            <w:tcW w:w="94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June 27,</w:t>
            </w:r>
          </w:p>
        </w:tc>
        <w:tc>
          <w:tcPr>
            <w:tcW w:w="300" w:type="dxa"/>
            <w:vAlign w:val="bottom"/>
          </w:tcPr>
          <w:p>
            <w:pPr>
              <w:spacing w:after="0"/>
              <w:rPr>
                <w:sz w:val="14"/>
                <w:szCs w:val="14"/>
                <w:color w:val="auto"/>
              </w:rPr>
            </w:pPr>
          </w:p>
        </w:tc>
        <w:tc>
          <w:tcPr>
            <w:tcW w:w="960" w:type="dxa"/>
            <w:vAlign w:val="bottom"/>
          </w:tcPr>
          <w:p>
            <w:pPr>
              <w:jc w:val="right"/>
              <w:ind w:right="273"/>
              <w:spacing w:after="0"/>
              <w:rPr>
                <w:sz w:val="20"/>
                <w:szCs w:val="20"/>
                <w:color w:val="auto"/>
              </w:rPr>
            </w:pPr>
            <w:r>
              <w:rPr>
                <w:rFonts w:ascii="Arial" w:cs="Arial" w:eastAsia="Arial" w:hAnsi="Arial"/>
                <w:sz w:val="14"/>
                <w:szCs w:val="14"/>
                <w:b w:val="1"/>
                <w:bCs w:val="1"/>
                <w:color w:val="auto"/>
              </w:rPr>
              <w:t>June 28,</w:t>
            </w:r>
          </w:p>
        </w:tc>
        <w:tc>
          <w:tcPr>
            <w:tcW w:w="300" w:type="dxa"/>
            <w:vAlign w:val="bottom"/>
          </w:tcPr>
          <w:p>
            <w:pPr>
              <w:spacing w:after="0"/>
              <w:rPr>
                <w:sz w:val="14"/>
                <w:szCs w:val="14"/>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29,</w:t>
            </w:r>
          </w:p>
        </w:tc>
      </w:t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23"/>
        </w:trPr>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80" w:type="dxa"/>
            <w:vAlign w:val="bottom"/>
            <w:gridSpan w:val="5"/>
          </w:tcPr>
          <w:p>
            <w:pPr>
              <w:jc w:val="center"/>
              <w:ind w:right="113"/>
              <w:spacing w:after="0"/>
              <w:rPr>
                <w:sz w:val="20"/>
                <w:szCs w:val="20"/>
                <w:color w:val="auto"/>
              </w:rPr>
            </w:pPr>
            <w:r>
              <w:rPr>
                <w:rFonts w:ascii="Arial" w:cs="Arial" w:eastAsia="Arial" w:hAnsi="Arial"/>
                <w:sz w:val="16"/>
                <w:szCs w:val="16"/>
                <w:i w:val="1"/>
                <w:iCs w:val="1"/>
                <w:color w:val="auto"/>
                <w:w w:val="91"/>
              </w:rPr>
              <w:t>(in millions, except per share and employee data)</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12,994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14,572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15,351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3,435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4,221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4,360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4,363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3,638</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980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per common share:</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6.68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3.98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6.58</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5,635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5,275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4,875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3,625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3,109</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32,862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15,499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14,036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13,660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2,149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2,313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1,725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1,955</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11,145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9,219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8,842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7,893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7,669</w:t>
            </w:r>
          </w:p>
        </w:tc>
      </w:tr>
      <w:tr>
        <w:trPr>
          <w:trHeight w:val="341"/>
        </w:trPr>
        <w:tc>
          <w:tcPr>
            <w:tcW w:w="5260" w:type="dxa"/>
            <w:vAlign w:val="bottom"/>
          </w:tcPr>
          <w:p>
            <w:pPr>
              <w:ind w:left="40"/>
              <w:spacing w:after="0"/>
              <w:rPr>
                <w:sz w:val="20"/>
                <w:szCs w:val="20"/>
                <w:color w:val="auto"/>
              </w:rPr>
            </w:pPr>
            <w:r>
              <w:rPr>
                <w:rFonts w:ascii="Arial" w:cs="Arial" w:eastAsia="Arial" w:hAnsi="Arial"/>
                <w:sz w:val="18"/>
                <w:szCs w:val="18"/>
                <w:color w:val="auto"/>
              </w:rPr>
              <w:t>Number of employees</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72,878</w:t>
            </w:r>
          </w:p>
        </w:tc>
        <w:tc>
          <w:tcPr>
            <w:tcW w:w="260" w:type="dxa"/>
            <w:vAlign w:val="bottom"/>
          </w:tcPr>
          <w:p>
            <w:pPr>
              <w:spacing w:after="0"/>
              <w:rPr>
                <w:sz w:val="24"/>
                <w:szCs w:val="24"/>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76,449</w:t>
            </w:r>
          </w:p>
        </w:tc>
        <w:tc>
          <w:tcPr>
            <w:tcW w:w="300" w:type="dxa"/>
            <w:vAlign w:val="bottom"/>
          </w:tcPr>
          <w:p>
            <w:pPr>
              <w:spacing w:after="0"/>
              <w:rPr>
                <w:sz w:val="24"/>
                <w:szCs w:val="24"/>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84,072</w:t>
            </w:r>
          </w:p>
        </w:tc>
        <w:tc>
          <w:tcPr>
            <w:tcW w:w="300" w:type="dxa"/>
            <w:vAlign w:val="bottom"/>
          </w:tcPr>
          <w:p>
            <w:pPr>
              <w:spacing w:after="0"/>
              <w:rPr>
                <w:sz w:val="24"/>
                <w:szCs w:val="24"/>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85,777</w:t>
            </w:r>
          </w:p>
        </w:tc>
        <w:tc>
          <w:tcPr>
            <w:tcW w:w="300" w:type="dxa"/>
            <w:vAlign w:val="bottom"/>
          </w:tcPr>
          <w:p>
            <w:pPr>
              <w:spacing w:after="0"/>
              <w:rPr>
                <w:sz w:val="24"/>
                <w:szCs w:val="24"/>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103,111</w:t>
            </w:r>
          </w:p>
        </w:tc>
      </w:tr>
    </w:tbl>
    <w:p>
      <w:pPr>
        <w:spacing w:after="0" w:line="18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Excludes temporary employees and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020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78"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Results for SanDisk, Amplidata NV (“Amplidata”), Virident, sTec, VeloBit and HGST, which were acquired on May 12, 2016, March 9, 2015, October 17, 2013, September 12, 2013, July 9, 2013 and March 8, 2012, respectively, are included in our operating results only after the respective dates of acquisition.</w:t>
      </w:r>
    </w:p>
    <w:p>
      <w:pPr>
        <w:spacing w:after="0" w:line="180"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Forward-Looking Statements</w:t>
      </w:r>
    </w:p>
    <w:p>
      <w:pPr>
        <w:ind w:right="80" w:firstLine="405"/>
        <w:spacing w:after="0" w:line="264" w:lineRule="auto"/>
        <w:rPr>
          <w:sz w:val="20"/>
          <w:szCs w:val="20"/>
          <w:color w:val="auto"/>
        </w:rPr>
      </w:pPr>
      <w:r>
        <w:rPr>
          <w:rFonts w:ascii="Arial" w:cs="Arial" w:eastAsia="Arial" w:hAnsi="Arial"/>
          <w:sz w:val="18"/>
          <w:szCs w:val="18"/>
          <w:i w:val="1"/>
          <w:iCs w:val="1"/>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including those made in Part I, Item 1A of this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are a leading developer, manufacturer and provider of data storage devices and solutions that address the evolving needs of the IT industry and the infrastructure that enables the proliferation of data in virtually every industry. Our broad portfolio of offerings addresses three categories: Datacenter Devices and Solutions (capacity and performance enterprise HDDs, enterprise SSDs, datacenter software and system solutions); Client Devices (mobile, desktop, gaming and digital video hard drives, client SSDs, embedded products and wafers); and Client Solutions (removable products, hard drive content solutions and flash content solutions). We also generate license and royalty revenue related to our intellectual property which is included in each of the three categories.</w:t>
      </w:r>
    </w:p>
    <w:p>
      <w:pPr>
        <w:spacing w:after="0" w:line="5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six years, we report a 53-week fiscal year to align our fiscal year with the foregoing policy. Fiscal years 2016 and 2014, which ended on July 1, 2016 and June 27, 2014, respectively, comprised of 52 weeks. Fiscal year 2015, which ended on July 3, 2015, comprised of 53 weeks, with the first quarter consisting of 14 weeks and the second, third and fourth quarters consisting of 13 weeks each.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SanDisk</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On May 12, 2016, we completed the acquisition of SanDisk (the “Merger”), a global leader in NAND flash storage solutions, pursuant to the terms of the Agreement and Plan of Merger, dated October 21, 2015. The Merger is primarily intended to deepen our expertise in non-volatile memory and enable us to vertically integrate into NAND, securing long-term access to solid state technology at a lower cost. The aggregate purchase price of the Merger was $15.59 billion, consisting of $13.77 billion funded with existing cash and cash from new debt, 49 million newly issued shares of our common stock with a fair value of $1.764 billion and $58 million related to the fair value of assumed share-based awards.</w:t>
      </w:r>
    </w:p>
    <w:p>
      <w:pPr>
        <w:spacing w:after="0" w:line="64" w:lineRule="exact"/>
        <w:rPr>
          <w:sz w:val="20"/>
          <w:szCs w:val="20"/>
          <w:color w:val="auto"/>
        </w:rPr>
      </w:pPr>
    </w:p>
    <w:p>
      <w:pPr>
        <w:ind w:left="260" w:firstLine="162"/>
        <w:spacing w:after="0" w:line="375" w:lineRule="auto"/>
        <w:rPr>
          <w:sz w:val="20"/>
          <w:szCs w:val="20"/>
          <w:color w:val="auto"/>
        </w:rPr>
      </w:pPr>
      <w:r>
        <w:rPr>
          <w:rFonts w:ascii="Arial" w:cs="Arial" w:eastAsia="Arial" w:hAnsi="Arial"/>
          <w:sz w:val="18"/>
          <w:szCs w:val="18"/>
          <w:color w:val="auto"/>
        </w:rPr>
        <w:t xml:space="preserve">For additional information, see Part II, Item 8, Note 16 of the Notes to Consolidated Financial Statements included in this Annual Report on Form 10-K. </w:t>
      </w:r>
      <w:r>
        <w:rPr>
          <w:rFonts w:ascii="Arial" w:cs="Arial" w:eastAsia="Arial" w:hAnsi="Arial"/>
          <w:sz w:val="18"/>
          <w:szCs w:val="18"/>
          <w:i w:val="1"/>
          <w:iCs w:val="1"/>
          <w:color w:val="auto"/>
        </w:rPr>
        <w:t>Debt Facilities</w:t>
      </w:r>
    </w:p>
    <w:p>
      <w:pPr>
        <w:spacing w:after="0" w:line="1"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In connection with the Merger, we entered into new debt facilities. The proceeds from the new debt facilities were used to finance, in part, the cash portion of the purchase price related to the Merger, refinance certain existing indebtedness of Western Digital and SanDisk, and pay certain transaction costs.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new debt facilities we entered into aggregated approximately $18.1 billion in principal and consisted of the following:</w:t>
      </w:r>
    </w:p>
    <w:p>
      <w:pPr>
        <w:spacing w:after="0" w:line="117" w:lineRule="exact"/>
        <w:rPr>
          <w:sz w:val="20"/>
          <w:szCs w:val="20"/>
          <w:color w:val="auto"/>
        </w:rPr>
      </w:pPr>
    </w:p>
    <w:p>
      <w:pPr>
        <w:ind w:left="980" w:right="2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April 13, 2016, we completed an offering of our $1.875 billion aggregate principal amount of 7.375% senior secured notes due 2023 (the “Secured Notes”) and $3.35 billion aggregate principal amount of 10.500% senior unsecured notes due 2024 (the “Unsecured Notes” and, together with the Secured Notes, the “Notes”).</w:t>
      </w:r>
    </w:p>
    <w:p>
      <w:pPr>
        <w:spacing w:after="0" w:line="73" w:lineRule="exact"/>
        <w:rPr>
          <w:rFonts w:ascii="Arial" w:cs="Arial" w:eastAsia="Arial" w:hAnsi="Arial"/>
          <w:sz w:val="18"/>
          <w:szCs w:val="18"/>
          <w:color w:val="auto"/>
        </w:rPr>
      </w:pPr>
    </w:p>
    <w:p>
      <w:pPr>
        <w:ind w:left="980" w:hanging="324"/>
        <w:spacing w:after="0" w:line="272"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April 29, 2016, we entered into a new credit agreement with JPMorgan Chase Bank, N.A., as administrative agent and collateral agent, and the lenders party thereto, which provides for secured loan facilities consisting of a $4.125 billion term loan facility (the “Term Loan A”), a $3.75 billion term loan facility (the “U.S. Term Loan B”), an €885 million (approximately $987 million based on the currency exchange rate at July 1, 2016) term loan facility (the “Euro Term Loan B” and, together with the U.S. Term Loan B, the “Term Loan B”) and a $1.0 billion revolving credit facility. The Term Loan A and the revolving credit facility have a five-year term. Term Loan B has a term of seven years. On May 12, 2016, concurrent with entering into the new credit agreement, we repaid all outstanding loans, together with accrued interest and related fees, and terminated all commitments under our then-existing credit agreement dated as of January 29, 2014.</w:t>
      </w:r>
    </w:p>
    <w:p>
      <w:pPr>
        <w:spacing w:after="0" w:line="69" w:lineRule="exact"/>
        <w:rPr>
          <w:rFonts w:ascii="Arial" w:cs="Arial" w:eastAsia="Arial" w:hAnsi="Arial"/>
          <w:sz w:val="17"/>
          <w:szCs w:val="17"/>
          <w:color w:val="auto"/>
        </w:rPr>
      </w:pPr>
    </w:p>
    <w:p>
      <w:pPr>
        <w:ind w:left="980" w:right="120" w:hanging="324"/>
        <w:spacing w:after="0" w:line="279"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May 12, 2016, we and our wholly owned subsidiary, Western Digital Technologies, Inc. (“WDT”), entered into a 45-day senior secured bridge credit agreement for $3.0 billion in aggregate principal amount with JPMorgan Chase Bank and the lenders from time to time party thereto. On June 9, 2016, this agreement was amended to extend the maturity to 75 days. On July 21, 2016, the $3.0 billion aggregate principal amount of senior secured bridge loan outstanding was repaid in full, together with accrued interest.</w:t>
      </w:r>
    </w:p>
    <w:p>
      <w:pPr>
        <w:spacing w:after="0" w:line="63"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On May 12, 2016, we assumed $997 million aggregate principal amount of SanDisk outstanding 1.5% Convertible Senior Notes due 2017 (the “2017 Notes”) and $1.5 billion aggregate principal amount of SanDisk outstanding 0.5% Convertible Senior Notes due 2020 (the “2020 Notes” and, together with the 2017 Notes, the “SanDisk Notes”). The 2017 Notes mature on August 15, 2017 and the 2020 Notes mature on October 15, 2020. The SanDisk Notes are not callable. As a result of the Merger, holders of $997 million of the outstanding principal amount of the 2017 Notes and $1.44 billion of the outstanding principal amount of the 2020 Notes had elected to convert their SanDisk Notes at temporarily increased conversion rates that expired on June 9, 2016. Once the holders elected conversion, there was a 20 trading day observation period which resulted in holders of $868 million principal amount of the 2017 Notes and $1.19 billion principal amount of the 2020 Notes converting by July 1, 2016 and $129 million principal amount of the 2017 Notes and $250 million principal amount of the 2020 Notes converting after July 1, 2016. In addition, during July 2016, we repurchased $25 million of the 2020 Notes. After taking into account conversions and the amounts that we repurchased, as of August 26, 2016, $37 million principal amount of the 2020 Notes and an immaterial principal amount of the 2017 Notes were outstanding.</w:t>
      </w:r>
    </w:p>
    <w:p>
      <w:pPr>
        <w:spacing w:after="0" w:line="70"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For additional information, see Part II, Item 8, Note 3 of the Notes to Consolidated Financial Statements included in this Annual Report on Form 10-K.</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Plan (the “Restructuring Plan”)</w:t>
      </w:r>
    </w:p>
    <w:p>
      <w:pPr>
        <w:spacing w:after="0" w:line="11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In connection with the regulatory approval process for the HGST acquisition, which closed on March 8, 2012, we agreed to certain conditions required by MOFCOM, including adopting measures to maintain HGST as an independent competitor until MOFCOM agreed otherwise. Accordingly, since March 2012, we have operated our global business through two independent subsidiaries — HGST and WD. In March 2014, we submitted an application to MOFCOM to lift the condition it imposed on us to operate these businesses separately. On October 19, 2015, MOFCOM issued a decision in response to our application that permits us to integrate our HGST and WD subsidiaries, except that we committed to maintain two sales teams that will separately offer products under the WD or HGST brands for two years from the date of the decision.</w:t>
      </w:r>
    </w:p>
    <w:p>
      <w:pPr>
        <w:spacing w:after="0" w:line="70" w:lineRule="exact"/>
        <w:rPr>
          <w:sz w:val="20"/>
          <w:szCs w:val="20"/>
          <w:color w:val="auto"/>
        </w:rPr>
      </w:pPr>
    </w:p>
    <w:p>
      <w:pPr>
        <w:ind w:right="640" w:firstLine="405"/>
        <w:spacing w:after="0" w:line="342" w:lineRule="auto"/>
        <w:rPr>
          <w:sz w:val="20"/>
          <w:szCs w:val="20"/>
          <w:color w:val="auto"/>
        </w:rPr>
      </w:pPr>
      <w:r>
        <w:rPr>
          <w:rFonts w:ascii="Arial" w:cs="Arial" w:eastAsia="Arial" w:hAnsi="Arial"/>
          <w:sz w:val="16"/>
          <w:szCs w:val="16"/>
          <w:color w:val="auto"/>
        </w:rPr>
        <w:t>We have initiated a set of actions relating to the Restructuring Plan associated with the integration of substantial portions of our HGST and WD subsidiaries. The Restructuring Plan consists of asset and footprint reduction, product roadmap consolidation and organization rationalization.</w:t>
      </w:r>
    </w:p>
    <w:p>
      <w:pPr>
        <w:spacing w:after="0" w:line="16" w:lineRule="exact"/>
        <w:rPr>
          <w:sz w:val="20"/>
          <w:szCs w:val="20"/>
          <w:color w:val="auto"/>
        </w:rPr>
      </w:pPr>
    </w:p>
    <w:p>
      <w:pPr>
        <w:jc w:val="both"/>
        <w:ind w:right="40" w:firstLine="405"/>
        <w:spacing w:after="0" w:line="302" w:lineRule="auto"/>
        <w:rPr>
          <w:sz w:val="20"/>
          <w:szCs w:val="20"/>
          <w:color w:val="auto"/>
        </w:rPr>
      </w:pPr>
      <w:r>
        <w:rPr>
          <w:rFonts w:ascii="Arial" w:cs="Arial" w:eastAsia="Arial" w:hAnsi="Arial"/>
          <w:sz w:val="16"/>
          <w:szCs w:val="16"/>
          <w:color w:val="auto"/>
        </w:rPr>
        <w:t>We expect the Restructuring Plan to be substantially completed by the end of calendar year 2017 and it is expected to result in total pre-tax charges of $400 million. These charges are expected to consist of $185 million in employee termination benefits, $125 million in asset charges and $90 million in other related costs. $275 million of these charges are expected to be cash expenditures. In 2016, we recognized $77 million of expenses related to the Restructuring Plan, which consisted of $58 million in employee termination benefits and $19 million in contract termination and other charges.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Closure of Foreign Manufacturing Facility</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January 2016, we announced the closing of our head component front end wafer manufacturing facility in Odawara, Japan, in order to reduce manufacturing costs. In 2016, we recognized $152 million of expenses related to the closure of the facility, which consisted of $119 million in employee termination benefits, $24 million in asset impairment and $9 million in contract termination and other charges. In addition, we recognized $48 million of accelerated depreciation charges on assets held at the Odawara facility, of which $34 million was recognized in cost of revenue and $14 million was recognized in research and development within the consolidated statements of income. As of July 1, 2016, we substantially completed all activities related to the closure of the facility.</w:t>
      </w:r>
    </w:p>
    <w:p>
      <w:pPr>
        <w:spacing w:after="0" w:line="85" w:lineRule="exact"/>
        <w:rPr>
          <w:sz w:val="20"/>
          <w:szCs w:val="20"/>
          <w:color w:val="auto"/>
        </w:rPr>
      </w:pPr>
    </w:p>
    <w:p>
      <w:pPr>
        <w:ind w:left="260" w:firstLine="162"/>
        <w:spacing w:after="0" w:line="375" w:lineRule="auto"/>
        <w:rPr>
          <w:sz w:val="20"/>
          <w:szCs w:val="20"/>
          <w:color w:val="auto"/>
        </w:rPr>
      </w:pPr>
      <w:r>
        <w:rPr>
          <w:rFonts w:ascii="Arial" w:cs="Arial" w:eastAsia="Arial" w:hAnsi="Arial"/>
          <w:sz w:val="18"/>
          <w:szCs w:val="18"/>
          <w:color w:val="auto"/>
        </w:rPr>
        <w:t xml:space="preserve">For additional information, see Part II, Item 8, Note 17 of the Notes to Consolidated Financial Statements included in this Annual Report on Form 10-K. </w:t>
      </w:r>
      <w:r>
        <w:rPr>
          <w:rFonts w:ascii="Arial" w:cs="Arial" w:eastAsia="Arial" w:hAnsi="Arial"/>
          <w:sz w:val="18"/>
          <w:szCs w:val="18"/>
          <w:i w:val="1"/>
          <w:iCs w:val="1"/>
          <w:color w:val="auto"/>
        </w:rPr>
        <w:t>Unis Joint Venture</w:t>
      </w:r>
    </w:p>
    <w:p>
      <w:pPr>
        <w:spacing w:after="0" w:line="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November 2015, we entered into an agreement to form a joint venture with Unis to market and sell our current data center storage systems in China and to develop data storage systems for the Chinese market in the future. A business plan for the joint venture has been completed, and we expect that the joint venture will be operational during calendar year 2016. The joint venture is 49% owned by us and 51% owned by Unis and its subsidiary, Unissoft (Wuxi) Group Co. Ltd.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2016 Overview</w:t>
      </w:r>
    </w:p>
    <w:p>
      <w:pPr>
        <w:spacing w:after="0" w:line="11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In accordance with accounting principles generally accepted in the United States (“U.S. GAAP”), operating results for SanDisk and Amplidata, which we acquired on May 12, 2016 and March 9, 2015, respectively, are included in our operating results only after the respective dates of acquisition.</w:t>
      </w:r>
    </w:p>
    <w:p>
      <w:pPr>
        <w:spacing w:after="0" w:line="16"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In the course of finalizing this Annual Report on Form 10-K, we determined it was necessary to record an additional $10 million in R&amp;D expense primarily for third party non-recurring engineering charges and $5 million in asset impairment for the discontinuation of a software project for the fourth quarter and full year of fiscal 2016 that were not included in our Current Report on Form 8-K filed with the SEC on July 28, 2016 to announce our preliminary and unaudited financial results for the fourth fiscal quarter and fiscal year ended July 1, 2016. Given this change, for fiscal year 2016, operating income decreased to $466 million and net income decreased to $242 million, or $1.00 per diluted share, and for the fourth quarter of 2016, operating loss increased to $195 million and net loss increased to $366 million, or $1.40 per diluted share.</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financial performance for fiscal 2016:</w:t>
      </w:r>
    </w:p>
    <w:p>
      <w:pPr>
        <w:spacing w:after="0" w:line="117" w:lineRule="exact"/>
        <w:rPr>
          <w:sz w:val="20"/>
          <w:szCs w:val="20"/>
          <w:color w:val="auto"/>
        </w:rPr>
      </w:pPr>
    </w:p>
    <w:p>
      <w:pPr>
        <w:ind w:left="660" w:right="2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2016, our net revenue decreased by 11% to $13.0 billion on HDD shipments of 185 million units, as compared to $14.6 billion on shipments of 229 million units in 2015.</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HDD ASPs increased to $61 in 2016, as compared to $60 in 2015.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profit as a percentage of net revenue decreased to 26.4% in 2016, as compared to 29.0% in 2015.</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660" w:right="360" w:hanging="328"/>
        <w:spacing w:after="0" w:line="28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Operating income decreased to $466 million in 2016, as compared to $1.6 billion in 2015. Operating income in 2016 included $345 million of employee termination, asset impairment and other charges, as compared to $176 million in 2015. In addition, operating income in 2016 included SanDisk acquisition-related costs of $159 million and charges related to cost savings initiatives of $143 million.</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in 2016 was $242 million, or $1.00 per diluted share, as compared to $1.5 billion, or $6.18 per diluted share, in 2015.</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Comparison of 2016, 2015 and 2014</w:t>
      </w:r>
    </w:p>
    <w:p>
      <w:pPr>
        <w:spacing w:after="0" w:line="11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table sets forth, for the periods presented, selected summary information from our consolidated statements of income by dollars and percentage of net revenue: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4"/>
                <w:szCs w:val="14"/>
                <w:b w:val="1"/>
                <w:bCs w:val="1"/>
                <w:color w:val="auto"/>
                <w:w w:val="91"/>
              </w:rPr>
              <w:t>Years Ended</w:t>
            </w: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52"/>
        </w:trPr>
        <w:tc>
          <w:tcPr>
            <w:tcW w:w="3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left="433"/>
              <w:spacing w:after="0" w:line="153" w:lineRule="exact"/>
              <w:rPr>
                <w:sz w:val="20"/>
                <w:szCs w:val="20"/>
                <w:color w:val="auto"/>
              </w:rPr>
            </w:pPr>
            <w:r>
              <w:rPr>
                <w:rFonts w:ascii="Arial" w:cs="Arial" w:eastAsia="Arial" w:hAnsi="Arial"/>
                <w:sz w:val="14"/>
                <w:szCs w:val="14"/>
                <w:b w:val="1"/>
                <w:bCs w:val="1"/>
                <w:color w:val="auto"/>
                <w:w w:val="91"/>
              </w:rPr>
              <w:t>July 1,</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left="494"/>
              <w:spacing w:after="0" w:line="153" w:lineRule="exact"/>
              <w:rPr>
                <w:sz w:val="20"/>
                <w:szCs w:val="20"/>
                <w:color w:val="auto"/>
              </w:rPr>
            </w:pPr>
            <w:r>
              <w:rPr>
                <w:rFonts w:ascii="Arial" w:cs="Arial" w:eastAsia="Arial" w:hAnsi="Arial"/>
                <w:sz w:val="14"/>
                <w:szCs w:val="14"/>
                <w:b w:val="1"/>
                <w:bCs w:val="1"/>
                <w:color w:val="auto"/>
                <w:w w:val="91"/>
              </w:rPr>
              <w:t>July 3,</w:t>
            </w: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center"/>
              <w:ind w:left="393"/>
              <w:spacing w:after="0" w:line="153" w:lineRule="exact"/>
              <w:rPr>
                <w:sz w:val="20"/>
                <w:szCs w:val="20"/>
                <w:color w:val="auto"/>
              </w:rPr>
            </w:pPr>
            <w:r>
              <w:rPr>
                <w:rFonts w:ascii="Arial" w:cs="Arial" w:eastAsia="Arial" w:hAnsi="Arial"/>
                <w:sz w:val="14"/>
                <w:szCs w:val="14"/>
                <w:b w:val="1"/>
                <w:bCs w:val="1"/>
                <w:color w:val="auto"/>
                <w:w w:val="89"/>
              </w:rPr>
              <w:t>June 27,</w:t>
            </w:r>
          </w:p>
        </w:tc>
        <w:tc>
          <w:tcPr>
            <w:tcW w:w="800" w:type="dxa"/>
            <w:vAlign w:val="bottom"/>
          </w:tcPr>
          <w:p>
            <w:pPr>
              <w:spacing w:after="0"/>
              <w:rPr>
                <w:sz w:val="13"/>
                <w:szCs w:val="13"/>
                <w:color w:val="auto"/>
              </w:rPr>
            </w:pPr>
          </w:p>
        </w:tc>
      </w:tr>
      <w:tr>
        <w:trPr>
          <w:trHeight w:val="192"/>
        </w:trPr>
        <w:tc>
          <w:tcPr>
            <w:tcW w:w="3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534"/>
              <w:spacing w:after="0"/>
              <w:rPr>
                <w:sz w:val="20"/>
                <w:szCs w:val="20"/>
                <w:color w:val="auto"/>
              </w:rPr>
            </w:pPr>
            <w:r>
              <w:rPr>
                <w:rFonts w:ascii="Arial" w:cs="Arial" w:eastAsia="Arial" w:hAnsi="Arial"/>
                <w:sz w:val="14"/>
                <w:szCs w:val="14"/>
                <w:b w:val="1"/>
                <w:bCs w:val="1"/>
                <w:color w:val="auto"/>
                <w:w w:val="89"/>
              </w:rPr>
              <w:t>2015</w:t>
            </w: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spacing w:after="0"/>
              <w:rPr>
                <w:sz w:val="16"/>
                <w:szCs w:val="16"/>
                <w:color w:val="auto"/>
              </w:rPr>
            </w:pPr>
          </w:p>
        </w:tc>
      </w:tr>
      <w:tr>
        <w:trPr>
          <w:trHeight w:val="223"/>
        </w:trPr>
        <w:tc>
          <w:tcPr>
            <w:tcW w:w="3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3"/>
          </w:tcPr>
          <w:p>
            <w:pPr>
              <w:jc w:val="center"/>
              <w:ind w:right="130"/>
              <w:spacing w:after="0"/>
              <w:rPr>
                <w:sz w:val="20"/>
                <w:szCs w:val="20"/>
                <w:color w:val="auto"/>
              </w:rPr>
            </w:pPr>
            <w:r>
              <w:rPr>
                <w:rFonts w:ascii="Arial" w:cs="Arial" w:eastAsia="Arial" w:hAnsi="Arial"/>
                <w:sz w:val="16"/>
                <w:szCs w:val="16"/>
                <w:i w:val="1"/>
                <w:iCs w:val="1"/>
                <w:color w:val="auto"/>
                <w:w w:val="92"/>
              </w:rPr>
              <w:t>(in millions, except percentages)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3"/>
        </w:trPr>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12,994</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100.0 %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14,572</w:t>
            </w: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100.0 %</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15,130</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9,559</w:t>
            </w:r>
          </w:p>
        </w:tc>
        <w:tc>
          <w:tcPr>
            <w:tcW w:w="50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10,351</w:t>
            </w:r>
          </w:p>
        </w:tc>
        <w:tc>
          <w:tcPr>
            <w:tcW w:w="6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71.0</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10,770</w:t>
            </w:r>
          </w:p>
        </w:tc>
        <w:tc>
          <w:tcPr>
            <w:tcW w:w="54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71.2</w:t>
            </w:r>
          </w:p>
        </w:tc>
      </w:tr>
      <w:tr>
        <w:trPr>
          <w:trHeight w:val="27"/>
        </w:trPr>
        <w:tc>
          <w:tcPr>
            <w:tcW w:w="3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3,435</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4,221</w:t>
            </w: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29.0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4,360</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28.8</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1,627</w:t>
            </w:r>
          </w:p>
        </w:tc>
        <w:tc>
          <w:tcPr>
            <w:tcW w:w="50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1,646</w:t>
            </w:r>
          </w:p>
        </w:tc>
        <w:tc>
          <w:tcPr>
            <w:tcW w:w="6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1,661</w:t>
            </w:r>
          </w:p>
        </w:tc>
        <w:tc>
          <w:tcPr>
            <w:tcW w:w="54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11.0</w:t>
            </w:r>
          </w:p>
        </w:tc>
      </w:tr>
      <w:tr>
        <w:trPr>
          <w:trHeight w:val="27"/>
        </w:trPr>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997</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788</w:t>
            </w: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r>
      <w:tr>
        <w:trPr>
          <w:trHeight w:val="229"/>
        </w:trPr>
        <w:tc>
          <w:tcPr>
            <w:tcW w:w="3840" w:type="dxa"/>
            <w:vAlign w:val="bottom"/>
          </w:tcPr>
          <w:p>
            <w:pPr>
              <w:ind w:left="40"/>
              <w:spacing w:after="0"/>
              <w:rPr>
                <w:sz w:val="20"/>
                <w:szCs w:val="20"/>
                <w:color w:val="auto"/>
              </w:rPr>
            </w:pPr>
            <w:r>
              <w:rPr>
                <w:rFonts w:ascii="Arial" w:cs="Arial" w:eastAsia="Arial" w:hAnsi="Arial"/>
                <w:sz w:val="18"/>
                <w:szCs w:val="18"/>
                <w:color w:val="auto"/>
                <w:w w:val="93"/>
              </w:rPr>
              <w:t>Employee termination, asset impairment and other</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840" w:type="dxa"/>
            <w:vAlign w:val="bottom"/>
          </w:tcPr>
          <w:p>
            <w:pPr>
              <w:ind w:left="40"/>
              <w:spacing w:after="0"/>
              <w:rPr>
                <w:sz w:val="20"/>
                <w:szCs w:val="20"/>
                <w:color w:val="auto"/>
              </w:rPr>
            </w:pPr>
            <w:r>
              <w:rPr>
                <w:rFonts w:ascii="Arial" w:cs="Arial" w:eastAsia="Arial" w:hAnsi="Arial"/>
                <w:sz w:val="18"/>
                <w:szCs w:val="18"/>
                <w:color w:val="auto"/>
              </w:rPr>
              <w:t>charges</w:t>
            </w:r>
          </w:p>
        </w:tc>
        <w:tc>
          <w:tcPr>
            <w:tcW w:w="3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345</w:t>
            </w:r>
          </w:p>
        </w:tc>
        <w:tc>
          <w:tcPr>
            <w:tcW w:w="5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6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54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7"/>
        </w:trPr>
        <w:tc>
          <w:tcPr>
            <w:tcW w:w="3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1,611</w:t>
            </w: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1,791</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11.8</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w:t>
            </w:r>
          </w:p>
        </w:tc>
        <w:tc>
          <w:tcPr>
            <w:tcW w:w="500" w:type="dxa"/>
            <w:vAlign w:val="bottom"/>
          </w:tcPr>
          <w:p>
            <w:pPr>
              <w:spacing w:after="0"/>
              <w:rPr>
                <w:sz w:val="21"/>
                <w:szCs w:val="21"/>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(0.3)</w:t>
            </w:r>
          </w:p>
        </w:tc>
      </w:tr>
      <w:tr>
        <w:trPr>
          <w:trHeight w:val="27"/>
        </w:trPr>
        <w:tc>
          <w:tcPr>
            <w:tcW w:w="3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1,577</w:t>
            </w: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1,752</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11.6</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rPr>
                <w:sz w:val="21"/>
                <w:szCs w:val="21"/>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6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54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7"/>
        </w:trPr>
        <w:tc>
          <w:tcPr>
            <w:tcW w:w="3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242</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1,465</w:t>
            </w:r>
          </w:p>
        </w:tc>
        <w:tc>
          <w:tcPr>
            <w:tcW w:w="6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1,617</w:t>
            </w:r>
          </w:p>
        </w:tc>
        <w:tc>
          <w:tcPr>
            <w:tcW w:w="5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r>
      <w:tr>
        <w:trPr>
          <w:trHeight w:val="20"/>
        </w:trPr>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94"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table sets forth, for the periods presented, summary information regarding unit shipments, ASPs and net revenues by geography and channel: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Years Ended</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6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40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3"/>
                <w:szCs w:val="13"/>
                <w:color w:val="auto"/>
              </w:rPr>
            </w:pPr>
          </w:p>
        </w:tc>
        <w:tc>
          <w:tcPr>
            <w:tcW w:w="124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June 27,</w:t>
            </w:r>
          </w:p>
        </w:tc>
      </w:tr>
      <w:tr>
        <w:trPr>
          <w:trHeight w:val="192"/>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r>
      <w:tr>
        <w:trPr>
          <w:trHeight w:val="223"/>
        </w:trPr>
        <w:tc>
          <w:tcPr>
            <w:tcW w:w="6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00" w:type="dxa"/>
            <w:vAlign w:val="bottom"/>
            <w:gridSpan w:val="7"/>
          </w:tcPr>
          <w:p>
            <w:pPr>
              <w:jc w:val="center"/>
              <w:ind w:right="233"/>
              <w:spacing w:after="0"/>
              <w:rPr>
                <w:sz w:val="20"/>
                <w:szCs w:val="20"/>
                <w:color w:val="auto"/>
              </w:rPr>
            </w:pPr>
            <w:r>
              <w:rPr>
                <w:rFonts w:ascii="Arial" w:cs="Arial" w:eastAsia="Arial" w:hAnsi="Arial"/>
                <w:sz w:val="16"/>
                <w:szCs w:val="16"/>
                <w:i w:val="1"/>
                <w:iCs w:val="1"/>
                <w:color w:val="auto"/>
                <w:w w:val="91"/>
              </w:rPr>
              <w:t>(in millions, except percentages and ASPs)</w:t>
            </w:r>
          </w:p>
        </w:tc>
      </w:tr>
      <w:tr>
        <w:trPr>
          <w:trHeight w:val="33"/>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12,994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15,130</w:t>
            </w:r>
          </w:p>
        </w:tc>
      </w:tr>
      <w:tr>
        <w:trPr>
          <w:trHeight w:val="270"/>
        </w:trPr>
        <w:tc>
          <w:tcPr>
            <w:tcW w:w="6580" w:type="dxa"/>
            <w:vAlign w:val="bottom"/>
          </w:tcPr>
          <w:p>
            <w:pPr>
              <w:ind w:left="40"/>
              <w:spacing w:after="0" w:line="270" w:lineRule="exact"/>
              <w:rPr>
                <w:sz w:val="20"/>
                <w:szCs w:val="20"/>
                <w:color w:val="auto"/>
              </w:rPr>
            </w:pPr>
            <w:r>
              <w:rPr>
                <w:rFonts w:ascii="Arial" w:cs="Arial" w:eastAsia="Arial" w:hAnsi="Arial"/>
                <w:sz w:val="18"/>
                <w:szCs w:val="18"/>
                <w:color w:val="auto"/>
              </w:rPr>
              <w:t>ASPs (per unit)</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58</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Geography (%)</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Americas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 Middle East and Africa</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Asia</w:t>
            </w:r>
          </w:p>
        </w:tc>
        <w:tc>
          <w:tcPr>
            <w:tcW w:w="3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54</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Channel (%)</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Original Equipment Manufacturers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Distributors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Retailers</w:t>
            </w:r>
          </w:p>
        </w:tc>
        <w:tc>
          <w:tcPr>
            <w:tcW w:w="3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13</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Unit Shipments</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PC</w:t>
            </w:r>
          </w:p>
        </w:tc>
        <w:tc>
          <w:tcPr>
            <w:tcW w:w="3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157</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Non-PC</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92</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units shipped</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249</w:t>
            </w:r>
          </w:p>
        </w:tc>
      </w:tr>
      <w:tr>
        <w:trPr>
          <w:trHeight w:val="27"/>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tabs>
          <w:tab w:leader="none" w:pos="3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Based on sales of HDD units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020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Year 2016 Compared to Fiscal Year 2015</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Net revenue was $13.0 billion for 2016, a decrease of 11% from the prior year primarily due to lower HDD unit shipments partially offset by an increase in HDD ASP and revenues from SanDisk of $793 million following May 12, 2016, the closing date of the Merger (the “SanDisk Closing Date”). Total HDD shipments for 2016 decreased to 185 million units, as compared to 229 million units in the prior year primarily due to a softer demand environment. ASPs were $61 for 2016, an increase of $1 from 2015, primarily due to a change in product mix.</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net revenue by geography reflect a:</w:t>
      </w:r>
    </w:p>
    <w:p>
      <w:pPr>
        <w:spacing w:after="0" w:line="117"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decrease in Asia primarily due to reduced demand of client HDD shipments as a result of a decline in the desktop and notebook PC market.</w:t>
      </w:r>
    </w:p>
    <w:p>
      <w:pPr>
        <w:spacing w:after="0" w:line="128" w:lineRule="exact"/>
        <w:rPr>
          <w:rFonts w:ascii="Arial" w:cs="Arial" w:eastAsia="Arial" w:hAnsi="Arial"/>
          <w:sz w:val="17"/>
          <w:szCs w:val="17"/>
          <w:color w:val="auto"/>
        </w:rPr>
      </w:pPr>
    </w:p>
    <w:p>
      <w:pPr>
        <w:ind w:left="660" w:right="280" w:hanging="247"/>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 in Europe, Middle East and Africa due to lower demand for our client and retail HDD products primarily due to the continued decline of PC-related after-market sales.</w:t>
      </w:r>
    </w:p>
    <w:p>
      <w:pPr>
        <w:spacing w:after="0" w:line="62"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Consistent with standard industry practice, we have sales incentive and marketing programs that provide customers with price protection and other incentives or reimbursements that are recorded as a reduction to gross revenue. For 2016 and 2015, these programs represented 13% and 10% of gross revenues, respectively. These amounts generally vary according to several factors including industry conditions, seasonal demand, competitor actions, channel mix and overall availability of products. Changes in future customer demand and market conditions may require us to adjust our incentive programs as a percentage of gross revenue.</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Gross profit for 2016 was $3.4 billion, a decrease of $786 million from the prior year. Gross profit as a percentage of net revenue decreased to 26.4% in 2016, as compared to 29.0% in the prior year. This decrease was primarily the result of lower HDD unit sales and the related absorption impact, and accelerated depreciation on assets related to both the closure of the Odawara, Japan facility and the Restructuring Plan. This decrease in gross profit was partially offset by SanDisk’s gross profit following the SanDisk Closing Date.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R&amp;D expense was $1.6 billion in 2016, a decrease of $19 million, or 1%, from the prior year. This decrease was primarily the result of reductions in employee compensation expenses due to a reduction in headcount as a result of our business realignment initiatives, reduction in material spend due to the consolidation of our product roadmap in relation to the integration of our HGST and WD subsidiaries and an additional week in the prior year. These decreases were partially offset by SanDisk’s R&amp;D expenses following the SanDisk Closing Date and expenses related to the integration of our HGST and WD subsidiaries.</w:t>
      </w:r>
    </w:p>
    <w:p>
      <w:pPr>
        <w:spacing w:after="0" w:line="8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Selling, general and administrative (“SG&amp;A”) expense was $997 million in 2016, an increase of $209 million, or 27%, from the prior year. This increase was primarily the result of SanDisk’s SG&amp;A expenses following the SanDisk Closing Date, charges related to the Merger and expenses related to the integration of our HGST and WD subsidiaries. These charges were partially offset by a reduction in employee compensation expenses due to a reduction in headcount as a result of our business realignment initiatives and an additional week in the prior year.</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2016, we recorded $345 million of employee termination, asset impairment and other charges. These charges consisted of $251 million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employee termination costs, $37 million of asset impairment charges and $57 million of contract termination and other charges. During 2015, we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$176 million of employee termination, asset impairment and other charges. These charges consisted of $82 million of employee termination costs, $82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asset impairment charges and $12 million of contract termination and other charges. For additional information, see Part II, Item 8, Note 17 of the Notes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included in this Annual Report on Form 10-K.</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firstLine="405"/>
        <w:spacing w:after="0" w:line="219" w:lineRule="exact"/>
        <w:rPr>
          <w:sz w:val="20"/>
          <w:szCs w:val="20"/>
          <w:color w:val="auto"/>
        </w:rPr>
      </w:pPr>
      <w:r>
        <w:rPr>
          <w:rFonts w:ascii="Arial" w:cs="Arial" w:eastAsia="Arial" w:hAnsi="Arial"/>
          <w:sz w:val="17"/>
          <w:szCs w:val="17"/>
          <w:color w:val="auto"/>
        </w:rPr>
        <w:t>Total other expense, net was $313 million in 2016, as compared to $34 million in the prior year. Interest income increased to $26 million in 2016, from $14 million in the prior year, primarily due to a higher average daily invested cash balance and higher market interest rates. Interest expense increased to $266 million in 2016, from $49 million in the prior year, primarily due to a higher debt balance and amortization of issuance costs related to the debt issued in connection with the Merger. Other income (expense), net was $73 million of expense, primarily comprised of settlement of the SanDisk debt instruments and the write-off of debt issuance costs related to the termination of our existing credit agreement. For additional information on debt, see Part II, Item 8, Note 3 of the Notes to Consolidated Financial Statements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 (Benefit)</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Income tax benefit was $89 million in 2016, as compared to a $112 million expense in the prior year. Tax benefit as a percentage of income before taxes was 58.2% in 2016, as compared to tax expense of 7.1% in the prior year. Our income tax benefit for 2016 reflects tax benefits from expenses related to the Merger and from interest expense related to new debt facilities. The difference between the effective tax rate and the U.S. Federal statutory rate is primarily due to foreign income taxed at lower tax rates due to tax holidays in Malaysia, the Philippines, Singapore and Thailand that expire at various dates from 2016 through 2029, the current year generation of income tax credits and the tax deductible expenses related to the Merger.</w:t>
      </w:r>
    </w:p>
    <w:p>
      <w:pPr>
        <w:spacing w:after="0" w:line="50" w:lineRule="exact"/>
        <w:rPr>
          <w:sz w:val="20"/>
          <w:szCs w:val="20"/>
          <w:color w:val="auto"/>
        </w:rPr>
      </w:pPr>
    </w:p>
    <w:p>
      <w:pPr>
        <w:ind w:right="340" w:firstLine="405"/>
        <w:spacing w:after="0" w:line="312" w:lineRule="auto"/>
        <w:rPr>
          <w:sz w:val="20"/>
          <w:szCs w:val="20"/>
          <w:color w:val="auto"/>
        </w:rPr>
      </w:pPr>
      <w:r>
        <w:rPr>
          <w:rFonts w:ascii="Arial" w:cs="Arial" w:eastAsia="Arial" w:hAnsi="Arial"/>
          <w:sz w:val="16"/>
          <w:szCs w:val="16"/>
          <w:color w:val="auto"/>
        </w:rPr>
        <w:t>As of July 1, 2016, we had a recorded liability for unrecognized tax benefits of $491 million. We recognized a net increase of $141 million in our liability for unrecognized tax benefits during 2016. Accrued interest and penalties related to unrecognized tax benefits as of July 1, 2016 was $75 million. $120 million of the net increase in our liability for unrecognized tax benefits is attributable to balances assumed as a result of the Merger.</w:t>
      </w:r>
    </w:p>
    <w:p>
      <w:pPr>
        <w:spacing w:after="0" w:line="39"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The Internal Revenue Service (“IRS”) previously completed its field examination of our federal income tax returns for fiscal years 2006 through 2009 and proposed certain adjustments. We have received Revenue Agent Reports from the IRS that seek to increase our U.S. taxable income which would result in additional federal tax expense totaling $795 million, subject to interest. The issues in dispute relate primarily to transfer pricing with our foreign subsidiaries and intercompany payable balances. We disagree with the proposed adjustments and in September 2015, filed a protest with the IRS Appeals Office and received the IRS rebuttal in July 2016. We believe that our tax positions are properly supported and will vigorously contest the position taken by the IRS. In September 2015, the IRS commenced an examination of our fiscal years 2010 through 2012.</w:t>
      </w:r>
    </w:p>
    <w:p>
      <w:pPr>
        <w:spacing w:after="0" w:line="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believe that adequate provision has been made for any adjustments that may result from tax examinations. However, the outcome of tax examinations cannot be predicted with certainty. If any issues addressed in our tax examinations are resolved in a manner not consistent with management’s expectations, we could be required to adjust our provision for income taxes in the period such resolution occurs. As of July 1, 2016, it is not possible to estimate the amount of change, if any, in the unrecognized tax benefits that is reasonably possible within the next twelve months. Any significant change in the amount of our liability for unrecognized tax benefits would most likely result from additional information or settlements relating to the examination of our tax returns.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Year 2015 Compared to Fiscal Year 2014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Net revenue was $14.6 billion for 2015, a decrease of 4% from 2014. The decrease was primarily due to a 8% decline in total HDD shipments, partially offset by an increase in ASPs. Total HDD shipments in 2015 decreased to 229 million units as compared to 249 million units for the prior year primarily due to a decrease in client PC demand. ASPs were $60 for 2015, an increase of $2 from 2014, primarily due to a change in product mix.</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net revenue by geography and channel generally reflect normal fluctuations in market demand and competitive dynamics.</w:t>
      </w:r>
    </w:p>
    <w:p>
      <w:pPr>
        <w:spacing w:after="0" w:line="117"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Consistent with standard industry practice, we have sales incentive and marketing programs that provide customers with price protection and other incentives or reimbursements that are recorded as a reduction to gross revenue. For 2015 and 2014, these programs represented 10% and 8% of gross revenues, respectively. These amounts generally vary according to several factors including industry conditions, seasonal demand, competitor actions, channel mix and overall availability of products.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Gross profit for 2015 was $4.2 billion, a decrease of $139 million from the prior year. The decrease was primarily due to lower volume. Gross profit as a percentage of net revenue remained relatively flat at 29.0% in 2015, as compared to 28.8% in 2014.</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R&amp;D expense was $1.6 billion in 2015, a decrease of $15 million, or 1%, over the prior year. This slight decrease was due primarily to lower incentive compensation, partially offset by an additional week in fiscal 2015 and additional expenses related to our acquisitions.</w:t>
      </w:r>
    </w:p>
    <w:p>
      <w:pPr>
        <w:spacing w:after="0" w:line="62"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SG&amp;A expense was $788 million in 2015, a decrease of $25 million, or 3%, as compared to 2014. Adjusting for a $37 million flood-related insurance recovery in 2015, compared to a $65 million flood-related insurance recovery in 2014, and legal charges of $15 million in 2015, compared to $52 million in 2014, related to a litigation matter that is now closed, SG&amp;A expense decreased $16 million, or 2%, compared to 2014. This slight decrease was primarily due to lower incentive compensation, partially offset by an additional week in fiscal 2015 and additional expenses related to our acquisitions.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0" w:firstLine="405"/>
        <w:spacing w:after="0" w:line="279" w:lineRule="auto"/>
        <w:rPr>
          <w:sz w:val="20"/>
          <w:szCs w:val="20"/>
          <w:color w:val="auto"/>
        </w:rPr>
      </w:pPr>
      <w:r>
        <w:rPr>
          <w:rFonts w:ascii="Arial" w:cs="Arial" w:eastAsia="Arial" w:hAnsi="Arial"/>
          <w:sz w:val="17"/>
          <w:szCs w:val="17"/>
          <w:color w:val="auto"/>
        </w:rPr>
        <w:t>During 2015, we recorded $176 million of employee termination, asset impairment and other charges. These charges consisted of $82 million of employee termination costs, $82 million of asset impairment charges and $12 million of contract termination and other charges. During 2014, we recorded $95 million of employee termination, asset impairment and other charges. These charges consisted of $27 million of employee termination costs, $62 million of asset impairment charges and $6 million of contract termination and other charges.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Other expense, net was $34 million in 2015, compared to $39 million in 2014. Interest income decreased to $14 million in 2015 from $15 million in 2014, primarily due to a $3 million gain on the sale of our auction-rate securities in 2014. Interest expense decreased to $49 million in 2015, from $56 million in 2014, primarily due to a $4 million write-off of debt issuance costs in 2014.</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 expense was $112 million in 2015, as compared to $135 million in 2014. Tax expense as a percentage of income before taxes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was 7.1% in 2015, as compared to 7.7% in 2014. Our income tax provision for 2015 reflects a tax benefit of $27 million as a result of the retroactive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extension of the U.S. Federal research and development tax credit that was signed into law on December 19, 2014. The differences between the effective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and the U.S. Federal statutory rate are primarily due to tax holidays in Malaysia, the Philippines, Singapore and Thailand that expire at various dates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 through 2025 and the current year generation of income tax credits.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We ended 2016 with total cash and cash equivalents of $8.2 billion, an increase of $3.1 billion from July 3, 2015. The following table summarizes our statements of cash flows for the three years ended July 1, 2016: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Years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July 3,</w:t>
            </w:r>
          </w:p>
        </w:tc>
        <w:tc>
          <w:tcPr>
            <w:tcW w:w="300" w:type="dxa"/>
            <w:vAlign w:val="bottom"/>
          </w:tcPr>
          <w:p>
            <w:pPr>
              <w:spacing w:after="0"/>
              <w:rPr>
                <w:sz w:val="13"/>
                <w:szCs w:val="13"/>
                <w:color w:val="auto"/>
              </w:rPr>
            </w:pPr>
          </w:p>
        </w:tc>
        <w:tc>
          <w:tcPr>
            <w:tcW w:w="118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June 27,</w:t>
            </w:r>
          </w:p>
        </w:tc>
      </w:t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23"/>
        </w:trPr>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i w:val="1"/>
                <w:iCs w:val="1"/>
                <w:color w:val="auto"/>
                <w:w w:val="98"/>
              </w:rPr>
              <w:t>(in millions)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2,816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10,751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495</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believe our current cash, cash equivalents and cash generated from operations as well as our available credit facilities will be sufficient to meet our working capital, debt, dividend and capital expenditure needs for at least the next twelve months. Our ability to sustain our working capital position is subject to a number of risks that we discuss in Part I, Item 1A in this Annual Report on Form 10-K.</w:t>
      </w:r>
    </w:p>
    <w:p>
      <w:pPr>
        <w:spacing w:after="0" w:line="73"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In connection with the Merger, we entered into new debt facilities totaling $18.1 billion, which included Notes with an aggregate principal amount of $5.2 billion, term loans of $8.9 billion, a revolving credit facility of $1.0 billion and a bridge loan of $3.0 billion. As of July 1, 2016, we had $17.0 billion in debt facilities outstanding, net of debt issuance costs. The proceeds from the new debt facilities were used to finance, in part, the cash portion of the purchase price related to the Merger, refinance certain existing indebtedness of Western Digital and SanDisk and pay certain transaction costs. On July 21, 2016, the $3.0 billion aggregate principal amount of senior secured bridge loan outstanding was repaid in full, together with accrued interest. On May 12, 2016, we assumed SanDisk’s outstanding $997 million aggregate principal amount of its 2017 Notes and $1.5 billion aggregate principal amount of its 2020 Notes. After taking into account conversions and the amounts that we purchased, as of August 26, 2016, $37 million principal amount of the 2020 Notes and an immaterial principal amount of the 2017 Notes were outstanding. For additional information on the debt entered into in connection with the Merger, see Part II, Item 8, Note 3 of the Notes to Consolidated Financial Statements included in this Annual Report on Form 10-K.</w:t>
      </w:r>
    </w:p>
    <w:p>
      <w:pPr>
        <w:spacing w:after="0" w:line="5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cash on hand and indebtedness used to finance the Merger could cause us to place more reliance on cash generated from operations to pay principal and interest on our debt, thereby reducing the availability of our cash flow for working capital, dividend and capital expenditure needs or to pursue other potential strategic plans.</w:t>
      </w:r>
    </w:p>
    <w:p>
      <w:pPr>
        <w:spacing w:after="0" w:line="73"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During 2017, we expect our total capital investment to be approximately $2.6 billion to $3.0 billion, including our net capital investments in Flash Ventures and our investment in non-fab property and equipment. We expect these 2017 investments to be funded by Flash Ventures’ working capital, anticipated new equipment leases and approximately $1.0 billion to $1.4 billion of our cash.</w:t>
      </w:r>
    </w:p>
    <w:p>
      <w:pPr>
        <w:spacing w:after="0" w:line="73"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 total of $6.9 billion and $4.3 billion of our cash and cash equivalents was held outside of the United States as of July 1, 2016 and July 3, 2015, respectively. Our current plans do not anticipate that we will need funds generated from foreign operations to fund our domestic operations or dividends to our shareholders pursuant to our quarterly cash dividend policy. In the event funds from foreign operations are needed in the United States, any repatriation could result in the accrual and payment of additional U.S. income tax.</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300" w:firstLine="405"/>
        <w:spacing w:after="0" w:line="259" w:lineRule="auto"/>
        <w:rPr>
          <w:sz w:val="20"/>
          <w:szCs w:val="20"/>
          <w:color w:val="auto"/>
        </w:rPr>
      </w:pPr>
      <w:r>
        <w:rPr>
          <w:rFonts w:ascii="Arial" w:cs="Arial" w:eastAsia="Arial" w:hAnsi="Arial"/>
          <w:sz w:val="18"/>
          <w:szCs w:val="18"/>
          <w:color w:val="auto"/>
        </w:rPr>
        <w:t>Net cash provided by operating activities was $2.0 billion in 2016, as compared to $2.2 billion and $2.8 billion in 2015 and 2014, respectively. Cash flow from operating activities consists of net income, adjusted for non-cash charges, plus or minus working capital changes. This represents our principal source of cash. Net cash provided by working capital changes was $377 million for 2016, as compared to $593 million and $234 million used for working capital changes in 2015 and 2014,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Our working capital requirements primarily depend on the effective management of our cash conversion cycle, which measures how quickly we can convert our products into cash through sales. The cash conversion cycles for the three years ended July 1, 2016 were as follows:</w:t>
      </w:r>
    </w:p>
    <w:p>
      <w:pPr>
        <w:spacing w:after="0" w:line="84"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40" w:type="dxa"/>
            <w:vAlign w:val="bottom"/>
          </w:tcPr>
          <w:p>
            <w:pPr>
              <w:jc w:val="center"/>
              <w:ind w:left="368"/>
              <w:spacing w:after="0"/>
              <w:rPr>
                <w:sz w:val="20"/>
                <w:szCs w:val="20"/>
                <w:color w:val="auto"/>
              </w:rPr>
            </w:pPr>
            <w:r>
              <w:rPr>
                <w:rFonts w:ascii="Arial" w:cs="Arial" w:eastAsia="Arial" w:hAnsi="Arial"/>
                <w:sz w:val="14"/>
                <w:szCs w:val="14"/>
                <w:b w:val="1"/>
                <w:bCs w:val="1"/>
                <w:color w:val="auto"/>
                <w:w w:val="91"/>
              </w:rPr>
              <w:t>July 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July 3,</w:t>
            </w:r>
          </w:p>
        </w:tc>
        <w:tc>
          <w:tcPr>
            <w:tcW w:w="148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27,</w:t>
            </w:r>
          </w:p>
        </w:tc>
      </w:tr>
      <w:tr>
        <w:trPr>
          <w:trHeight w:val="192"/>
        </w:trPr>
        <w:tc>
          <w:tcPr>
            <w:tcW w:w="77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23"/>
        </w:trPr>
        <w:tc>
          <w:tcPr>
            <w:tcW w:w="67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i w:val="1"/>
                <w:iCs w:val="1"/>
                <w:color w:val="auto"/>
                <w:w w:val="91"/>
              </w:rPr>
              <w:t>(in days)</w:t>
            </w:r>
          </w:p>
        </w:tc>
        <w:tc>
          <w:tcPr>
            <w:tcW w:w="1480" w:type="dxa"/>
            <w:vAlign w:val="bottom"/>
            <w:tcBorders>
              <w:top w:val="single" w:sz="8" w:color="auto"/>
            </w:tcBorders>
          </w:tcPr>
          <w:p>
            <w:pPr>
              <w:spacing w:after="0"/>
              <w:rPr>
                <w:sz w:val="19"/>
                <w:szCs w:val="19"/>
                <w:color w:val="auto"/>
              </w:rPr>
            </w:pP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Days in inventory</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41</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payables outstanding</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Cash conversion cycle</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In 2016, our days sales outstanding (“DSOs”) increased by 2 days, days in inventory (“DIOs”) increased by 32 days and days payables outstanding (“DPOs”) increased by 11 days, as compared to the prior year. These increases were primarily due to the impact of including SanDisk’s accounts receivable, inventory and accounts payable balances as of July 1, 2016, but only including SanDisk’s revenue and cost of sales following the SanDisk Closing Date. The Merger increased DSO, DIO and DPO by 12 days, 32 days and 14 days, respectively. For 2016, the increase in DSOs from the Merger was largely offset by the linearity of shipments. Changes in DIOs are generally related to the timing of inventory builds. Changes in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Net cash used in investing activities in 2016 was $9.6 billion, as compared to $1.0 billion and $1.9 billion for 2015 and 2014, respectively. During 2016, net cash used in investing activities primarily consisted of $9.8 billion related to the Merger, net of cash acquired, $632 million related to the purchase of investments, $584 million of capital expenditures, $90 million net increase in notes receivable to Flash Ventures and a net $76 million of other investing activities, partially offset by $1.6 billion of proceeds from sales and maturities of investments. During 2015, net cash used in investing activities primarily consisted of $857 million related to the purchase of investments, $612 million of capital expenditures and $257 million related to acquisitions, net of cash acquired, partially offset by $768 million of proceeds from the sales and maturities of investments. During 2014, net cash used in investing activities primarily consisted of $823 million related to acquisitions, net of cash acquired, $628 million of capital expenditures and $561 million related to the purchase of investments, partially offset by $72 million of proceeds from the sales and maturities of investments.</w:t>
      </w:r>
    </w:p>
    <w:p>
      <w:pPr>
        <w:spacing w:after="0" w:line="71"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Our cash equivalents are primarily invested in highly liquid money market funds that are invested in U.S. Treasury securities and U.S. Government Agency securities. In addition, we invest directly in U.S. Treasury securities, U.S. and International Government Agency securities, certificates of deposit, asset-backed securities, and corporate and municipal notes and bonds.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Net cash provided by financing activities was $10.8 billion in 2016, as compared to net cash used of $1.1 billion and $385 million for 2015 and 2014, respectively. During 2016, net cash provided by financing activities consisted of $16.6 billion of proceeds from debt, net of issuance costs, $409 million of proceeds from call options, $125 million of proceeds from borrowings under our revolving credit facility and a net $74 million provided by employee stock plans, offset by $2.6 billion to settle convertible debt, $2.3 billion to repay debt, $613 million for payment upon settlement of warrants, $464 million to pay dividends on our common stock, $380 million to repay the revolving credit facility and $60 million to repurchase shares of our common stock. During 2015, net cash used in financing activities consisted of $970 million to repurchase shares of our common stock, $396 million to pay dividends on our common stock and $125 million to repay debt, partially offset by $255 million of proceeds from our revolving credit facility and a net $167 million provided by employee stock plans. During 2014, net cash used in financing activities consisted of $2.5 billion used to repay debt, $816 million used to repurchase shares of our common stock and $259 million used to pay dividends on our common stock, partially offset by $3.0 billion of proceeds from our term loan facility, net of issuance costs and a net $215 million provided by employee stock plans.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Other than the commitments related to Flash Ventures, facility lease commitments incurred in the normal course of business and certain indemnification provisions (see “Contractual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consolidated financial statements. Additionally, we do not have an interest in, or relationships with, any special-purpose entities. For additional information regarding our off-balance sheet arrangements, see Part II, Item 8, Note 4 of the Notes to Consolidated Financial Statements included in this Annual Report on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July 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2-3 Years (2018-</w:t>
            </w:r>
          </w:p>
        </w:tc>
        <w:tc>
          <w:tcPr>
            <w:tcW w:w="12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b w:val="1"/>
                <w:bCs w:val="1"/>
                <w:color w:val="auto"/>
                <w:w w:val="91"/>
              </w:rPr>
              <w:t>4-5 Years (2020-</w:t>
            </w:r>
          </w:p>
        </w:tc>
        <w:tc>
          <w:tcPr>
            <w:tcW w:w="3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More than 5 Years</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(Beyond 2021)</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Bridge loan</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line="270" w:lineRule="exact"/>
              <w:rPr>
                <w:sz w:val="20"/>
                <w:szCs w:val="20"/>
                <w:color w:val="auto"/>
              </w:rPr>
            </w:pPr>
            <w:r>
              <w:rPr>
                <w:rFonts w:ascii="Arial" w:cs="Arial" w:eastAsia="Arial" w:hAnsi="Arial"/>
                <w:sz w:val="18"/>
                <w:szCs w:val="18"/>
                <w:color w:val="auto"/>
              </w:rPr>
              <w:t>Long-term debt, including current portion</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14,087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3,704</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on debt</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6,371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1,791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Flash Ventures and other related commitments</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1,108</w:t>
            </w: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31,211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4,438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6,714</w:t>
            </w:r>
          </w:p>
        </w:tc>
        <w:tc>
          <w:tcPr>
            <w:tcW w:w="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Included within our consolidated balance sheet. The bridge loan was repaid in full, together with accrued interest, on July 21, 2016.</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$25 million of the 2020 Notes were repurchased after July 1, 2016.</w:t>
      </w:r>
    </w:p>
    <w:p>
      <w:pPr>
        <w:spacing w:after="0" w:line="2" w:lineRule="exact"/>
        <w:rPr>
          <w:rFonts w:ascii="Arial" w:cs="Arial" w:eastAsia="Arial" w:hAnsi="Arial"/>
          <w:sz w:val="24"/>
          <w:szCs w:val="24"/>
          <w:color w:val="auto"/>
          <w:vertAlign w:val="superscript"/>
        </w:rPr>
      </w:pPr>
    </w:p>
    <w:p>
      <w:pPr>
        <w:ind w:left="340" w:right="140" w:hanging="332"/>
        <w:spacing w:after="0" w:line="221"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1020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In connection with the Merger, we entered into new debt facilities. The proceeds from the new debt facilities were used to finance, in part, the cash portion of the purchase price related to the Merger, refinance certain existing indebtedness of Western Digital and SanDisk and pay certain transaction costs.</w:t>
      </w:r>
    </w:p>
    <w:p>
      <w:pPr>
        <w:spacing w:after="0" w:line="16"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On April 13, 2016, we completed an offering of our Notes. We are not required to make principal payments on the Notes prior to their respective maturity dates, except that we may be required to offer to purchase the Notes upon the occurrence of a change of control or with the proceeds of certain non-ordinary course asset sales. Interest payments on the Notes are due semi-annually in arrears. The obligations under the Notes are guaranteed by certain of our existing and subsequently acquired or organized wholly-owned, material domestic subsidiaries.</w:t>
      </w:r>
    </w:p>
    <w:p>
      <w:pPr>
        <w:spacing w:after="0" w:line="6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July 1, 2016, our non-guarantor subsidiaries had $4.3 billion of aggregate total liabilities (excluding intercompany transactions), all of which were structurally senior to the Notes and the related guarantees. For the year ended July 1, 2016, our non-guarantor subsidiaries accounted for 16% of our net sales and 86% of our total operating income, and as of July 1, 2016, our non-guarantor subsidiaries accounted for 87% of our total consolidated assets (excluding intercompany transactions).</w:t>
      </w:r>
    </w:p>
    <w:p>
      <w:pPr>
        <w:spacing w:after="0" w:line="7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April 29, 2016, we entered into a new credit agreement which provides for secured loan facilities consisting of the $4.125 billion Term Loan A, the $3.75 billion U.S. Term Loan B tranche, the €885 million Euro Term Loan B tranche and the $1.0 billion revolving credit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Term Loan B closed into escrow on April 29, 2016 and, at the SanDisk Closing Date, the proceeds of the borrowings under Term Loan B were released from escrow. Term Loan B has a term of seven years. Beginning in September 2016, we are required to make quarterly principal payments on Term Loan B equal to 0.25% of the original principal amount thereof, with the remaining balance due in fiscal 2023. As of July 1, 2016, the U.S. Term Loan B tranche had an outstanding balance of $3.750 billion with a variable interest rate of 6.250%, and the Euro Term Loan B tranche had an outstanding balance of €885 million (approximately $987 million based on the currency exchange rate at July 1, 2016) with a variable interest rates of 6.000%.</w:t>
      </w:r>
    </w:p>
    <w:p>
      <w:pPr>
        <w:spacing w:after="0" w:line="5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On August 17, 2016 we issued a new $3.0 billion U.S. dollar-denominated Term Loan B-1 at an interest rate of LIBOR plus 3.75% or a base rate plus 2.75%. Principal payments of 0.25% are due quarterly beginning September 30, 2016 with the balance due on April 29, 2023. In connection with this transaction, we settled the previous U.S. Term Loan B tranche with the proceeds of this new loan and a voluntary cash prepayment of $750 million. We expect to incur a debt extinguishment charge as a result of this transaction of approximately $230 million, which will be recorded in the first quarter of 2017.</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May 12, 2016, the loans under Term Loan A were drawn and the related proceeds were received by us, and the commitments under the revolving</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credit facility became available. Term Loan A and the revolving credit facility have a five</w:t>
      </w:r>
      <w:r>
        <w:rPr>
          <w:rFonts w:ascii="MS PGothic" w:cs="MS PGothic" w:eastAsia="MS PGothic" w:hAnsi="MS PGothic"/>
          <w:sz w:val="16"/>
          <w:szCs w:val="16"/>
          <w:color w:val="auto"/>
        </w:rPr>
        <w:t>‑</w:t>
      </w:r>
      <w:r>
        <w:rPr>
          <w:rFonts w:ascii="Arial" w:cs="Arial" w:eastAsia="Arial" w:hAnsi="Arial"/>
          <w:sz w:val="16"/>
          <w:szCs w:val="16"/>
          <w:color w:val="auto"/>
        </w:rPr>
        <w:t>year term. Beginning in September 2017, we are required to make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quarterly principal payments on Term Loan A totaling $206 million in 2018, $309 million in 2019, $413 million in 2020 and the remaining balance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 billion due in 2021. As of July 1, 2016, Term Loan A had an outstanding balance of $4.125 billion with a variable interest rate of 2.450%. As of July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 there was no outstanding balance on the revolving credit facility.</w:t>
      </w:r>
    </w:p>
    <w:p>
      <w:pPr>
        <w:spacing w:after="0" w:line="10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term loans and the revolving credit loans may be prepaid in whole or in part at any time without premium or penalty, subject to certain conditions, except that Term Loan B requires us to pay a 1.0% prepayment fee if the loans thereunder are repaid in connection with certain “repricing” transactions on or before the one year anniversary of the effective date.</w:t>
      </w:r>
    </w:p>
    <w:p>
      <w:pPr>
        <w:spacing w:after="0" w:line="73"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new credit agreement requires us to comply with a leverage ratio and an interest coverage ratio calculated on a consolidated basis for us and our subsidiaries. In addition, the new credit agreement contains customary covenants that limit or restrict us and our subsidiaries’ ability to incur liens, incur indebtedness, make certain restricted payments, make acquisitions and investments, loans and guarantees, enter into transactions with affiliates, make certain modifications of organizational documents and certain debt agreements and merge or consolidate, and customary events of default.</w:t>
      </w:r>
    </w:p>
    <w:p>
      <w:pPr>
        <w:spacing w:after="0" w:line="4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May 12, 2016, WDT entered into a 45-day senior secured bridge credit agreement providing for $3.0 billion in aggregate principal amount of senior secured bridge loans. On June 9, 2016, this agreement was amended to extend the maturity to 75 days. On July 21, 2016, we paid in full the $3.0 billion aggregate principal outstanding together with accrued interest.</w:t>
      </w:r>
    </w:p>
    <w:p>
      <w:pPr>
        <w:spacing w:after="0" w:line="7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On May 12, 2016, we repaid all outstanding loans, together with accrued interest and related fees of $2.2 billion and terminated all commitments under the credit agreement dated as of January 9, 2014, as amended.</w:t>
      </w:r>
    </w:p>
    <w:p>
      <w:pPr>
        <w:spacing w:after="0" w:line="62"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On May 12, 2016, we assumed SanDisk’s outstanding $997 million aggregate principal amount of its 2017 Notes and $1.5 billion aggregate principal amount of its 2020 Notes. The 2017 Notes mature on August 15, 2017 and the 2020 Notes mature on October 15, 2020. Holders of $997 million of the outstanding principal amount of the 2017 Notes and $1.44 billion of the outstanding principal amount of the 2020 Notes had elected to convert their Notes at temporarily increased conversion rates that expired on June 9, 2016. Once the holders elected conversion, there was a 20 trading day observation period which resulted in holders of $868 million principal amount of the 2017 Notes and $1.19 billion principal amount of the 2020 Notes converting by July 1, 2016 and $129 million principal amount of the 2017 Notes and $250 million principal amount of the 2020 Notes converting after July 1, 2016. In addition, during July 2016, we repurchased $25 million of the 2020 Notes. After taking into account conversions and the amounts that we repurchased, as of August 26, 2016, $37 million principal amount of the 2020 Notes and an immaterial principal amount of the 2017 Notes were outstanding.</w:t>
      </w:r>
    </w:p>
    <w:p>
      <w:pPr>
        <w:spacing w:after="0" w:line="5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July 1, 2016, under our credit agreement, we were in compliance with all covenants. For additional information, see Part II, Item 8, Note 3 of the Notes to Consolidated Financial Statements included in this Annual Report on Form 10-K.</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121"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Flash Ventures</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are a 49.9% owner of each entity within Flash Ventures, our business ventures with Toshiba to develop and manufacture NAND flash memory products. These NAND flash memory products are manufactured by Toshiba at Toshiba’s Yokkaichi, Japan operations using the semiconductor manufacturing equipment owned or leased by Flash Ventures. This equipment is funded, or will be funded, by investments in, or loans to, Flash Ventures from us and Toshiba as well as through operating leases received by Flash Ventures from third-party banks and guaranteed by us and Toshiba. The entities within Flash Ventures purchase wafers from Toshiba at cost and then resell those wafers to us and Toshiba at cost plus a markup. We are contractually obligated to purchase half of Flash Ventures’ NAND wafer supply or pay for 50% of the fixed costs of Flash Ventures. We are not able to estimate our total wafer purchase obligations beyond our rolling three month purchase commitment because the price is determined by reference to the future cost to produce the semiconductor wafers. We are also committed to fund 49.9% to 50% of Flash Ventures’ investments to the extent that Flash Ventures’ operating cash flow is insufficient to fund these investments.</w:t>
      </w:r>
    </w:p>
    <w:p>
      <w:pPr>
        <w:spacing w:after="0" w:line="74"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From time-to-time, we and Toshiba mutually approve the purchase of equipment for Flash Ventures in order to convert to new process technologies or add wafer capacity. Flash Partners’ share of Fab 3 and Flash Alliance’s share of Fab 4 have been previously equipped to full wafer capacity. Fab 5, which is primarily utilized by Flash Forward, was built in two phases of approximately equal size. Phase 1 of Fab 5 is fully equipped and the majority of Phase 2 of Fab 5 is equipped. To date, we have invested in approximately 50% of Flash Forward’s equipment, and the output has been shared equally between us and Toshiba. Toshiba’s most recent 300-millimeter wafer fabrication facility, located in Yokkaichi, Japan (“New Fab 2”), for which we have a facility agreement with Toshiba, is primarily intended to provide additional cleanroom space to convert a portion of 2D NAND capacity to 3D NAND. We expect that the New Fab 2 space will accommodate conversion of somewhat less than half of the current Fab 3, Fab 4 and Fab 5 2D NAND capacity to 3D NAND. Production wafers in New Fab 2 started in January 2016.</w:t>
      </w:r>
    </w:p>
    <w:p>
      <w:pPr>
        <w:spacing w:after="0" w:line="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For semiconductor manufacturing equipment that is leased by Flash Ventures, we and Toshiba each guarantee, on an unsecured and several basis, 50% of the outstanding Flash Ventures’ lease obligations under lease agreements entered into by Flash Ventures. These lease obligations are denominated in Japanese yen and are noncancelable. Our lease obligation guarantees as of July 1, 2016, which reflects future payments and any lease adjustments, totaled $1.15 billion, based upon the exchange rate at July 1, 2016. The lease agreements contain certain covenants and cancellation events that are customary for Japanese lease facilities and that relate to Flash Ventures and each of the guarantors. The breach of a covenant or the occurrence of another cancellation event could result in an acceleration of Flash Ventures’ lease obligations. As of July 1, 2016, we were in compliance with all covenants under these Japanese lease facilities.</w:t>
      </w:r>
    </w:p>
    <w:p>
      <w:pPr>
        <w:spacing w:after="0" w:line="8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For additional information regarding Flash Ventures, see Part II, Item 8, Notes 4 and 5 of the Notes to Consolidated Financial Statements included in this Annual Report on Form 10-K.</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Orders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purchase orders with suppliers for capital equipment that are recorded as a liability upon receipt of the equipment. Our ability to change or cancel a capital equipment purchase order without penalty depends on the nature of the equipment being ordered. In some cases, we may be obligated to pay for certain costs related to changes to, or cancellation of, a purchase order, such as costs incurred for raw materials or work in process of components or capital equipment.</w:t>
      </w:r>
    </w:p>
    <w:p>
      <w:pPr>
        <w:spacing w:after="0" w:line="57"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We have entered into long-term purchase agreements with various component suppliers, containing minimum quantity requirements. However, the dollar amount of the purchases may depend on the specific products ordered, achievement of pre-defined quantity or quality specifications or future price negotiations. The estimated related minimum purchase requirements are included in “Purchase obligations” in the table above. We have also entered into long-term purchase agreements with various component suppliers that carry fixed volumes and pricing which obligate us to make certain future purchases, contingent on certain conditions of performance, quality and technology of the vendor’s components. These arrangements are included under “Purchase obligations” in the table above.</w:t>
      </w:r>
    </w:p>
    <w:p>
      <w:pPr>
        <w:spacing w:after="0" w:line="8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We have inventory purchase commitments with Flash Ventures to purchase Flash Ventures’ NAND wafer supply. Purchase orders placed under Flash Ventures for up to three months are binding and cannot be canceled. We also have contracts with our other sources of silicon wafers that generally require us to provide monthly purchase order commitments. The purchase orders placed under these arrangements are generally binding and cannot be canceled. These arrangements are included under “Purchase obligations” in the table above.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enter into, from time to time, other long-term purchase agreements for components with certain vendors. Generally, future purchases under these agreements are not fixed and determinable as they depend on our overall unit volume requirements and are contingent upon the prices, technology and quality of the supplier’s products remaining competitive. These arrangements are not included under “Purchase obligations” in the table above. Please see Part I, Item 1A of this Annual Report on Form 10-K for a discussion of risks related to commitments.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II, Item 7A, under the heading “Disclosure About Foreign Currency Risk,” and Part II, Item 8, Notes 1 and 13 of the Notes to Consolidated Financial Statements included in this Annual Report on Form 10-K.</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Unrecognized Tax Benefits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of July 1, 2016, the amount of unrecognized tax benefits, including related accrued interest and penalties, was $566 million, of which $411 million could result in potential cash payments. We are not able to provide a reasonable estimate of the timing of future tax payments related to these obligations. For additional information regarding our total tax liability for unrecognized tax benefits, see Part II, Item 8, Note 10 of the Notes to Consolidated Financial Statements included in this Annual Report on Form 10-K.</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Our Board of Directors previously authorized a stock repurchase program. Effective October 21, 2015, in connection with the Merger, we suspended this stock repurchase program. For additional information, see Part II, Item 8, Note 9 of the Notes to Consolidated Financial Statements included in this Annual Report on Form 10-K.</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Dividend Policy</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Since the first quarter of fiscal 2014, we have issued a quarterly cash dividend. On August 3, 2016, we declared a cash dividend of $0.50 per share to the holders of record as of September 30, 2016, which will be paid on October 17, 2016. We may modify, suspend, or cancel our cash dividend policy in any manner and at any time. For additional information, see Part II, Item 5 included in this Annual Report on Form 10-K.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have prepared the accompanying consolidated financial statements in accordance with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We believe the following are our most critical accounting policies that affect significant areas and involve judgment and estimates made by us. If these estimates differ significantly from actual results, the impact to the consolidated financial statements may be material.</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and Accounts Receivable</w:t>
      </w:r>
    </w:p>
    <w:p>
      <w:pPr>
        <w:spacing w:after="0" w:line="117"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In accordance with standard industry practice, we provide distributors and retailers (collectively referred to as “resellers”) with limited price protection for inventories held by resellers at the time of published list price reductions and/or a right of return, and we provide resellers and OEMs with other sales incentive programs. At the time we recognize revenue to resellers and OEMs, we record a reduction of revenue for estimated price protection and/or returns until the resellers sell such inventory to their customers and we also record a reduction of revenue for the other programs in effect. We base these adjustments on several factors including anticipated price decreases during the reseller holding period, resellers’ sell-through and inventory levels, estimated amounts to be reimbursed to qualifying customers, historical pricing information, historical and anticipated returns information and customer claim processing. If customer demand for our products or market conditions differ from our expectations, our operating results could be materially affected. We also have programs under which we reimburse qualified distributors and retailers for certain marketing expenditures, which are recorded as a reduction of revenue. These amounts generally vary according to several factors including industry conditions, seasonal demand, competitor actions, channel mix and overall availability of product. Changes in future customer demand and market conditions may require us to adjust our incentive programs as a percentage of gross revenue from the current range. Total sales incentive and marketing programs have ranged from 7% to 14% of gross revenue and adjustments to revenue due to changes in accruals for these programs related to revenue reported in prior periods have generally averaged less than 1% of gross revenue over the last three fiscal years.</w:t>
      </w:r>
    </w:p>
    <w:p>
      <w:pPr>
        <w:spacing w:after="0" w:line="80"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We record an allowance for doubtful accounts by analyzing specific customer accounts and assessing the risk of loss based on insolvency, disputes or other collection issues. In addition, we routinely analyze the different receivable aging categories and establish reserves based on a combination of past due receivables and expected future losses based primarily on our historical levels of bad debt losses. If the financial condition of a significant customer deteriorates resulting in its inability to pay its accounts when due, or if our overall loss history changes significantly, an adjustment in our allowance for doubtful accounts would be required, which could materially affect operating results.</w:t>
      </w:r>
    </w:p>
    <w:p>
      <w:pPr>
        <w:spacing w:after="0" w:line="6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establish provisions against revenue and cost of revenue for sales returns in the same period that the related revenue is recognized. We base these provisions on existing product return notifications. If actual sales returns exceed expectations, an increase in the sales return accrual would be required, which could materially affect operating results.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record an accrual for estimated warranty costs when revenue is recognized. We generally warrant our products for a period of one to five years, with a small number of products having a warranty ranging up to ten years or more. Our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we use the estimated useful life of the product to calculate the warranty exposure. We use a statistical warranty tracking model to help prepare our estimates and assist us in exercising judgment in determining the underlying estimates. Our statistical tracking model captures specific detail on product reliability, such as factory test data, historical field return rates and costs to repair by product type. Our judgment is subject to a greater degree of subjectivity with respect to newly introduced products because of limited field experience with those products upon which to base our warranty estimates. We review our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If actual product return trends, costs to repair returned products or costs of customer compensatory claims differ significantly from our estimates, our future results of operations could be materially affected. For a summary of historical changes in estimates related to pre-existing warranty provisions, see Part II, Item 8, Note 4 of the Notes to Consolidated Financial Statements included in this Annual Report on Form 10-K.</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We value inventories at the lower of cost (first-in, first-out) or net realizable value. We record inventory write-downs for the valuation of inventory at the lower of cost or net realizable value by analyzing market conditions and estimates of future sales prices as compared to inventory costs and inventory balances.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We evaluate inventory balances for excess quantities and obsolescence on a regular basis by analyzing estimated demand, inventory on hand, sales levels and other information, and reduce inventory balances to net realizable value for excess and obsolete inventory based on this analysis. Unanticipated changes in technology or customer demand could result in a decrease in demand for one or more of our products, which may require a write down of inventory that could materially affect operating results.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Litigation and Other Contingencies</w:t>
      </w:r>
    </w:p>
    <w:p>
      <w:pPr>
        <w:spacing w:after="0" w:line="11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When we become aware of a claim or potential claim, we assess the likelihood of any loss or exposure. We disclose information regarding each material claim where the likelihood of a loss contingency is probable or reasonably possible.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losses is not material to our financial position, results of operations or cash flows. The ability to predict the ultimate outcome of such matters involves judgments, estimates and inherent uncertainties. The actual outcome of such matters could differ materially from management’s estimates. For additional information, see Part II, Item 8, Note 6 of the Notes to Consolidated Financial Statements included in this Annual Report on Form 10-K.</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w:t>
      </w:r>
    </w:p>
    <w:p>
      <w:pPr>
        <w:spacing w:after="0" w:line="6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recognize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previously-recorded liabilities for unrealized tax benefits and materially affect our operating results.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We account for all stock-based compensation at fair value. Stock-based compensation cost is measured at the grant date based on the value of the award and is recognized as expense over the vesting period. The fair values of all stock options granted are estimated using a binomial model, and the fair values of all Employee Stock Purchase Plan purchase rights are estimated using the Black-Scholes-Merton option-pricing model. We account for stock appreciation rights (“SARs”) as liability awards based upon our intention to settle such awards in cash. The SARs liability is recognized for that portion of fair value for the service period rendered at the reporting date. The share-based liability is remeasured at each reporting date through the requisite service period. Both the binomial and the Black-Scholes-Merton models require the input of highly subjective assumptions. We are required to use judgment in estimating the amount of stock-based awards that are expected to be forfeited. If actual forfeitures differ significantly from the original estimate, stock-based compensation expense and our results of operations could be materially affected. Performance restricted stock unit awards (“PSUs”) are subject to continued service by the employee, and expense is recognized over the vesting period. At each reporting date, we evaluate the probability that PSUs will be earned. We record stock-based compensation expense on the probability that the performance metrics will be achieved.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application of acquisition accounting to a business acquisition requires that we identify the individual assets acquired and liabilities assumed and estimate the fair value of each. The fair value of assets acquired and liabilities assumed in a business acquisition are recognized at the acquisition date, with the purchase price exceeding the fair values being recognized as goodwill. Determining fair value of identifiable assets, particularly intangibles, liabilities acquired and contingent obligations assumed requires management to make estimates. In certain circumstances, the allocations of the purchase price are based upon preliminary estimates and assumptions and subject to revision when we receive final information, including appraisals and other analysis. Accordingly, the measurement period for such purchase price allocations will end when the information, or the facts and circumstances, becomes available, but will not exceed twelve months. We will recognize measurement-period adjustments during the period of resolution, including the effect on earnings of any amounts that would have been recorded in previous periods if the accounting had been completed at the acquisition date.</w:t>
      </w:r>
    </w:p>
    <w:p>
      <w:pPr>
        <w:spacing w:after="0" w:line="16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Goodwill and intangible assets often represent a significant portion of the assets acquired in a business combination. We recognize the fair value of an acquired intangible apart from goodwill whenever the intangible arises from contractual or other legal rights, or when it can be separated or divided from the acquired entity and sold, transferred, licensed, rented or exchanged, either individually or in combination with a related contract, asset or liability. Intangible assets consist primarily of technology, customer relationships, and trade name and trademarks acquired in business combinations and in-process research and development (“IPR&amp;D”). We generally assess the estimated fair values of acquired intangibles using a combination of valuation techniques. To estimate fair value, we are required to make certain estimates and assumptions, including future economic and market conditions, revenue growth, market share, operating costs and margins, and risk-adjusted discount rates. Our estimates require significant judgment and are based on historical data, various internal estimates, and external sources. Our assessment of IPR&amp;D also includes consideration of the risk of the projects not achieving technological feasibility.</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Goodwill is not amortized. Instead, it is tested for impairment on an annual basis or more frequently whenever events or changes in circumstances indicate that goodwill may be impaired. We perform our annual impairment test as of the first day of our fiscal fourth quarter. We either use qualitative factors to determine whether goodwill is more likely than not impaired or we perform a two-step approach to quantify impairment. If we conclude from the qualitative assessment that goodwill is more likely than not impaired, we are required to follow a two-step approach to quantify the impairment. We are required to use judgment when applying the goodwill impairment test, including the identification of reporting units, assignment of assets and liabilities to reporting units, assignment of goodwill to reporting units and determination of the fair value of each reporting unit. In addition, the estimates used to determine the fair value of each reporting unit may change based on results of operations, macroeconomic conditions or other factors. Changes in these estimates could materially affect our assessment of the fair value and goodwill impairment for each reporting unit. If our stock price decreases significantly, goodwill could become impaired, which could result in a material charge and adversely affect our results of operations.</w:t>
      </w:r>
    </w:p>
    <w:p>
      <w:pPr>
        <w:spacing w:after="0" w:line="18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Acquired intangibles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IPR&amp;D is not amortized until the point at which it reaches technological feasibility. Instead, it is tested for impairment on an annual basis or more frequently whenever events or changes in circumstances indicate that it may be impaired. If impairment is indicated, the impairment is measured as the amount by which the carrying amount of the assets exceeds the fair value of the assets.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For a description of recently issued and adopted accounting pronouncements, including the respective dates of adoption and expected effects on our results of operations and financial condition, see Part II, Item 8, Note 1 of the Notes to Consolidated Financial Statements included in this Annual Report on Form 10-K, which is incorporated by reference in response to this item.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12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operating expenses and product costs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see Part II, Item 8, Notes 1 and 13 of the Notes to Consolidated Financial Statements included in this Annual Report on Form 10-K.</w:t>
      </w:r>
    </w:p>
    <w:p>
      <w:pPr>
        <w:spacing w:after="0" w:line="85"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As of July 1, 2016, we had outstanding the foreign exchange contracts presented in the following table. The changes in fair values of these foreign exchange contracts would be largely offset in other income (expense) by corresponding changes in the fair values of the foreign currency denominated monetary assets and liabilities.</w:t>
      </w:r>
    </w:p>
    <w:p>
      <w:pPr>
        <w:spacing w:after="0" w:line="106" w:lineRule="exact"/>
        <w:rPr>
          <w:sz w:val="20"/>
          <w:szCs w:val="20"/>
          <w:color w:val="auto"/>
        </w:rPr>
      </w:pPr>
    </w:p>
    <w:tbl>
      <w:tblPr>
        <w:tblLayout w:type="fixed"/>
        <w:tblInd w:w="696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6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4"/>
              </w:rPr>
              <w:t>Unrealized Gain</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Contract Amount</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Contract</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40" w:type="dxa"/>
            <w:vAlign w:val="bottom"/>
            <w:vMerge w:val="continue"/>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(1)</w:t>
            </w:r>
          </w:p>
        </w:tc>
        <w:tc>
          <w:tcPr>
            <w:tcW w:w="1260" w:type="dxa"/>
            <w:vAlign w:val="bottom"/>
          </w:tcPr>
          <w:p>
            <w:pPr>
              <w:jc w:val="center"/>
              <w:ind w:left="208"/>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7620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i w:val="1"/>
          <w:iCs w:val="1"/>
          <w:color w:val="auto"/>
        </w:rPr>
        <w:t>(in millions, except weighted average contract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Foreign exchange contracts: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ind w:left="280"/>
              <w:spacing w:after="0"/>
              <w:rPr>
                <w:sz w:val="20"/>
                <w:szCs w:val="20"/>
                <w:color w:val="auto"/>
              </w:rPr>
            </w:pPr>
            <w:r>
              <w:rPr>
                <w:rFonts w:ascii="Arial" w:cs="Arial" w:eastAsia="Arial" w:hAnsi="Arial"/>
                <w:sz w:val="18"/>
                <w:szCs w:val="18"/>
                <w:b w:val="1"/>
                <w:bCs w:val="1"/>
                <w:color w:val="auto"/>
              </w:rPr>
              <w:t>Cash flow hedges:</w:t>
            </w:r>
          </w:p>
        </w:tc>
        <w:tc>
          <w:tcPr>
            <w:tcW w:w="2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Japanese Yen</w:t>
            </w:r>
          </w:p>
        </w:tc>
        <w:tc>
          <w:tcPr>
            <w:tcW w:w="29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922</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113.08</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4440" w:type="dxa"/>
            <w:vAlign w:val="bottom"/>
          </w:tcPr>
          <w:p>
            <w:pPr>
              <w:ind w:left="500"/>
              <w:spacing w:after="0"/>
              <w:rPr>
                <w:sz w:val="20"/>
                <w:szCs w:val="20"/>
                <w:color w:val="auto"/>
              </w:rPr>
            </w:pPr>
            <w:r>
              <w:rPr>
                <w:rFonts w:ascii="Arial" w:cs="Arial" w:eastAsia="Arial" w:hAnsi="Arial"/>
                <w:sz w:val="18"/>
                <w:szCs w:val="18"/>
                <w:color w:val="auto"/>
              </w:rPr>
              <w:t>Malaysian Ringgit</w:t>
            </w:r>
          </w:p>
        </w:tc>
        <w:tc>
          <w:tcPr>
            <w:tcW w:w="292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118</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4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Philippine Peso</w:t>
            </w:r>
          </w:p>
        </w:tc>
        <w:tc>
          <w:tcPr>
            <w:tcW w:w="2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38</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47.33</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500"/>
              <w:spacing w:after="0"/>
              <w:rPr>
                <w:sz w:val="20"/>
                <w:szCs w:val="20"/>
                <w:color w:val="auto"/>
              </w:rPr>
            </w:pPr>
            <w:r>
              <w:rPr>
                <w:rFonts w:ascii="Arial" w:cs="Arial" w:eastAsia="Arial" w:hAnsi="Arial"/>
                <w:sz w:val="18"/>
                <w:szCs w:val="18"/>
                <w:color w:val="auto"/>
              </w:rPr>
              <w:t>Singapore Dollar</w:t>
            </w:r>
          </w:p>
        </w:tc>
        <w:tc>
          <w:tcPr>
            <w:tcW w:w="292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36</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Thailand Baht</w:t>
            </w:r>
          </w:p>
        </w:tc>
        <w:tc>
          <w:tcPr>
            <w:tcW w:w="2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487</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35.82</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b w:val="1"/>
                <w:bCs w:val="1"/>
                <w:color w:val="auto"/>
              </w:rPr>
              <w:t>Fair value hedges:</w:t>
            </w:r>
          </w:p>
        </w:tc>
        <w:tc>
          <w:tcPr>
            <w:tcW w:w="2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British Pound Sterling</w:t>
            </w:r>
          </w:p>
        </w:tc>
        <w:tc>
          <w:tcPr>
            <w:tcW w:w="29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18</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440" w:type="dxa"/>
            <w:vAlign w:val="bottom"/>
          </w:tcPr>
          <w:p>
            <w:pPr>
              <w:ind w:left="500"/>
              <w:spacing w:after="0"/>
              <w:rPr>
                <w:sz w:val="20"/>
                <w:szCs w:val="20"/>
                <w:color w:val="auto"/>
              </w:rPr>
            </w:pPr>
            <w:r>
              <w:rPr>
                <w:rFonts w:ascii="Arial" w:cs="Arial" w:eastAsia="Arial" w:hAnsi="Arial"/>
                <w:sz w:val="18"/>
                <w:szCs w:val="18"/>
                <w:color w:val="auto"/>
              </w:rPr>
              <w:t>European Euro</w:t>
            </w:r>
          </w:p>
        </w:tc>
        <w:tc>
          <w:tcPr>
            <w:tcW w:w="292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969</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0.86</w:t>
            </w:r>
          </w:p>
        </w:tc>
        <w:tc>
          <w:tcPr>
            <w:tcW w:w="7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4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Japanese Yen</w:t>
            </w:r>
          </w:p>
        </w:tc>
        <w:tc>
          <w:tcPr>
            <w:tcW w:w="2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317</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105.96</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440" w:type="dxa"/>
            <w:vAlign w:val="bottom"/>
          </w:tcPr>
          <w:p>
            <w:pPr>
              <w:ind w:left="500"/>
              <w:spacing w:after="0"/>
              <w:rPr>
                <w:sz w:val="20"/>
                <w:szCs w:val="20"/>
                <w:color w:val="auto"/>
              </w:rPr>
            </w:pPr>
            <w:r>
              <w:rPr>
                <w:rFonts w:ascii="Arial" w:cs="Arial" w:eastAsia="Arial" w:hAnsi="Arial"/>
                <w:sz w:val="18"/>
                <w:szCs w:val="18"/>
                <w:color w:val="auto"/>
              </w:rPr>
              <w:t>Philippine Peso</w:t>
            </w:r>
          </w:p>
        </w:tc>
        <w:tc>
          <w:tcPr>
            <w:tcW w:w="292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23</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47.00</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Singapore Dollar</w:t>
            </w:r>
          </w:p>
        </w:tc>
        <w:tc>
          <w:tcPr>
            <w:tcW w:w="2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500"/>
              <w:spacing w:after="0"/>
              <w:rPr>
                <w:sz w:val="20"/>
                <w:szCs w:val="20"/>
                <w:color w:val="auto"/>
              </w:rPr>
            </w:pPr>
            <w:r>
              <w:rPr>
                <w:rFonts w:ascii="Arial" w:cs="Arial" w:eastAsia="Arial" w:hAnsi="Arial"/>
                <w:sz w:val="18"/>
                <w:szCs w:val="18"/>
                <w:color w:val="auto"/>
              </w:rPr>
              <w:t>Thailand Baht</w:t>
            </w:r>
          </w:p>
        </w:tc>
        <w:tc>
          <w:tcPr>
            <w:tcW w:w="292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118</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35.24</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Malaysian Ringgit</w:t>
            </w:r>
          </w:p>
        </w:tc>
        <w:tc>
          <w:tcPr>
            <w:tcW w:w="29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w:t>
            </w:r>
          </w:p>
        </w:tc>
        <w:tc>
          <w:tcPr>
            <w:tcW w:w="7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5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Expressed in units of foreign currency per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020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78" w:lineRule="exact"/>
        <w:rPr>
          <w:sz w:val="20"/>
          <w:szCs w:val="20"/>
          <w:color w:val="auto"/>
        </w:rPr>
      </w:pPr>
    </w:p>
    <w:p>
      <w:pPr>
        <w:ind w:right="340" w:firstLine="405"/>
        <w:spacing w:after="0" w:line="272" w:lineRule="auto"/>
        <w:rPr>
          <w:sz w:val="20"/>
          <w:szCs w:val="20"/>
          <w:color w:val="auto"/>
        </w:rPr>
      </w:pPr>
      <w:r>
        <w:rPr>
          <w:rFonts w:ascii="Arial" w:cs="Arial" w:eastAsia="Arial" w:hAnsi="Arial"/>
          <w:sz w:val="18"/>
          <w:szCs w:val="18"/>
          <w:color w:val="auto"/>
        </w:rPr>
        <w:t>In 2016, 2015 and 2014, total net realized transaction and foreign exchange contract currency gains and losses were not material to our consolidated financial statements.</w:t>
      </w:r>
    </w:p>
    <w:p>
      <w:pPr>
        <w:spacing w:after="0" w:line="66"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Variable Interest Rate Risk</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Borrowings under our Term Loan A Facility and our revolving credit facility bear interest at a rate per annum, at our option, of either an adjusted LIBOR rate (subject to a 0.0% floor) plus an applicable margin of 2.0% or at a base rate plus an applicable margin of 1.00%. Beginning in September 2016, the applicable margin for the borrowings under our Term Loan A Facility and our revolving credit facility will range, depending on our leverage, from 1.50% to 2.25% for LIBOR loans and from 0.50% to 1.25% for base rate loans. Borrowings under the U.S. Term Loan B tranche bear interest at a rate per annum, at our option, of either an adjusted LIBOR rate (subject to a 0.75% floor) plus an applicable margin of 5.5% or at a base rate plus an applicable margin of</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4.50%. Borrowings under the Euro Term Loan B tranche bear interest at a rate per annum equal to an adjusted EURIBOR rate (subject to a 0.75% floor) plus an applicable margin of 5.25%. Borrowings under our senior secured bridge credit agreement bear interest at a rate per annum equal to, at our option, either an adjusted LIBOR rate (subject to a 0.0% floor) plus an applicable margin of 2.00% or a base rate plus an applicable margin of 1.0%.</w:t>
      </w:r>
    </w:p>
    <w:p>
      <w:pPr>
        <w:spacing w:after="0" w:line="4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As of July 1, 2016, we had $8.9 billion of long-term variable rate debt outstanding, and a one percent increase in the variable rate of interest, subject to each loan specific floor, would have increased annual interest expense by $70 million. For additional information, see Part II, Item 8, Note 3 of the Notes to Consolidated Financial Statements included in this Annual Report on Form 10-K.</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121"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365"/>
        </w:trPr>
        <w:tc>
          <w:tcPr>
            <w:tcW w:w="10820" w:type="dxa"/>
            <w:vAlign w:val="bottom"/>
            <w:gridSpan w:val="10"/>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4300" w:type="dxa"/>
            <w:vAlign w:val="bottom"/>
            <w:gridSpan w:val="2"/>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Reports of Independent Registered Public Accounting Firm</w:t>
              </w:r>
            </w:hyperlink>
          </w:p>
        </w:tc>
        <w:tc>
          <w:tcPr>
            <w:tcW w:w="6180" w:type="dxa"/>
            <w:vAlign w:val="bottom"/>
            <w:gridSpan w:val="7"/>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48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 July 1, 2016 and July 3, 2015</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48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Income — Three Years Ended July 1, 2016</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6320" w:type="dxa"/>
            <w:vAlign w:val="bottom"/>
            <w:gridSpan w:val="7"/>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Comprehensive Income — Three Years Ended July 1, 2016</w:t>
              </w:r>
            </w:hyperlink>
          </w:p>
        </w:tc>
        <w:tc>
          <w:tcPr>
            <w:tcW w:w="4160" w:type="dxa"/>
            <w:vAlign w:val="bottom"/>
            <w:gridSpan w:val="2"/>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65</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6320" w:type="dxa"/>
            <w:vAlign w:val="bottom"/>
            <w:gridSpan w:val="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 — Three Years Ended July 1, 2016</w:t>
              </w:r>
            </w:hyperlink>
          </w:p>
        </w:tc>
        <w:tc>
          <w:tcPr>
            <w:tcW w:w="4160" w:type="dxa"/>
            <w:vAlign w:val="bottom"/>
            <w:gridSpan w:val="2"/>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48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Shareholders’ Equity — Three Years Ended July 1, 2016</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3160" w:type="dxa"/>
            <w:vAlign w:val="bottom"/>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Notes to Consolidated Financial Statements</w:t>
              </w:r>
            </w:hyperlink>
          </w:p>
        </w:tc>
        <w:tc>
          <w:tcPr>
            <w:tcW w:w="2960" w:type="dxa"/>
            <w:vAlign w:val="bottom"/>
            <w:gridSpan w:val="5"/>
          </w:tcPr>
          <w:p>
            <w:pPr>
              <w:spacing w:after="0"/>
              <w:rPr>
                <w:sz w:val="24"/>
                <w:szCs w:val="24"/>
                <w:color w:val="auto"/>
              </w:rPr>
            </w:pPr>
          </w:p>
        </w:tc>
        <w:tc>
          <w:tcPr>
            <w:tcW w:w="4360" w:type="dxa"/>
            <w:vAlign w:val="bottom"/>
            <w:gridSpan w:val="3"/>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82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 Schedule: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24">
              <w:r>
                <w:rPr>
                  <w:rFonts w:ascii="Arial" w:cs="Arial" w:eastAsia="Arial" w:hAnsi="Arial"/>
                  <w:sz w:val="18"/>
                  <w:szCs w:val="18"/>
                  <w:color w:val="0000EE"/>
                  <w:w w:val="91"/>
                </w:rPr>
                <w:t>Schedule II — Consolidated Valuation and Qualifying Accounts — Three Years Ended July 1, 2016</w:t>
              </w:r>
            </w:hyperlink>
          </w:p>
        </w:tc>
        <w:tc>
          <w:tcPr>
            <w:tcW w:w="3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122</w:t>
              </w:r>
            </w:hyperlink>
          </w:p>
        </w:tc>
        <w:tc>
          <w:tcPr>
            <w:tcW w:w="20" w:type="dxa"/>
            <w:vAlign w:val="bottom"/>
          </w:tcPr>
          <w:p>
            <w:pPr>
              <w:spacing w:after="0"/>
              <w:rPr>
                <w:sz w:val="19"/>
                <w:szCs w:val="19"/>
                <w:color w:val="auto"/>
              </w:rPr>
            </w:pPr>
          </w:p>
        </w:tc>
      </w:tr>
      <w:tr>
        <w:trPr>
          <w:trHeight w:val="507"/>
        </w:trPr>
        <w:tc>
          <w:tcPr>
            <w:tcW w:w="5780" w:type="dxa"/>
            <w:vAlign w:val="bottom"/>
            <w:gridSpan w:val="6"/>
          </w:tcPr>
          <w:p>
            <w:pPr>
              <w:jc w:val="right"/>
              <w:ind w:right="20"/>
              <w:spacing w:after="0"/>
              <w:rPr>
                <w:sz w:val="20"/>
                <w:szCs w:val="20"/>
                <w:color w:val="auto"/>
              </w:rPr>
            </w:pPr>
            <w:r>
              <w:rPr>
                <w:rFonts w:ascii="Arial" w:cs="Arial" w:eastAsia="Arial" w:hAnsi="Arial"/>
                <w:sz w:val="18"/>
                <w:szCs w:val="18"/>
                <w:color w:val="auto"/>
              </w:rPr>
              <w:t>60</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103" w:lineRule="exact"/>
        <w:rPr>
          <w:sz w:val="20"/>
          <w:szCs w:val="20"/>
          <w:color w:val="auto"/>
        </w:rPr>
      </w:pPr>
    </w:p>
    <w:p>
      <w:pPr>
        <w:ind w:firstLine="729"/>
        <w:spacing w:after="0" w:line="276" w:lineRule="auto"/>
        <w:rPr>
          <w:sz w:val="20"/>
          <w:szCs w:val="20"/>
          <w:color w:val="auto"/>
        </w:rPr>
      </w:pPr>
      <w:r>
        <w:rPr>
          <w:rFonts w:ascii="Arial" w:cs="Arial" w:eastAsia="Arial" w:hAnsi="Arial"/>
          <w:sz w:val="17"/>
          <w:szCs w:val="17"/>
          <w:color w:val="auto"/>
        </w:rPr>
        <w:t>We have audited the accompanying consolidated balance sheets of Western Digital Corporation and subsidiaries as of July 1, 2016 and July 3, 2015, and the related consolidated statements of income, comprehensive income, shareholders’ equity, and cash flows for each of the years in the three-year period ended July 1, 2016. In connection with our audits of the consolidated financial statements, we have also audited the related financial statement schedule.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64" w:lineRule="exact"/>
        <w:rPr>
          <w:sz w:val="20"/>
          <w:szCs w:val="20"/>
          <w:color w:val="auto"/>
        </w:rPr>
      </w:pPr>
    </w:p>
    <w:p>
      <w:pPr>
        <w:ind w:right="120" w:firstLine="729"/>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140" w:firstLine="729"/>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Western Digital Corporation and subsidiaries as of July 1, 2016 and July 3, 2015, and the results of their operations and their cash flows for each of the years in the three-year period ended July 1, 2016,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80" w:lineRule="exact"/>
        <w:rPr>
          <w:sz w:val="20"/>
          <w:szCs w:val="20"/>
          <w:color w:val="auto"/>
        </w:rPr>
      </w:pPr>
    </w:p>
    <w:p>
      <w:pPr>
        <w:jc w:val="both"/>
        <w:ind w:right="460" w:firstLine="729"/>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Western Digital Corporation and subsidiaries’ internal control over financial reporting as of July 1, 2016,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(COSO), and our report dated August 26, 2016,</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an unqualified opinion on the effectiveness of the Company’s internal control over financial reporting.</w:t>
      </w:r>
    </w:p>
    <w:p>
      <w:pPr>
        <w:spacing w:after="0" w:line="11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KPMG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26,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Irvine, California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76" w:lineRule="exact"/>
        <w:rPr>
          <w:sz w:val="20"/>
          <w:szCs w:val="20"/>
          <w:color w:val="auto"/>
        </w:rPr>
      </w:pPr>
    </w:p>
    <w:p>
      <w:pPr>
        <w:ind w:right="60" w:firstLine="729"/>
        <w:spacing w:after="0" w:line="255" w:lineRule="auto"/>
        <w:rPr>
          <w:sz w:val="20"/>
          <w:szCs w:val="20"/>
          <w:color w:val="auto"/>
        </w:rPr>
      </w:pPr>
      <w:r>
        <w:rPr>
          <w:rFonts w:ascii="Arial" w:cs="Arial" w:eastAsia="Arial" w:hAnsi="Arial"/>
          <w:sz w:val="18"/>
          <w:szCs w:val="18"/>
          <w:color w:val="auto"/>
        </w:rPr>
        <w:t xml:space="preserve">We have audited Western Digital Corporation and subsidiaries’ internal control over financial reporting as of July 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Western Digital Corporation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 Our responsibility is to express an opinion on the Company’s internal control over financial reporting based on our audit.</w:t>
      </w:r>
    </w:p>
    <w:p>
      <w:pPr>
        <w:spacing w:after="0" w:line="139" w:lineRule="exact"/>
        <w:rPr>
          <w:sz w:val="20"/>
          <w:szCs w:val="20"/>
          <w:color w:val="auto"/>
        </w:rPr>
      </w:pPr>
    </w:p>
    <w:p>
      <w:pPr>
        <w:ind w:right="140" w:firstLine="729"/>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4" w:lineRule="exact"/>
        <w:rPr>
          <w:sz w:val="20"/>
          <w:szCs w:val="20"/>
          <w:color w:val="auto"/>
        </w:rPr>
      </w:pPr>
    </w:p>
    <w:p>
      <w:pPr>
        <w:ind w:right="60" w:firstLine="729"/>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180" w:firstLine="72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right="60" w:firstLine="729"/>
        <w:spacing w:after="0" w:line="264" w:lineRule="auto"/>
        <w:rPr>
          <w:sz w:val="20"/>
          <w:szCs w:val="20"/>
          <w:color w:val="auto"/>
        </w:rPr>
      </w:pPr>
      <w:r>
        <w:rPr>
          <w:rFonts w:ascii="Arial" w:cs="Arial" w:eastAsia="Arial" w:hAnsi="Arial"/>
          <w:sz w:val="18"/>
          <w:szCs w:val="18"/>
          <w:color w:val="auto"/>
        </w:rPr>
        <w:t xml:space="preserve">In our opinion, Western Digital Corporation and subsidiaries maintained, in all material respects, effective internal control over financial reporting as of July 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73" w:lineRule="exact"/>
        <w:rPr>
          <w:sz w:val="20"/>
          <w:szCs w:val="20"/>
          <w:color w:val="auto"/>
        </w:rPr>
      </w:pPr>
    </w:p>
    <w:p>
      <w:pPr>
        <w:ind w:firstLine="729"/>
        <w:spacing w:after="0" w:line="255" w:lineRule="auto"/>
        <w:rPr>
          <w:sz w:val="20"/>
          <w:szCs w:val="20"/>
          <w:color w:val="auto"/>
        </w:rPr>
      </w:pPr>
      <w:r>
        <w:rPr>
          <w:rFonts w:ascii="Arial" w:cs="Arial" w:eastAsia="Arial" w:hAnsi="Arial"/>
          <w:sz w:val="18"/>
          <w:szCs w:val="18"/>
          <w:color w:val="auto"/>
        </w:rPr>
        <w:t>Western Digital Corporation and subsidiaries acquired SanDisk Corporation on May 12, 2016, and management excluded from its assessment of the effectiveness of Western Digital Corporation and subsidiaries’ internal control over financial reporting as of July 1, 2016, SanDisk Corporation’s internal control over financial reporting associated with total assets of 17% and total revenues of 6% of the related consolidated financial statement amounts included in the consolidated financial statements of Western Digital Corporation and subsidiaries as of and for the year ended July 1, 2016. Our audit of internal control over financial reporting of Western Digital Corporation and subsidiaries also excluded an evaluation of the internal control over financial reporting of SanDisk Corporation.</w:t>
      </w:r>
    </w:p>
    <w:p>
      <w:pPr>
        <w:spacing w:after="0" w:line="139" w:lineRule="exact"/>
        <w:rPr>
          <w:sz w:val="20"/>
          <w:szCs w:val="20"/>
          <w:color w:val="auto"/>
        </w:rPr>
      </w:pPr>
    </w:p>
    <w:p>
      <w:pPr>
        <w:ind w:right="480" w:firstLine="72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Western Digital Corporation and subsidiaries as of July 1, 2016 and July 3, 2015, the related consolidated statements of income, comprehensive income, shareholders’ equity, and cash flows for each of the years in the three-year period ended July 1, 2016, and the related financial statement schedule, and our report dated August 26, 2016, expressed an unqualified opinion on those consolidated financial statements and financial statement schedule.</w:t>
      </w:r>
    </w:p>
    <w:p>
      <w:pPr>
        <w:spacing w:after="0" w:line="13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26,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Irvine, California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WESTERN DIGITAL CORPORATION</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1,</w:t>
            </w:r>
          </w:p>
        </w:tc>
        <w:tc>
          <w:tcPr>
            <w:tcW w:w="320" w:type="dxa"/>
            <w:vAlign w:val="bottom"/>
          </w:tcPr>
          <w:p>
            <w:pPr>
              <w:spacing w:after="0"/>
              <w:rPr>
                <w:sz w:val="14"/>
                <w:szCs w:val="14"/>
                <w:color w:val="auto"/>
              </w:rPr>
            </w:pPr>
          </w:p>
        </w:tc>
        <w:tc>
          <w:tcPr>
            <w:tcW w:w="1160" w:type="dxa"/>
            <w:vAlign w:val="bottom"/>
          </w:tcPr>
          <w:p>
            <w:pPr>
              <w:jc w:val="right"/>
              <w:ind w:right="471"/>
              <w:spacing w:after="0"/>
              <w:rPr>
                <w:sz w:val="20"/>
                <w:szCs w:val="20"/>
                <w:color w:val="auto"/>
              </w:rPr>
            </w:pPr>
            <w:r>
              <w:rPr>
                <w:rFonts w:ascii="Arial" w:cs="Arial" w:eastAsia="Arial" w:hAnsi="Arial"/>
                <w:sz w:val="14"/>
                <w:szCs w:val="14"/>
                <w:b w:val="1"/>
                <w:bCs w:val="1"/>
                <w:color w:val="auto"/>
              </w:rPr>
              <w:t>July 3,</w:t>
            </w:r>
          </w:p>
        </w:tc>
      </w:tr>
      <w:tr>
        <w:trPr>
          <w:trHeight w:val="192"/>
        </w:trPr>
        <w:tc>
          <w:tcPr>
            <w:tcW w:w="8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1,368</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8,513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receivable and investments in Flash Ventures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32,862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15,170</w:t>
            </w:r>
          </w:p>
        </w:tc>
      </w:tr>
      <w:tr>
        <w:trPr>
          <w:trHeight w:val="67"/>
        </w:trPr>
        <w:tc>
          <w:tcPr>
            <w:tcW w:w="83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04"/>
        </w:trPr>
        <w:tc>
          <w:tcPr>
            <w:tcW w:w="8340" w:type="dxa"/>
            <w:vAlign w:val="bottom"/>
            <w:tcBorders>
              <w:bottom w:val="single" w:sz="8" w:color="CCEEFF"/>
            </w:tcBorders>
            <w:shd w:val="clear" w:color="auto" w:fill="CCEEFF"/>
          </w:tcPr>
          <w:p>
            <w:pPr>
              <w:ind w:left="37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to related parties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warranty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255</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Bridge loan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152</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2,149</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3, 4, 6 and 10)</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authorized — 5 shares; issued and outstanding — none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2"/>
              </w:rPr>
              <w:t>Common stock, $0.01 par value; authorized — 450 shares; issued — 312 shares in 2016 and 261 shares in</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2015; outstanding — 284 shares in 2016 and 230 shares in 2015</w:t>
            </w:r>
          </w:p>
        </w:tc>
        <w:tc>
          <w:tcPr>
            <w:tcW w:w="32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Treasury stock — common shares at cost; 28 shares in 2016 and 31 shares in 2015</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32,862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15,170</w:t>
            </w:r>
          </w:p>
        </w:tc>
      </w:tr>
      <w:tr>
        <w:trPr>
          <w:trHeight w:val="27"/>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1"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WESTERN DIGITAL CORPORATION</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Years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July 3,</w:t>
            </w:r>
          </w:p>
        </w:tc>
        <w:tc>
          <w:tcPr>
            <w:tcW w:w="300" w:type="dxa"/>
            <w:vAlign w:val="bottom"/>
          </w:tcPr>
          <w:p>
            <w:pPr>
              <w:spacing w:after="0"/>
              <w:rPr>
                <w:sz w:val="13"/>
                <w:szCs w:val="13"/>
                <w:color w:val="auto"/>
              </w:rPr>
            </w:pPr>
          </w:p>
        </w:tc>
        <w:tc>
          <w:tcPr>
            <w:tcW w:w="118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5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19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15,130</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10,770</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6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23"/>
        </w:trPr>
        <w:tc>
          <w:tcPr>
            <w:tcW w:w="5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termination, asset impairment and other charges</w:t>
            </w:r>
          </w:p>
        </w:tc>
        <w:tc>
          <w:tcPr>
            <w:tcW w:w="16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51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6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16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10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16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9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per common share:</w:t>
            </w: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vMerge w:val="continue"/>
          </w:tcPr>
          <w:p>
            <w:pPr>
              <w:spacing w:after="0"/>
              <w:rPr>
                <w:sz w:val="19"/>
                <w:szCs w:val="19"/>
                <w:color w:val="auto"/>
              </w:rPr>
            </w:pPr>
          </w:p>
        </w:tc>
        <w:tc>
          <w:tcPr>
            <w:tcW w:w="1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67"/>
        </w:trPr>
        <w:tc>
          <w:tcPr>
            <w:tcW w:w="510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1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67"/>
        </w:trPr>
        <w:tc>
          <w:tcPr>
            <w:tcW w:w="510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16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940" w:type="dxa"/>
            <w:vAlign w:val="bottom"/>
            <w:gridSpan w:val="8"/>
          </w:tcPr>
          <w:p>
            <w:pPr>
              <w:jc w:val="center"/>
              <w:ind w:left="141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00" w:type="dxa"/>
            <w:vAlign w:val="bottom"/>
          </w:tcPr>
          <w:p>
            <w:pPr>
              <w:spacing w:after="0"/>
              <w:rPr>
                <w:sz w:val="24"/>
                <w:szCs w:val="24"/>
                <w:color w:val="auto"/>
              </w:rPr>
            </w:pPr>
          </w:p>
        </w:tc>
        <w:tc>
          <w:tcPr>
            <w:tcW w:w="1640" w:type="dxa"/>
            <w:vAlign w:val="bottom"/>
          </w:tcPr>
          <w:p>
            <w:pPr>
              <w:jc w:val="right"/>
              <w:ind w:right="85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WESTERN DIGITAL CORPORATION</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Years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104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July 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July 3,</w:t>
            </w:r>
          </w:p>
        </w:tc>
        <w:tc>
          <w:tcPr>
            <w:tcW w:w="300" w:type="dxa"/>
            <w:vAlign w:val="bottom"/>
          </w:tcPr>
          <w:p>
            <w:pPr>
              <w:spacing w:after="0"/>
              <w:rPr>
                <w:sz w:val="13"/>
                <w:szCs w:val="13"/>
                <w:color w:val="auto"/>
              </w:rPr>
            </w:pPr>
          </w:p>
        </w:tc>
        <w:tc>
          <w:tcPr>
            <w:tcW w:w="118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June 27,</w:t>
            </w:r>
          </w:p>
        </w:tc>
      </w:tr>
      <w:tr>
        <w:trPr>
          <w:trHeight w:val="192"/>
        </w:trPr>
        <w:tc>
          <w:tcPr>
            <w:tcW w:w="67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Actuarial pension loss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 on foreign exchange contracts</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10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related to items of other comprehensive income (loss)</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WESTERN DIGITAL CORPORATION</w:t>
      </w:r>
    </w:p>
    <w:p>
      <w:pPr>
        <w:spacing w:after="0" w:line="171" w:lineRule="exact"/>
        <w:rPr>
          <w:sz w:val="20"/>
          <w:szCs w:val="20"/>
          <w:color w:val="auto"/>
        </w:rPr>
      </w:pPr>
    </w:p>
    <w:p>
      <w:pPr>
        <w:jc w:val="right"/>
        <w:ind w:righ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Adjustments to reconcile net income to net cash provided by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Gain from insurance recovery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on disposal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debt discount and issuance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on settlement of convertible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Non-cash portion of employee termination, asset impairment and other charges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Changes in: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Accounts payable to related parties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Accrued arbitration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Accrued expenses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 assets and liabilities, net</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Acquisitions, net of cash acquired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sales and maturities of investments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receivable issuances to Flash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receivable proceeds from Flash Ventures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Strategic investments and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used in investing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stock under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Taxes paid on vested stock awards under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Excess tax benefits from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acquired call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 of convertible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revolving credit facility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Repayment of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to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Repayment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 upon settlement of acquired warrants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changes on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beginning of year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for interest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967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1,</w:t>
            </w: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w:t>
            </w:r>
          </w:p>
        </w:tc>
        <w:tc>
          <w:tcPr>
            <w:tcW w:w="280" w:type="dxa"/>
            <w:vAlign w:val="bottom"/>
          </w:tcPr>
          <w:p>
            <w:pPr>
              <w:spacing w:after="0"/>
              <w:rPr>
                <w:sz w:val="14"/>
                <w:szCs w:val="14"/>
                <w:color w:val="auto"/>
              </w:rPr>
            </w:pP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June 27,</w:t>
            </w:r>
          </w:p>
        </w:tc>
      </w:tr>
      <w:tr>
        <w:trPr>
          <w:trHeight w:val="192"/>
        </w:trPr>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r>
      <w:tr>
        <w:trPr>
          <w:trHeight w:val="528"/>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1,465</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1,617</w:t>
            </w:r>
          </w:p>
        </w:tc>
      </w:tr>
      <w:tr>
        <w:trPr>
          <w:trHeight w:val="540"/>
        </w:trPr>
        <w:tc>
          <w:tcPr>
            <w:tcW w:w="32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1,154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1,244</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156</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0"/>
        </w:trPr>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62</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540"/>
        </w:trPr>
        <w:tc>
          <w:tcPr>
            <w:tcW w:w="32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6"/>
        </w:trPr>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50"/>
        </w:trPr>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2,816</w:t>
            </w:r>
          </w:p>
        </w:tc>
      </w:tr>
      <w:tr>
        <w:trPr>
          <w:trHeight w:val="528"/>
        </w:trPr>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(628)</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(823)</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(561)</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1,609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50"/>
        </w:trPr>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r>
      <w:tr>
        <w:trPr>
          <w:trHeight w:val="528"/>
        </w:trPr>
        <w:tc>
          <w:tcPr>
            <w:tcW w:w="32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187</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(816)</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(259)</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(2,517)</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17,108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2,992</w:t>
            </w:r>
          </w:p>
        </w:tc>
      </w:tr>
      <w:tr>
        <w:trPr>
          <w:trHeight w:val="270"/>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10,751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w:t>
            </w:r>
          </w:p>
        </w:tc>
      </w:tr>
      <w:tr>
        <w:trPr>
          <w:trHeight w:val="250"/>
        </w:trPr>
        <w:tc>
          <w:tcPr>
            <w:tcW w:w="3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3,127</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495</w:t>
            </w:r>
          </w:p>
        </w:tc>
      </w:tr>
      <w:tr>
        <w:trPr>
          <w:trHeight w:val="276"/>
        </w:trPr>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4,309</w:t>
            </w:r>
          </w:p>
        </w:tc>
      </w:tr>
      <w:tr>
        <w:trPr>
          <w:trHeight w:val="237"/>
        </w:trPr>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8,151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15"/>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141</w:t>
            </w:r>
          </w:p>
        </w:tc>
      </w:tr>
      <w:tr>
        <w:trPr>
          <w:trHeight w:val="270"/>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46</w:t>
            </w:r>
          </w:p>
        </w:tc>
      </w:tr>
    </w:tbl>
    <w:p>
      <w:pPr>
        <w:sectPr>
          <w:pgSz w:w="11900" w:h="16838" w:orient="portrait"/>
          <w:cols w:equalWidth="0" w:num="2">
            <w:col w:w="6020" w:space="720"/>
            <w:col w:w="4680"/>
          </w:cols>
          <w:pgMar w:left="240" w:top="121" w:right="239" w:bottom="0" w:gutter="0" w:footer="0" w:header="0"/>
          <w:type w:val="continuous"/>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7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and equity awards assumed in connection with acquisition</w:t>
            </w:r>
          </w:p>
        </w:tc>
        <w:tc>
          <w:tcPr>
            <w:tcW w:w="1580" w:type="dxa"/>
            <w:vAlign w:val="bottom"/>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1,822</w:t>
            </w:r>
          </w:p>
        </w:tc>
        <w:tc>
          <w:tcPr>
            <w:tcW w:w="7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740" w:type="dxa"/>
            <w:vAlign w:val="bottom"/>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40" w:type="dxa"/>
            <w:vAlign w:val="bottom"/>
          </w:tcPr>
          <w:p>
            <w:pPr>
              <w:ind w:left="40"/>
              <w:spacing w:after="0"/>
              <w:rPr>
                <w:sz w:val="20"/>
                <w:szCs w:val="20"/>
                <w:color w:val="auto"/>
              </w:rPr>
            </w:pPr>
            <w:r>
              <w:rPr>
                <w:rFonts w:ascii="Arial" w:cs="Arial" w:eastAsia="Arial" w:hAnsi="Arial"/>
                <w:sz w:val="14"/>
                <w:szCs w:val="14"/>
                <w:color w:val="auto"/>
              </w:rPr>
              <w:t>Shares issued in conjunction with settlement of convertible notes</w:t>
            </w:r>
          </w:p>
        </w:tc>
        <w:tc>
          <w:tcPr>
            <w:tcW w:w="15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94</w:t>
            </w:r>
          </w:p>
        </w:tc>
        <w:tc>
          <w:tcPr>
            <w:tcW w:w="7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74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received in conjunction with assumed call options</w:t>
            </w:r>
          </w:p>
        </w:tc>
        <w:tc>
          <w:tcPr>
            <w:tcW w:w="1580" w:type="dxa"/>
            <w:vAlign w:val="bottom"/>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7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740" w:type="dxa"/>
            <w:vAlign w:val="bottom"/>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40" w:type="dxa"/>
            <w:vAlign w:val="bottom"/>
          </w:tcPr>
          <w:p>
            <w:pPr>
              <w:ind w:left="40"/>
              <w:spacing w:after="0"/>
              <w:rPr>
                <w:sz w:val="20"/>
                <w:szCs w:val="20"/>
                <w:color w:val="auto"/>
              </w:rPr>
            </w:pPr>
            <w:r>
              <w:rPr>
                <w:rFonts w:ascii="Arial" w:cs="Arial" w:eastAsia="Arial" w:hAnsi="Arial"/>
                <w:sz w:val="14"/>
                <w:szCs w:val="14"/>
                <w:color w:val="auto"/>
              </w:rPr>
              <w:t>Accrual of cash dividend declared</w:t>
            </w:r>
          </w:p>
        </w:tc>
        <w:tc>
          <w:tcPr>
            <w:tcW w:w="15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142</w:t>
            </w:r>
          </w:p>
        </w:tc>
        <w:tc>
          <w:tcPr>
            <w:tcW w:w="7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116</w:t>
            </w:r>
          </w:p>
        </w:tc>
        <w:tc>
          <w:tcPr>
            <w:tcW w:w="76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ind w:left="54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68"/>
        </w:trPr>
        <w:tc>
          <w:tcPr>
            <w:tcW w:w="57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WESTERN DIGITAL CORPORATION</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Total</w:t>
            </w:r>
          </w:p>
        </w:tc>
      </w:tr>
      <w:tr>
        <w:trPr>
          <w:trHeight w:val="276"/>
        </w:trPr>
        <w:tc>
          <w:tcPr>
            <w:tcW w:w="4280" w:type="dxa"/>
            <w:vAlign w:val="bottom"/>
          </w:tcPr>
          <w:p>
            <w:pPr>
              <w:spacing w:after="0"/>
              <w:rPr>
                <w:sz w:val="24"/>
                <w:szCs w:val="24"/>
                <w:color w:val="auto"/>
              </w:rPr>
            </w:pPr>
          </w:p>
        </w:tc>
        <w:tc>
          <w:tcPr>
            <w:tcW w:w="12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3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r>
      <w:tr>
        <w:trPr>
          <w:trHeight w:val="264"/>
        </w:trPr>
        <w:tc>
          <w:tcPr>
            <w:tcW w:w="4280" w:type="dxa"/>
            <w:vAlign w:val="bottom"/>
          </w:tcPr>
          <w:p>
            <w:pPr>
              <w:spacing w:after="0"/>
              <w:rPr>
                <w:sz w:val="22"/>
                <w:szCs w:val="22"/>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2"/>
                <w:szCs w:val="2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22"/>
                <w:szCs w:val="22"/>
                <w:color w:val="auto"/>
              </w:rPr>
            </w:pPr>
          </w:p>
        </w:tc>
        <w:tc>
          <w:tcPr>
            <w:tcW w:w="800" w:type="dxa"/>
            <w:vAlign w:val="bottom"/>
          </w:tcPr>
          <w:p>
            <w:pPr>
              <w:jc w:val="center"/>
              <w:ind w:right="139"/>
              <w:spacing w:after="0"/>
              <w:rPr>
                <w:sz w:val="20"/>
                <w:szCs w:val="20"/>
                <w:color w:val="auto"/>
              </w:rPr>
            </w:pPr>
            <w:r>
              <w:rPr>
                <w:rFonts w:ascii="Arial" w:cs="Arial" w:eastAsia="Arial" w:hAnsi="Arial"/>
                <w:sz w:val="14"/>
                <w:szCs w:val="14"/>
                <w:b w:val="1"/>
                <w:bCs w:val="1"/>
                <w:color w:val="auto"/>
                <w:w w:val="98"/>
              </w:rPr>
              <w:t>Equity</w:t>
            </w:r>
          </w:p>
        </w:tc>
      </w:tr>
      <w:tr>
        <w:trPr>
          <w:trHeight w:val="236"/>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28, 2013</w:t>
            </w:r>
          </w:p>
        </w:tc>
        <w:tc>
          <w:tcPr>
            <w:tcW w:w="5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$(1,012)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7,893</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Employee stock plans</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155</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Stock awards assumed in acquisition</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25</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3"/>
              </w:rPr>
              <w:t>Increase in excess tax benefits from employee stock plans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Repurchases of common stock</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(816)</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to stockholders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43"/>
        </w:trPr>
        <w:tc>
          <w:tcPr>
            <w:tcW w:w="42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1,617</w:t>
            </w:r>
          </w:p>
        </w:tc>
      </w:tr>
      <w:tr>
        <w:trPr>
          <w:trHeight w:val="27"/>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Actuarial pension loss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Unrealized gain on foreign exchange contracts</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w:t>
            </w:r>
          </w:p>
        </w:tc>
      </w:tr>
      <w:tr>
        <w:trPr>
          <w:trHeight w:val="33"/>
        </w:trPr>
        <w:tc>
          <w:tcPr>
            <w:tcW w:w="4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27, 2014</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$(1,570)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8,842</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Employee stock plans</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148</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Stock awards assumed in acquisition</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3"/>
              </w:rPr>
              <w:t>Increase in excess tax benefits from employee stock plans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Repurchases of common stock</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(970)</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to stockholders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1,465</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Actuarial pension loss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Unrealized loss on foreign exchange contracts</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4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July 3, 2015</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$(2,299)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9,219</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Employee stock plans</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67</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Common stock issued in connection with acquisition</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1,764</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 awards assumed in acquisition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w w:val="93"/>
              </w:rPr>
              <w:t>Increase in excess tax benefits from employee stock plans</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42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Shares issued in conjunction with settlement of convertible</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notes</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w w:val="95"/>
              </w:rPr>
              <w:t>Shares received in conjunction with assumed call options</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Dividends to stockholders</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Actuarial pension loss</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Net unrealized gain on foreign exchange contracts</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99</w:t>
            </w:r>
          </w:p>
        </w:tc>
      </w:tr>
      <w:tr>
        <w:trPr>
          <w:trHeight w:val="33"/>
        </w:trPr>
        <w:tc>
          <w:tcPr>
            <w:tcW w:w="4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July 1, 2016</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$(2,238)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11,145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80"/>
          </w:cols>
          <w:pgMar w:left="240" w:top="121"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2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Western Digital Corporation (the “Company” or “Western Digital”) is a leading developer, manufacturer and provider of data storage devices and solutions that address the needs of the information technology industry and the infrastructure that enables the storage of data. The Company also generates license and royalty revenue related to its intellectual property.</w:t>
      </w:r>
    </w:p>
    <w:p>
      <w:pPr>
        <w:spacing w:after="0" w:line="73"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Company’s fiscal year ends on the Friday nearest to June 30 and typically consists of 52 weeks. Approximately every six years, the Company reports a 53-week fiscal year to align the fiscal year with the foregoing policy. Fiscal year 2016 ended on July 1, 2016 and was comprised of 52 weeks. Fiscal year 2015 ended on July 3, 2015 and was comprised of 53 weeks, with the first quarter consisting of 14 weeks and the second, third and fourth quarters consisting of 13 weeks each. Fiscal year 2014 ended on June 27, 2014 and was comprised of 52 weeks.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All significant intercompany accounts and transactions have been eliminated in consolidation. The functional currency of most of the Company’s foreign subsidiaries is the U.S. dollar. The accounts of these foreign subsidiaries have been remeasured using the U.S. dollar as the functional currency. Gains or losses resulting from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income items. Translation adjustments are recorded in accumulated other comprehensive income, a component of stockholders’ equity.</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Certain prior year amounts have been reclassified in the balance sheet, statement of income and footnotes to conform with the current year presentation.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Company’s cash equivalents represent highly liquid investments in money market funds, which are invested in U.S. Treasury securities and U.S. Government agency securities as well as bank certificates of deposit with original maturities at purchase of three months or less. Cash equivalents are carried at cost plus accrued interest, which approximates fair value.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Available-for-Sale Securities</w:t>
      </w:r>
    </w:p>
    <w:p>
      <w:pPr>
        <w:spacing w:after="0" w:line="11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Company invests in U.S. Treasury securities, U.S. and International Government agency securities, certificates of deposit, asset-backed securities, and corporate and municipal notes and bonds, with original maturities at purchase of more than three months. These investments are classified as available-for-sale securities and included within short-term investments and other non-current assets in the consolidated balance sheets. Available-for-sale securities are stated at fair value with unrealized gains and losses included in accumulated other comprehensive income (loss), which is a component of stockholders’ equity. Gains and losses on available-for-sale securities are recorded based on the specific identification method. The Company evaluates the available-for-sale securities in an unrealized loss position for other-than-temporary impairment. The amortized cost of available-for-sale securities is adjusted for amortization of premiums and accretion of discounts to maturity. Such amortization and accretion are included in total other expense, net in the consolidated statements of income. In addition, realized gains and losses are included in total other expense, net in the consolidated statements of income.</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Equity Investments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enters into certain strategic investments for the promotion of business and strategic objectives. The Company accounts for investments in equity securities of other entities that are not consolidated under the cost method of accounting if the Company’s ownership interest is less than 20%, and the Company does not have the ability to exercise significant influence over operating and financial policies of the investee. The equity method of accounting is used if the Company’s ownership interest is greater than or equal to 20% but less than a majority or where the Company has the ability to exercise significant influence over operating and financial policies.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Investments accounted for under the cost method are recorded within other non-current assets in the consolidated balance sheets as of July 1, 2016 and July 3, 2015. They are also periodically analyzed to determine whether or not there are indicators of impairment.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Company evaluates its investments and other significant relationships to determine whether any investee is a variable interest entity (“VIE”). If the Company concludes that an investee is a VIE, the Company evaluates its power to direct the activities of the investee, its obligation to absorb the expected losses of the investee and its right to receive the expected residual returns of the investee to determine whether the Company is the primary beneficiary of the investee. If the Company is the primary beneficiary of a VIE, the Company consolidates such entity and reflects the non-controlling interest of other beneficiaries of that entity. The Company does not consolidate any cost method investment or equity method investment entities.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for all periods presented because of the short-term maturity of these assets and liabilities. The fair value of investments that are not accounted for under the equity method is based on appropriate market information.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Company values inventories at the lower of cost (first-in, first out and weighted-average methods) or net realizable value. The first-in, first-out (“FIFO”) method is used to value the cost of the majority of the Company’s inventories, while the weighted-average method is used to value precious metal inventories. Weighted-average cost is calculated based upon the cost of precious metals at the time they are received by the Company. The Company has determined that it is not practicable to assign specific costs to individual units of precious metals and, as such, precious metals are relieved from inventory based on the weighted-average cost of the inventory at the time the inventory is used in production. The weighted average method of valuing precious metals does not materially differ from the FIFO method. Inventory write-downs are recorded for the valuation of inventory at the lower of cost or net realizable value by analyzing market conditions and estimates of future sales prices as compared to inventory costs and inventory balances.</w:t>
      </w:r>
    </w:p>
    <w:p>
      <w:pPr>
        <w:spacing w:after="0" w:line="59"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 down of inventory that could materially affect operating results.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Property and equipment are carried at cost less accumulated depreciation and amortization. The cost of property, plant and equipment is depreciated over the estimated useful lives of the respective assets. The Company’s buildings are depreciated over periods ranging from fifteen to thirty-five years. The majority of the Company’s equipment is depreciated over periods of two to seven years. Depreciation is computed on a straight-line basis. Leasehold improvements are amortized over the lesser of the estimated useful lives of the assets or the related lease terms.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The application of acquisition accounting to a business combination requires that the Company identify the individual assets acquired and liabilities assumed and estimate the fair value of each. The fair value of assets acquired and liabilities assumed in a business acquisition are recognized at the acquisition date, with the purchase price exceeding the fair values being recognized as goodwill. Determining fair value of identifiable assets, particularly intangibles, liabilities acquired and contingent obligations assumed requires management to make estimates. In certain circumstances, the allocations of the excess purchase price are based upon preliminary estimates and assumptions and subject to revision when the Company receives final information, including appraisals and other analysis. Accordingly, the measurement period for such purchase price allocations will end when the information, or the facts and circumstances, becomes available, but will not exceed twelve months. The Company will recognize measurement-period adjustments during the period of resolution, including the effect on earnings of any amounts that would have been recorded in previous periods if the accounting had been completed at the acquisition date.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Goodwill and intangible assets often represent a significant portion of the assets acquired in a business combination. The Company recognizes the fair value of an acquired intangible apart from goodwill whenever the intangible arises from contractual or other legal rights, or when it can be separated or divided from the acquired entity and sold, transferred, licensed, rented or exchanged, either individually or in combination with a related contract, asset or liability. Intangible assets consist primarily of technology, customer relationships, and trade name and trademarks acquired in business combinations and in-process research and development (“IPR&amp;D”). The Company generally assesses the estimated fair values of acquired intangibles using a combination of valuation techniques. To estimate fair value, the Company is required make certain estimates and assumptions, including future economic and market conditions, revenue growth, market share, operating costs and margins, and risk-adjusted discount rates. These estimates require significant judgment and are based on historical data, various internal estimates, and external sources. The Company’s assessment of IPR&amp;D also includes consideration of the risk of the projects not achieving technological feasibility.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Goodwill is not amortized. Instead, it is tested for impairment on an annual basis or more frequently whenever events or changes in circumstances indicate that goodwill may be impaired. The Company performs an annual impairment test as of the first day of its fiscal fourth quarter. The Company either uses qualitative factors to determine whether goodwill is more likely than not impaired or performs a two-step approach to quantify impairment. If the Company concludes from the qualitative assessment that goodwill is more likely than not impaired, the Company is required to follow a two-step approach to quantify the impairment. The Company is required to use judgment when applying the goodwill impairment test, including the identification of reporting units, assignment of assets and liabilities to reporting units, assignment of goodwill to reporting units and determination of the fair value of each reporting unit. In addition, the estimates used to determine the fair value of each reporting unit may change based on results of operations, macroeconomic conditions or other factors. Changes in these estimates could materially affect the Company’s assessment of the fair value and goodwill impairment for each reporting unit. If the Company’s stock price decreases significantly, goodwill could become impaired, which could result in a material charge and adversely affect the Company’s results of operations.</w:t>
      </w:r>
    </w:p>
    <w:p>
      <w:pPr>
        <w:spacing w:after="0" w:line="17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Acquired intangibles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IPR&amp;D is not amortized until the point at which it reaches technological feasibility. Instead, it is tested for impairment on an annual basis or more frequently whenever events or changes in circumstances indicate that it may be impaired. If impairment is indicated, the impairment is measured as the amount by which the carrying amount of the assets exceeds the fair value of the assets. The Company recorded impairments to certain long-lived assets in 2016, 2015 and 2014. See Notes 14 and 17 to the consolidated financial statements for additional disclosures related to the Company’s other intangible assets.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and Accounts Receivable</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Revenue is recognized when the title and risk of loss have passed to the customer, there is persuasive evidence of an arrangement, delivery has occurred, or services have been rendered, the sales price is fixed or determinable and collectability is reasonably assured. The Company establishes provisions against revenue and cost of revenue for estimated sales returns in the same period that the related revenue is recognized based on existing product return notifications. If actual sales returns exceed expectations, an increase in the sales return accrual would be required, which could materially affect operating results.</w:t>
      </w:r>
    </w:p>
    <w:p>
      <w:pPr>
        <w:spacing w:after="0" w:line="8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In accordance with standard industry practice, the Company provides distributors and retailers (collectively referred to as “resellers”) with limited price protection for inventories held by resellers at the time of published list price reductions and/or a right of return, and the Company provides resellers and original equipment manufacturers (“OEMs”) with other sales incentive programs. At the time the Company recognizes revenue to resellers and OEMs, a reduction of revenue is recorded for estimated price protection and/or returns until the resellers sell such inventory to their customers and the Company also records a reduction of revenue for the other programs in effect. The Company bases these adjustments on several factors including anticipated price decreases during the reseller holding period, reseller’s sell-through and inventory levels, estimated amounts to be reimbursed to qualifying customers, historical pricing information, historical and anticipated returns information and customer claim processing. If customer demand for the Company’s products or market conditions differ from the Company’s expectations, the Company’s operating results could be materially affected. The Company also has programs under which it reimburses qualified distributors and retailers for certain marketing expenditures, which are recorded as a reduction of revenue.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Revenue from patent licensing arrangements is recognized when earned, estimable and realizable. The timing of revenue recognition is dependent on the terms of each license agreement and on the timing of sales of licensed products. The Company generally recognizes royalty revenue when it is reported to the Company by its licensees, which is generally one quarter in arrears from the licensees’ sales of licensed products. For licensing fees that are not determined by the licensees’ sales, the Company generally recognizes license fee revenue on a straight-line basis over the life of the license.</w:t>
      </w:r>
    </w:p>
    <w:p>
      <w:pPr>
        <w:spacing w:after="0" w:line="4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Some of the Company’s revenue arrangements are multiple-element arrangements because they are generally comprised of product, software and support services or multiple distinct licenses. For multiple-element arrangements, the Company evaluates whether each deliverable should be accounted for as a separate unit of accounting. For multiple-element arrangements that include support or software elements, the Company analyzes whether tangible products containing software and non-software components function together and therefore should be excluded from industry-specific software revenue recognition guidance. For all multiple-element arrangements, the Company allocates revenue to each element, or the software elements as a group, based on the relative selling price determined in accordance with the Company’s normal pricing and discounting practices for the specific element when sold separately. For multiple-element license agreements that include more than one license to distinct technology that are separate units of accounting, the Company allocates revenue to each license based on the relative selling price of each deliverable. License fees related to existing technology with no continuing performance obligations are generally recognized upon license commencement and other license fees are generally recognized on a straight-line basis over the life of the license. The Company primarily uses an estimate of selling price to allocate revenue for multiple-element license agreements based upon similar licenses, historical and estimated future sales volume, duration, and market conditions.</w:t>
      </w:r>
    </w:p>
    <w:p>
      <w:pPr>
        <w:spacing w:after="0" w:line="75"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The Company records an allowance for doubtful accounts by analyzing specific customer accounts and assessing the risk of loss based on insolvency, disputes or other collection issues. In addition, the Company routinely analyzes the different receivable aging categories and establishes reserves based on a combination of past due receivables and expected future losses based primarily on its historical levels of bad debt losses. If the financial condition of a significant customer deteriorates resulting in its inability to pay its accounts when due, or if the Company’s overall loss history changes significantly, an adjustment in the Company’s allowance for doubtful accounts would be required, which could materially affect operating results.</w:t>
      </w:r>
    </w:p>
    <w:p>
      <w:pPr>
        <w:spacing w:after="0" w:line="5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From time to time, in connection with a factoring agreement, the Company sells trade accounts receivable without recourse to a third party purchaser in exchange for cash. The Company sold trade accounts receivable and received cash proceeds of $225 million, $269 million and $187 million during 2016, 2015 and 2014, respectively. The discounts on the sales of trade accounts receivables were not material and were recorded within interest expense in the consolidated statements of income.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If actual product return trends, costs to repair returned products or costs of customer compensatory claims differ significantly from estimates, future results of operations could be materially affected.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Litigation and Other Contingencies</w:t>
      </w:r>
    </w:p>
    <w:p>
      <w:pPr>
        <w:spacing w:after="0" w:line="11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6 to the consolidated financial statements for additional disclosures related to the Company’s litigation.</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Advertising Expense</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Advertising costs are expensed as incurred. Selling, general and administrative expenses of the Company included advertising costs of $60 million, $71 million and $60 million in 2016, 2015 and 2014, respectively.</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(“R&amp;D”) expenditures are expensed as incurred.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 likely than 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w:t>
      </w:r>
    </w:p>
    <w:p>
      <w:pPr>
        <w:spacing w:after="0" w:line="5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previously-recorded liabilities for unrealized tax benefits, and may materially affect the Company’s operating results.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per Common Share</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restricted stock unit awards (“RSUs”), performance-based restricted stock unit awards (“PSUs”), rights to purchase shares of common stock under the Company’s Employee Stock Purchase Plan (“ESPP”) and shares issuable in connection with convertible debt.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5"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computation of basic and diluted income per common share for 2016,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40" w:type="dxa"/>
            <w:vAlign w:val="bottom"/>
            <w:gridSpan w:val="6"/>
          </w:tcPr>
          <w:p>
            <w:pPr>
              <w:jc w:val="right"/>
              <w:ind w:right="50"/>
              <w:spacing w:after="0"/>
              <w:rPr>
                <w:sz w:val="20"/>
                <w:szCs w:val="20"/>
                <w:color w:val="auto"/>
              </w:rPr>
            </w:pPr>
            <w:r>
              <w:rPr>
                <w:rFonts w:ascii="Arial" w:cs="Arial" w:eastAsia="Arial" w:hAnsi="Arial"/>
                <w:sz w:val="16"/>
                <w:szCs w:val="16"/>
                <w:i w:val="1"/>
                <w:iCs w:val="1"/>
                <w:color w:val="auto"/>
              </w:rPr>
              <w:t>(in millions, except per share data)</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Employee stock options, RSUs, PSUs, ESPP</w:t>
            </w:r>
          </w:p>
        </w:tc>
        <w:tc>
          <w:tcPr>
            <w:tcW w:w="100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Anti-dilutive potential common shares excluded</w:t>
            </w:r>
            <w:r>
              <w:rPr>
                <w:rFonts w:ascii="Arial" w:cs="Arial" w:eastAsia="Arial" w:hAnsi="Arial"/>
                <w:sz w:val="25"/>
                <w:szCs w:val="25"/>
                <w:color w:val="auto"/>
                <w:vertAlign w:val="superscript"/>
              </w:rPr>
              <w:t>(1)</w:t>
            </w: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right="360" w:hanging="332"/>
        <w:spacing w:after="0" w:line="216"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diluted income per common share, certain potentially dilutive securities have been excluded from the calculation because their effect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0204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Company accounts for all stock-based compensation at fair value. Stock-based compensation cost is measured at the grant date based on the value of the award and is recognized as expense over the vesting period. The fair values of all stock options granted are estimated using a binomial option-pricing model, and the fair values of all ESPP purchase rights are estimated using the Black-Scholes-Merton option-pricing model. The Company accounts for stock appreciation rights (“SARs”) as liability awards based upon management’s intention to settle such awards in cash. All SARs issued to employees were fully vested, and the fair values are now solely subject to market price fluctuations. Both the binomial and the Black-Scholes-Merton option-pricing models require the input of highly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materially affected. PSUs are granted to certain employees and vest only after the achievement of pre-determined performance metrics. Once the performance metrics are met, vesting of PSUs is subject to continued service by the employee. At the end of each reporting period, the Company evaluates the probability that PSUs will be earned. The Company records stock-based compensation expense based on the probability that the performance metrics will be achieved over the vesting period.</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Comprehensive Income (Loss), Net of Tax</w:t>
      </w:r>
    </w:p>
    <w:p>
      <w:pPr>
        <w:spacing w:after="0" w:line="117"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Other comprehensive income (loss), net of tax refers to revenue, expenses, gains and losses that are recorded as an element of stockholders’ equity but are excluded from net income. The Company’s other comprehensive income (loss), net of tax is comprised of unrealized gains and losses on foreign exchange contracts designated as cash flow hedges, foreign currency translation gains and actuarial losses related to pensions.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illustrates the changes in the balances of each component of accumulated comprehensive income (loss) for 2016 and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Actuarial Pension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 Gains</w:t>
            </w:r>
          </w:p>
        </w:tc>
        <w:tc>
          <w:tcPr>
            <w:tcW w:w="140" w:type="dxa"/>
            <w:vAlign w:val="bottom"/>
          </w:tcPr>
          <w:p>
            <w:pPr>
              <w:spacing w:after="0"/>
              <w:rPr>
                <w:sz w:val="14"/>
                <w:szCs w:val="14"/>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 Gains</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(Losses) on Foreign</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Gains (Losses)</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Exchange Contracts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5"/>
          </w:tcPr>
          <w:p>
            <w:pPr>
              <w:ind w:left="960"/>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27,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3, 2015</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Income tax benefit related to items of other comprehensive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20"/>
              <w:spacing w:after="0"/>
              <w:rPr>
                <w:sz w:val="20"/>
                <w:szCs w:val="20"/>
                <w:color w:val="auto"/>
              </w:rPr>
            </w:pPr>
            <w:r>
              <w:rPr>
                <w:rFonts w:ascii="Arial" w:cs="Arial" w:eastAsia="Arial" w:hAnsi="Arial"/>
                <w:sz w:val="18"/>
                <w:szCs w:val="18"/>
                <w:color w:val="auto"/>
              </w:rPr>
              <w:t>income (loss)</w:t>
            </w:r>
          </w:p>
        </w:tc>
        <w:tc>
          <w:tcPr>
            <w:tcW w:w="1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Balance at July 1,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illustrates the significant amounts reclassified out of each component of accumulated comprehensive income (loss) for 2016, 2015 and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AOCI Component</w:t>
            </w:r>
          </w:p>
        </w:tc>
        <w:tc>
          <w:tcPr>
            <w:tcW w:w="380" w:type="dxa"/>
            <w:vAlign w:val="bottom"/>
          </w:tcPr>
          <w:p>
            <w:pPr>
              <w:spacing w:after="0"/>
              <w:rPr>
                <w:sz w:val="14"/>
                <w:szCs w:val="14"/>
                <w:color w:val="auto"/>
              </w:rPr>
            </w:pPr>
          </w:p>
        </w:tc>
        <w:tc>
          <w:tcPr>
            <w:tcW w:w="11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192"/>
        </w:trPr>
        <w:tc>
          <w:tcPr>
            <w:tcW w:w="45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Line Item</w:t>
            </w:r>
          </w:p>
        </w:tc>
        <w:tc>
          <w:tcPr>
            <w:tcW w:w="0" w:type="dxa"/>
            <w:vAlign w:val="bottom"/>
          </w:tcPr>
          <w:p>
            <w:pPr>
              <w:spacing w:after="0"/>
              <w:rPr>
                <w:sz w:val="1"/>
                <w:szCs w:val="1"/>
                <w:color w:val="auto"/>
              </w:rPr>
            </w:pPr>
          </w:p>
        </w:tc>
      </w:tr>
      <w:tr>
        <w:trPr>
          <w:trHeight w:val="237"/>
        </w:trPr>
        <w:tc>
          <w:tcPr>
            <w:tcW w:w="4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i w:val="1"/>
                <w:iCs w:val="1"/>
                <w:color w:val="auto"/>
              </w:rPr>
              <w:t>(in millions)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Unrealized holding gain (loss) on cash flow hedging</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Foreign exchange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exchange contracts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Research and development</w:t>
            </w:r>
          </w:p>
        </w:tc>
        <w:tc>
          <w:tcPr>
            <w:tcW w:w="0" w:type="dxa"/>
            <w:vAlign w:val="bottom"/>
          </w:tcPr>
          <w:p>
            <w:pPr>
              <w:spacing w:after="0"/>
              <w:rPr>
                <w:sz w:val="1"/>
                <w:szCs w:val="1"/>
                <w:color w:val="auto"/>
              </w:rPr>
            </w:pPr>
          </w:p>
        </w:tc>
      </w:tr>
      <w:tr>
        <w:trPr>
          <w:trHeight w:val="209"/>
        </w:trPr>
        <w:tc>
          <w:tcPr>
            <w:tcW w:w="4580" w:type="dxa"/>
            <w:vAlign w:val="bottom"/>
            <w:gridSpan w:val="2"/>
          </w:tcPr>
          <w:p>
            <w:pPr>
              <w:ind w:left="500"/>
              <w:spacing w:after="0"/>
              <w:rPr>
                <w:sz w:val="20"/>
                <w:szCs w:val="20"/>
                <w:color w:val="auto"/>
              </w:rPr>
            </w:pPr>
            <w:r>
              <w:rPr>
                <w:rFonts w:ascii="Arial" w:cs="Arial" w:eastAsia="Arial" w:hAnsi="Arial"/>
                <w:sz w:val="18"/>
                <w:szCs w:val="18"/>
                <w:color w:val="auto"/>
              </w:rPr>
              <w:t>Unrealized holding loss on cash flow hedging</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500"/>
              <w:spacing w:after="0"/>
              <w:rPr>
                <w:sz w:val="20"/>
                <w:szCs w:val="20"/>
                <w:color w:val="auto"/>
              </w:rPr>
            </w:pPr>
            <w:r>
              <w:rPr>
                <w:rFonts w:ascii="Arial" w:cs="Arial" w:eastAsia="Arial" w:hAnsi="Arial"/>
                <w:sz w:val="18"/>
                <w:szCs w:val="18"/>
                <w:color w:val="auto"/>
              </w:rPr>
              <w:t>activities</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reclassifications for the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Although the majority of the Company’s transactions are in U.S. dollars,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These contract maturity dates do not exceed 12 months. All foreign exchange contracts are for risk management purposes only. The Company does not purchase foreign exchange contracts for speculative or trading purposes. The Company had foreign exchange contracts with commercial banks for British Pound Sterling, European Euro, Japanese Yen, Malaysian Ringgit, Philippine Peso, Singapore Dollar and Thai Baht, which were designated as either cash flow or fair value hedges and had an aggregate notional amount of $3.1 billion and $1.3 billion at July 1, 2016 and July 3, 2015,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If the derivative is designated as a cash flow hedge, the effective portion of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R&amp;D and presented within cash flows from operating activities.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consolidated financial statements for all years presented.</w:t>
      </w:r>
    </w:p>
    <w:p>
      <w:pPr>
        <w:spacing w:after="0" w:line="85"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A change in the fair value of fair value hedges is recognized in earnings in the period incurred and is reported in cost of revenue or operating expenses, depending on the nature of the underlying hedged item. All fair value hedges, if any, were determined to be effective as of July 1, 2016 and July 3, 2015. See Notes 11 and 13 to the consolidated financial statements for additional disclosures related to the Company’s foreign exchange contracts.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Pensions and Other Post-Retirement Benefit Plans</w:t>
      </w:r>
    </w:p>
    <w:p>
      <w:pPr>
        <w:spacing w:after="0" w:line="11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fiscal year-end. The Company recognizes the funded status of its defined benefit pension and postretirement plans in the consolidated balance sheets, with changes in the funded status recognized through accumulated other comprehensive income (loss) in the year in which such changes occur. See Note 15 to the consolidated financial statements for additional disclosures related to the Company’s pensions and other post-retirement benefit plans.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 September 2015, the Financial Accounting Standards Board (“FASB”) issued Accounting Standards Update (“ASU”) No. 2015-16, “Business Combinations (Topic 805): Simplifying the Accounting for Measurement-Period Adjustments” (“ASU 2015-16”), which eliminates the requirement for an acquirer in a business combination to account for measurement-period adjustments retrospectively. Acquirers must recognize measurement-period adjustments during the period of resolution, including the effect on earnings of any amounts they would have recorded in previous periods if the accounting had been completed at the acquisition date. The Company early adopted ASU 2015-16 during the fourth quarter of fiscal 2016 on a prospective basis. The Company adopted this standard in the fourth quarter of 2016 on a prospective basis. No adjustments were made to prior-period consolidated financial statements.</w:t>
      </w:r>
    </w:p>
    <w:p>
      <w:pPr>
        <w:spacing w:after="0" w:line="8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(“ASU 2015-17”), which requires that deferred tax liabilities and assets for each tax-paying jurisdiction within each tax-paying component to be classified as noncurrent in a classified statement of financial position. The Company early adopted ASU 2015-17 during the second quarter of fiscal 2016 on a prospective basis, which resulted in the reclassification of $165 million of net deferred tax assets as of January 1, 2016 from current assets to noncurrent assets. Since the Company adopted this standard on a prospective basis, no adjustments were made to prior-period balance sheets.</w:t>
      </w:r>
    </w:p>
    <w:p>
      <w:pPr>
        <w:spacing w:after="0" w:line="64"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In April 2015, the FASB issued ASU No. 2015-03, “Interest — Imputation of Interest (Subtopic 835-30): Simplifying the Presentation of Debt Issuance Costs” (“ASU 2015-03”). The new standard requires debt issuance costs related to a recognized debt liability to be presented in the balance sheet as a direct deduction from the carrying amount of that debt liability, consistent with debt discounts. The new standard is effective for fiscal years and interim periods within those fiscal years, beginning after December 15, 2015, which for the Company is the first quarter of fiscal 2017. The Company early adopted</w:t>
      </w:r>
    </w:p>
    <w:p>
      <w:pPr>
        <w:spacing w:after="0" w:line="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ASU 2015-03 during the fourth quarter of fiscal 2016 on a retrospective basis, which resulted in a reduction of $4 million in other current assets and the current portion of long-term debt, and a reduction of $7 million in other non-current assets and long-term debt within the consolidated balance sheet as of July 3, 2015.</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Issued</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March 2016, the FASB issued ASU No. 2016-09, “Compensation — Stock Compensation (Topic 718): Improvements to Employee Share-Based Payment Accounting” (“ASU 2016-09”). The new standard simplifies several aspects of the accounting for share-based payment transactions and states that, among other things, all excess tax benefits and tax deficiencies should be recognized as income tax expense or benefit in the income statement and an entity can make an entity-wide accounting policy election to either estimate the number of awards that are expected to vest or account for forfeitures when they occur. The new standard is effective for fiscal years beginning after December 15, 2016, and interim periods within these periods, which for the Company is the first quarter of fiscal 2018. The Company is currently evaluating the impact ASU 2016-09 will have on its consolidated financial statements and related disclosures.</w:t>
      </w:r>
    </w:p>
    <w:p>
      <w:pPr>
        <w:spacing w:after="0" w:line="8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February 2016, the FASB issued ASU No. 2016-02, “Leases (Topic 842)” (“ASU 2016-02”). The new standard, among other things, requires lessees to recognize a right-of-use asset and a lease liability for leases. The new standard is effective for fiscal years beginning after December 15, 2018, which for the Company is the first quarter of fiscal 2020. The Company is currently evaluating the impact ASU 2016-02 will have on its consolidated financial statements and related disclosures.</w:t>
      </w:r>
    </w:p>
    <w:p>
      <w:pPr>
        <w:spacing w:after="0" w:line="7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April 2015, the FASB issued ASU No. 2015-05, “Intangibles — Goodwill and Other — Internal-Use Software (Subtopic 350-40)” (“ASU 2015-05”), which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standard is effective for fiscal years beginning after December 15, 2015, including interim periods within those fiscal years, which for the Company is the first quarter of fiscal 2017. The Company is currently evaluating the impact ASU 2015-05 will have on its consolidated financial statements and related disclosures.</w:t>
      </w:r>
    </w:p>
    <w:p>
      <w:pPr>
        <w:spacing w:after="0" w:line="5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May 2014, the FASB issued ASU 2014-09, “Revenue from Contracts with Customers” (“ASU 2014-09”), which amends the guidance in former Accounting Standards Codification Topic 605, “Revenue Recognition,” to provide a single, comprehensive revenue recognition model for all contracts with customers. The new standard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The proposed standard may accelerate the timing of revenue recognition for the Company’s license and royalty contracts. In August 2015, the FASB issued ASU 2015-14, which deferred the effective date of this ASU by one year. The new standard allows for either a full retrospective or a modified retrospective transition method and is effective for fiscal years and interim periods within those years beginning after December 15, 2017, which for the Company is the first quarter of fiscal 2019. The Company has not yet selected a transition method and is currently expecting to adopt this standard in the first quarter of fiscal 2019.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Supplemental Financial Statement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July 1,</w:t>
            </w:r>
          </w:p>
        </w:tc>
        <w:tc>
          <w:tcPr>
            <w:tcW w:w="440" w:type="dxa"/>
            <w:vAlign w:val="bottom"/>
          </w:tcPr>
          <w:p>
            <w:pPr>
              <w:spacing w:after="0"/>
              <w:rPr>
                <w:sz w:val="14"/>
                <w:szCs w:val="14"/>
                <w:color w:val="auto"/>
              </w:rPr>
            </w:pPr>
          </w:p>
        </w:tc>
        <w:tc>
          <w:tcPr>
            <w:tcW w:w="1040" w:type="dxa"/>
            <w:vAlign w:val="bottom"/>
          </w:tcPr>
          <w:p>
            <w:pPr>
              <w:jc w:val="center"/>
              <w:ind w:right="394"/>
              <w:spacing w:after="0"/>
              <w:rPr>
                <w:sz w:val="20"/>
                <w:szCs w:val="20"/>
                <w:color w:val="auto"/>
              </w:rPr>
            </w:pPr>
            <w:r>
              <w:rPr>
                <w:rFonts w:ascii="Arial" w:cs="Arial" w:eastAsia="Arial" w:hAnsi="Arial"/>
                <w:sz w:val="14"/>
                <w:szCs w:val="14"/>
                <w:b w:val="1"/>
                <w:bCs w:val="1"/>
                <w:color w:val="auto"/>
                <w:w w:val="91"/>
              </w:rPr>
              <w:t>July 3,</w:t>
            </w:r>
          </w:p>
        </w:tc>
      </w:t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9"/>
              </w:rPr>
              <w:t>2015</w:t>
            </w:r>
          </w:p>
        </w:tc>
      </w:tr>
      <w:tr>
        <w:trPr>
          <w:trHeight w:val="223"/>
        </w:trPr>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millions)</w:t>
            </w:r>
          </w:p>
        </w:tc>
        <w:tc>
          <w:tcPr>
            <w:tcW w:w="1040" w:type="dxa"/>
            <w:vAlign w:val="bottom"/>
          </w:tcPr>
          <w:p>
            <w:pPr>
              <w:spacing w:after="0"/>
              <w:rPr>
                <w:sz w:val="19"/>
                <w:szCs w:val="19"/>
                <w:color w:val="auto"/>
              </w:rPr>
            </w:pP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Raw materials and component parts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168</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Work-in-process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Finished goods</w:t>
            </w: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700</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76"/>
        </w:trPr>
        <w:tc>
          <w:tcPr>
            <w:tcW w:w="8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July 1,</w:t>
            </w:r>
          </w:p>
        </w:tc>
        <w:tc>
          <w:tcPr>
            <w:tcW w:w="440" w:type="dxa"/>
            <w:vAlign w:val="bottom"/>
          </w:tcPr>
          <w:p>
            <w:pPr>
              <w:spacing w:after="0"/>
              <w:rPr>
                <w:sz w:val="24"/>
                <w:szCs w:val="24"/>
                <w:color w:val="auto"/>
              </w:rPr>
            </w:pPr>
          </w:p>
        </w:tc>
        <w:tc>
          <w:tcPr>
            <w:tcW w:w="1040" w:type="dxa"/>
            <w:vAlign w:val="bottom"/>
          </w:tcPr>
          <w:p>
            <w:pPr>
              <w:jc w:val="center"/>
              <w:ind w:right="394"/>
              <w:spacing w:after="0"/>
              <w:rPr>
                <w:sz w:val="20"/>
                <w:szCs w:val="20"/>
                <w:color w:val="auto"/>
              </w:rPr>
            </w:pPr>
            <w:r>
              <w:rPr>
                <w:rFonts w:ascii="Arial" w:cs="Arial" w:eastAsia="Arial" w:hAnsi="Arial"/>
                <w:sz w:val="14"/>
                <w:szCs w:val="14"/>
                <w:b w:val="1"/>
                <w:bCs w:val="1"/>
                <w:color w:val="auto"/>
                <w:w w:val="91"/>
              </w:rPr>
              <w:t>July 3,</w:t>
            </w:r>
          </w:p>
        </w:tc>
      </w:t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9"/>
              </w:rPr>
              <w:t>2015</w:t>
            </w:r>
          </w:p>
        </w:tc>
      </w:tr>
      <w:tr>
        <w:trPr>
          <w:trHeight w:val="223"/>
        </w:trPr>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millions)</w:t>
            </w:r>
          </w:p>
        </w:tc>
        <w:tc>
          <w:tcPr>
            <w:tcW w:w="1040" w:type="dxa"/>
            <w:vAlign w:val="bottom"/>
          </w:tcPr>
          <w:p>
            <w:pPr>
              <w:spacing w:after="0"/>
              <w:rPr>
                <w:sz w:val="19"/>
                <w:szCs w:val="19"/>
                <w:color w:val="auto"/>
              </w:rPr>
            </w:pP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Land and buildings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1,441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Machinery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Construction-in-process</w:t>
            </w: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296</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(5,639)</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Depreciation expense of property, plant and equipment totaled $888 million, $809 million and $914 million in 2016, 2015 and 2014, respectively.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 as of July 1, 2016 and July 3,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1,</w:t>
            </w:r>
          </w:p>
        </w:tc>
        <w:tc>
          <w:tcPr>
            <w:tcW w:w="440" w:type="dxa"/>
            <w:vAlign w:val="bottom"/>
          </w:tcPr>
          <w:p>
            <w:pPr>
              <w:spacing w:after="0"/>
              <w:rPr>
                <w:sz w:val="14"/>
                <w:szCs w:val="14"/>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b w:val="1"/>
                <w:bCs w:val="1"/>
                <w:color w:val="auto"/>
              </w:rPr>
              <w:t>July 3,</w:t>
            </w:r>
          </w:p>
        </w:tc>
      </w:t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23"/>
        </w:trPr>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millions)</w:t>
            </w:r>
          </w:p>
        </w:tc>
        <w:tc>
          <w:tcPr>
            <w:tcW w:w="1040" w:type="dxa"/>
            <w:vAlign w:val="bottom"/>
          </w:tcPr>
          <w:p>
            <w:pPr>
              <w:spacing w:after="0"/>
              <w:rPr>
                <w:sz w:val="19"/>
                <w:szCs w:val="19"/>
                <w:color w:val="auto"/>
              </w:rPr>
            </w:pP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interest rate term loan maturing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Variable interest rate term loan maturing 2021 (Term Loan A)</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interest rate USD term loan maturing 2023 (U.S. Term Loan B)</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Variable interest rate Euro term loan maturing 2023 (Euro Term Loan B)</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7.375% senior secured notes due 2023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10.500% senior unsecured notes due 2024</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Bridge loans</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Issuance costs and debt discounts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Subtotal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Less bridge loans and current portion of long-term debt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13,660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0204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34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Euro Term Loan B principal amount was based upon the Euro exchange rate as of July 1, 2016.</w:t>
      </w:r>
    </w:p>
    <w:p>
      <w:pPr>
        <w:spacing w:after="0" w:line="98" w:lineRule="exact"/>
        <w:rPr>
          <w:sz w:val="20"/>
          <w:szCs w:val="20"/>
          <w:color w:val="auto"/>
        </w:rPr>
      </w:pPr>
    </w:p>
    <w:p>
      <w:pPr>
        <w:jc w:val="both"/>
        <w:ind w:right="60" w:firstLine="405"/>
        <w:spacing w:after="0" w:line="261" w:lineRule="auto"/>
        <w:rPr>
          <w:sz w:val="20"/>
          <w:szCs w:val="20"/>
          <w:color w:val="auto"/>
        </w:rPr>
      </w:pPr>
      <w:r>
        <w:rPr>
          <w:rFonts w:ascii="Arial" w:cs="Arial" w:eastAsia="Arial" w:hAnsi="Arial"/>
          <w:sz w:val="18"/>
          <w:szCs w:val="18"/>
          <w:color w:val="auto"/>
        </w:rPr>
        <w:t>In connection with the merger (the “Merger”) with SanDisk Corporation (“SanDisk”), the Company entered into new debt facilities. The proceeds from the new debt facilities were used to, among other things, (i) finance, in part, the cash portion of the purchase price, (ii) refinance certain existing indebtedness of Western Digital and SanDisk, and (iii) pay certain transaction costs.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Notes</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April 13, 2016, the Company completed an offering consisting of $1.875 billion 7.375% senior secured notes due 2023 (the “Secured Notes”) and $3.350 billion 10.500% senior unsecured notes due 2024 (the “Unsecured Notes” and, together with the Secured Notes, the “Notes”). The Company is not required to make principal payments on the Notes prior to their respective maturity dates, except that it may be required to offer to purchase the Notes upon the occurrence of a change of control or with the proceeds of certain non-ordinary course asset sales. Interest payments on the Notes are due semi-annually in arrears. The obligations under the Notes are guaranteed by certain of the Company’s existing and subsequently acquired or organized wholly-owned, material domestic subsidiaries.</w:t>
      </w:r>
    </w:p>
    <w:p>
      <w:pPr>
        <w:spacing w:after="0" w:line="8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Secured Notes were funded on May 12, 2016, and the Company received net cash proceeds of $1.826 billion. The Company pays cash interest on the Secured Notes quarterly at an annual rate of 7.375%. The Secured Notes mature in April 2023. The Secured Notes issuance cost was $49 million, which is amortized to interest expense over the term of the Secured Notes. The Secured Notes are collateralized on an equal and ratable basis by liens on the same assets that secure indebtedness under the New Credit Agreement (as defined below).</w:t>
      </w:r>
    </w:p>
    <w:p>
      <w:pPr>
        <w:spacing w:after="0" w:line="6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Unsecured Notes were funded on May 12, 2016, and the Company received net cash proceeds of $3.226 billion. The Company pays cash interest on the Unsecured Notes quarterly at an annual rate of 10.500%. The Unsecured Notes mature in April 2024. The Unsecured Notes issuance cost was $124 million, which is amortized to interest expense over the term of the Secured Notes.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On April 29, 2016, the Company entered into a new credit agreement (the “New Credit Agreement”) with JPMorgan Chase Bank, N.A., as administrative agent and collateral agent (the “Administrative Agent”), and the lenders party thereto, which provides for variable interest rate secured loans consisting of a $4.125 billion term loan (the “Term Loan A”), a term loan (the “Term Loan B”) composed of a $3.750 billion U.S. dollar tranche (the “U.S. Term Loan B”) and a €885 million Euro tranche (the “Euro Term Loan B”), and a $1.000 billion revolving credit facility (the “Revolving Credit Facility”). The Revolving Credit Facility includes a $200 million sublimit for letters of credit.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Term Loan A was funded on May 12, 2016, and the Company received net cash proceeds of $4.059 billion. The Company pays monthly cash interest on the Term Loan A at a rate based on LIBOR, plus the applicable spread of 2.00% (approximately 2.450% at July 1, 2016). Term Loan A issuance costs were $66 million, which are amortized to interest expense over the term of the loan.</w:t>
      </w:r>
    </w:p>
    <w:p>
      <w:pPr>
        <w:spacing w:after="0" w:line="7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U.S. Term Loan B tranche was funded on April 29, 2016, and the Company received net cash proceeds of $3.541 billion. The Company pays monthly cash interest on the U.S. Term Loan B tranche at a rate based on LIBOR, subject to a 0.750% floor, plus the applicable spread of 5.500% (6.250% at July 1, 2016). The U.S. Term Loan B tranche issuance costs were $209 million, which are amortized to interest expense over the term of the loan. On August 17, 2016, the Company settled the U.S. Term Loan B tranche with proceeds of a new U.S. dollar-denominated Term Loan B-1 and a voluntary cash prepayment. For additional information, see Note 19 to the consolidated financial statements.</w:t>
      </w:r>
    </w:p>
    <w:p>
      <w:pPr>
        <w:spacing w:after="0" w:line="6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Euro Term Loan B tranche was funded on April 29, 2016, and the Company received net cash proceeds of $980 million, based on the Euro exchange rate. The Company pays monthly cash interest on the Euro Term Loan B tranche at a rate based on EURIBOR, subject to a 0.750% floor, plus the applicable spread of 5.250% (6.000% at July 1, 2016). The Euro Term Loan B tranche issuance costs were $28 million, which are amortized to interest expense over the term of the loan.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Revolving Credit Facility was not drawn upon, and there was no outstanding balance as of July 1, 2016.</w:t>
      </w:r>
    </w:p>
    <w:p>
      <w:pPr>
        <w:spacing w:after="0" w:line="117" w:lineRule="exact"/>
        <w:rPr>
          <w:sz w:val="20"/>
          <w:szCs w:val="20"/>
          <w:color w:val="auto"/>
        </w:rPr>
      </w:pPr>
    </w:p>
    <w:p>
      <w:pPr>
        <w:ind w:right="100" w:firstLine="392"/>
        <w:spacing w:after="0" w:line="279" w:lineRule="auto"/>
        <w:rPr>
          <w:sz w:val="20"/>
          <w:szCs w:val="20"/>
          <w:color w:val="auto"/>
        </w:rPr>
      </w:pPr>
      <w:r>
        <w:rPr>
          <w:rFonts w:ascii="Arial" w:cs="Arial" w:eastAsia="Arial" w:hAnsi="Arial"/>
          <w:sz w:val="17"/>
          <w:szCs w:val="17"/>
          <w:color w:val="auto"/>
        </w:rPr>
        <w:t>Term Loan A and the Revolving Credit Facility have a five-year term. Beginning in September 2017, the Company is required to make quarterly principal payments on Term Loan A totaling $206 million in fiscal 2018, $309 million in fiscal 2019, $413 million in fiscal 2020 and the remaining balance of $3.197 billion due in fiscal 2021. Term Loan B has a seven-year term. Beginning in September 2016, the Company is required to make quarterly principal payments on Term Loan B equal to 0.25% of the original principal amount thereof, with the remaining balance due in fiscal 2023.</w:t>
      </w:r>
    </w:p>
    <w:p>
      <w:pPr>
        <w:spacing w:after="0" w:line="6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obligations under the New Credit Agreement are secured on a first-priority basis by a lien on substantially all the assets and properties of (i) the Company and (ii) HGST, Inc., WD Media, LLC, Western Digital (Fremont), LLC and Western Digital Technologies, Inc. (“WDT”) (together referred to as the “WD Guarantors”), including all of the capital stock held by these entities (subject to a 65% limitation on pledges of capital stock of foreign subsidiaries and domestic holding companies of foreign subsidiaries), subject to certain exceptions.</w:t>
      </w:r>
    </w:p>
    <w:p>
      <w:pPr>
        <w:spacing w:after="0" w:line="7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obligations under the New Credit Agreement are guaranteed by the WD Guarantors. The term loans and the revolving credit loans may be prepaid in whole or in part at any time without premium or penalty, subject to certain conditions, except that Term Loan B requires the Company to pay a 1.0% prepayment fee if the loans thereunder are repaid in connection with certain “repricing” transactions on or before the one-year anniversary of the effective date.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The Notes and the loans under the New Credit Agreement require the Company to comply with certain financial covenants, such as a leverage ratio, an interest coverage ratio and customary covenants that limit or restrict the Company’s and its subsidiaries’ ability to incur liens and indebtedness; make certain restricted payments, acquisitions, investments, loans and guarantees; and enter into certain transactions with affiliates, mergers and consolidations. As of July 1, 2016, the Company was in compliance with all of the financial covenants.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Additional Bridge Facility</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On May 12, 2016, WDT entered into a 45-day senior secured bridge credit agreement (the “Additional Bridge Credit Agreement”) among JPMorgan Chase Bank, N.A., as administrative agent and collateral agent, the lenders from time to time party thereto and Western Digital providing for $3.0 billion in aggregate principal amount of senior secured bridge loans (the “Additional Bridge Facility”). On June 9, 2016, this agreement was amended to extend the maturity to 75 days.</w:t>
      </w:r>
    </w:p>
    <w:p>
      <w:pPr>
        <w:spacing w:after="0" w:line="79"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The Additional Bridge Facility was funded on May 12, 2016, and the Company received net cash proceeds of $2.972 billion. The bridge loan interest rate was 2.450%. The Additional Bridge Facility issuance costs were $28 million and are amortized to interest expense over the term of the bridge facility. On July 21, 2016, the Company paid in full the $3.0 billion aggregate principal amount of the bridge loan outstanding together with accrued interest.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Termination of Existing Credit Agreement</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May 12, 2016, pursuant to the terms of the New Credit Agreement, Western Digital Technologies, Inc., Western Digital Ireland, Ltd. and Western Digital International Ltd. (collectively, the “Existing Borrowers”) extinguished all outstanding loans, together with accrued interest and related fees, of $2.2 billion and terminated all commitments under the credit agreement dated as of January 9, 2014, as amended, among the Company, the Existing Borrowers, the lenders party thereto and JPMorgan Chase Bank, N.A., as administrative agent. Upon extinguishment of the outstanding loans, the Company recorded a loss of $11 million, which related to the write-off of previously capitalized debt issuance costs.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Assumed SanDisk Convertible Notes, Call Options and Warrants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May 12, 2016, the closing date of the Merger (the “SanDisk Closing Date”), SanDisk had outstanding $997 million aggregate principal amount of its 1.5% Convertible Senior Notes due 2017 (the “2017 Notes”) and $1.5 billion aggregate principal amount of its 0.5% Convertible Senior Notes due 2020 (the “2020 Notes” and, together with the 2017 Notes, the “SanDisk Notes”). The 2017 Notes mature on August 15, 2017 and the 2020 Notes mature on October 15, 2020.</w:t>
      </w:r>
    </w:p>
    <w:p>
      <w:pPr>
        <w:spacing w:after="0" w:line="7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Merger constituted a fundamental change under each indenture governing the SanDisk Notes. As a result, the conversion rate for each $1,000 of principal amount of SanDisk Notes surrendered for conversion from March 8, 2016 to June 9, 2016 was increased temporarily to 20.8004 units of reference property in the case of the 2017 Notes and 13.7726 units of reference property in the case of the 2020 Notes. Each reference unit is comprised of 0.2387 shares of Western Digital common stock and $67.50 in cash.</w:t>
      </w:r>
    </w:p>
    <w:p>
      <w:pPr>
        <w:spacing w:after="0" w:line="7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SanDisk Notes were bifurcated into a debt host and exchange option for accounting purposes. The exchange option is accounted for as a derivative liability because it is predominantly settled in cash. Changes in the fair value of the exchange option are reported in the consolidated statements of income in other income (expense), net until the Company extinguishes the related debt. The initial fair value of the exchange option reduced the carrying value of the SanDisk Notes (effectively an original issuance discount). This discount is amortized using the effective interest rate method through the recognition of non-cash interest expense over the remaining term of the debt. This has resulted in the recognition of interest expense on the 2017 Notes and the 2020 Notes at an effective rate of 5.0% and 5.5%, respectively. As of July 1, 2016, the 2017 Notes and the 2020 Notes have a remaining unamortized discount of $5 million and $59 million, respectively.</w:t>
      </w:r>
    </w:p>
    <w:p>
      <w:pPr>
        <w:spacing w:after="0" w:line="8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exchange option is measured and reported at fair value on a recurring basis, within Level 3 of the fair value hierarchy. The fair value of the unredeemed and unsettled exchange option was reported in current portion of long-term debt and long-term debt in the consolidated balance sheets. See Note 11 to the consolidated financial statements for additional disclosures related to the fair values of the exchange option. For the quarter ended July 1, 2016, the change in the fair value of the exchange option related to the 2017 Notes and 2020 Notes resulted in a loss of $8 million and a gain of $6 million, respectively.</w:t>
      </w:r>
    </w:p>
    <w:p>
      <w:pPr>
        <w:spacing w:after="0" w:line="46" w:lineRule="exact"/>
        <w:rPr>
          <w:sz w:val="20"/>
          <w:szCs w:val="20"/>
          <w:color w:val="auto"/>
        </w:rPr>
      </w:pPr>
    </w:p>
    <w:p>
      <w:pPr>
        <w:ind w:right="200" w:firstLine="405"/>
        <w:spacing w:after="0" w:line="271" w:lineRule="auto"/>
        <w:rPr>
          <w:sz w:val="20"/>
          <w:szCs w:val="20"/>
          <w:color w:val="auto"/>
        </w:rPr>
      </w:pPr>
      <w:r>
        <w:rPr>
          <w:rFonts w:ascii="Arial" w:cs="Arial" w:eastAsia="Arial" w:hAnsi="Arial"/>
          <w:sz w:val="17"/>
          <w:szCs w:val="17"/>
          <w:color w:val="auto"/>
        </w:rPr>
        <w:t>During the quarter ended July 1, 2016, the Company paid to the holders of the SanDisk Notes for conversion and repurchase $2.611 billion cash and 1.959 million shares of Western Digital common stock with an aggregate value of $94 million. After taking into account the exchanges and repurchases settled prior to July 1, 2016, $129 million principal amount of the 2017 Notes and $310 million principal amount of the 2020 Notes were outstanding. After taking into account the exchanges and repurchases settled after July 1, 2016 and the principal amount of $25 million of 2020 Notes repurchased by the Company, as of August 26, 2016, $37 million principal amount of the 2020 Notes and an immaterial principal amount of the 2017 Notes were outstanding. For the remaining outstanding 2020 Notes, the conversion rate is 10.9006 units of reference property, corresponding to 2.6020 shares of Western Digital common stock and $735.79, per $1,000 principal amount of the 2020 Notes, subject to adjustments under the applicable indenture. The 2020 Notes are not currently exchangeable into reference property.</w:t>
      </w:r>
    </w:p>
    <w:p>
      <w:pPr>
        <w:spacing w:after="0" w:line="71"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Concurrently with the assumption of the SanDisk Notes, the Company assumed the outstanding call options and the warrants that were entered into by SanDisk at the inception of the respective SanDisk Notes, which were structured to reduce the potential economic dilution associated with the conversion of SanDisk Notes. SanDisk negotiated the termination of the warrants prior to the closing of the Merger and recorded a liability on the SanDisk Closing Date of $613 million. This amount was subsequently paid in the quarter ended July 1, 2016.</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SanDisk call options are derivative instruments classified as an asset that result in the Company receiving cash and shares partially offsetting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amounts payable upon exchange of the SanDisk Notes. During the quarter ended July 1, 2016, under the SanDisk call options, the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received $409 million of cash and 1.4 million shares of Western Digital common stock which had an aggregate value of $70 million. During the quarter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ended July 1, 2016, the Company recognized a non-cash gain of $7 million related to the change in value in the SanDisk call options, recorded in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income (expense), net in the consolidated statements of income. The value of the SanDisk call options at July 1, 2016 was $71 million.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exchange and repurchase of the 2017 Notes and related settlement of the debt instruments during the quarter ended July 1, 2016 resulted in a loss of $14 million. The exchange and repurchase of the 2020 Notes and related settlement of the debt instruments during the quarter ended July 1, 2016 resulted in a loss of $42 million.</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July 1, 2016, annual debt maturities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w:t>
            </w:r>
          </w:p>
        </w:tc>
        <w:tc>
          <w:tcPr>
            <w:tcW w:w="5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72"/>
              <w:spacing w:after="0"/>
              <w:rPr>
                <w:sz w:val="20"/>
                <w:szCs w:val="20"/>
                <w:color w:val="auto"/>
              </w:rPr>
            </w:pPr>
            <w:r>
              <w:rPr>
                <w:rFonts w:ascii="Arial" w:cs="Arial" w:eastAsia="Arial" w:hAnsi="Arial"/>
                <w:sz w:val="16"/>
                <w:szCs w:val="16"/>
                <w:i w:val="1"/>
                <w:iCs w:val="1"/>
                <w:color w:val="auto"/>
              </w:rPr>
              <w:t>(in millions)</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8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2018</w:t>
            </w:r>
          </w:p>
        </w:tc>
        <w:tc>
          <w:tcPr>
            <w:tcW w:w="5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2020</w:t>
            </w:r>
          </w:p>
        </w:tc>
        <w:tc>
          <w:tcPr>
            <w:tcW w:w="5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5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17,526</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Issuance costs and debt discounts</w:t>
            </w:r>
          </w:p>
        </w:tc>
        <w:tc>
          <w:tcPr>
            <w:tcW w:w="5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carrying value</w:t>
            </w:r>
          </w:p>
        </w:tc>
        <w:tc>
          <w:tcPr>
            <w:tcW w:w="5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16,994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6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Company leases certain facilities and equipment under long-term, non-cancelable operating leases. The Company’s operating leases consist of leased property and equipment that expire at various dates through 2025. Rental expense under these operating leases, including month-to-month rentals, was $59 million, $60 million and $59 million in 2016, 2015 and 2014, respectively. Future minimum lease payments under operating leases that have initial or remaining non-cancelable lease terms in excess of one year at July 1, 2016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w:t>
            </w: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6"/>
                <w:szCs w:val="16"/>
                <w:b w:val="1"/>
                <w:bCs w:val="1"/>
                <w:color w:val="auto"/>
                <w:w w:val="95"/>
              </w:rPr>
              <w:t>Lease Amounts</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372"/>
              <w:spacing w:after="0"/>
              <w:rPr>
                <w:sz w:val="20"/>
                <w:szCs w:val="20"/>
                <w:color w:val="auto"/>
              </w:rPr>
            </w:pPr>
            <w:r>
              <w:rPr>
                <w:rFonts w:ascii="Arial" w:cs="Arial" w:eastAsia="Arial" w:hAnsi="Arial"/>
                <w:sz w:val="16"/>
                <w:szCs w:val="16"/>
                <w:i w:val="1"/>
                <w:iCs w:val="1"/>
                <w:color w:val="auto"/>
              </w:rPr>
              <w:t>(in millions)</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2018</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Future minimum payments</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i w:val="1"/>
                <w:iCs w:val="1"/>
                <w:color w:val="auto"/>
              </w:rPr>
              <w:t>Product Warranty Liability</w:t>
            </w: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420"/>
              <w:spacing w:after="0"/>
              <w:rPr>
                <w:sz w:val="20"/>
                <w:szCs w:val="20"/>
                <w:color w:val="auto"/>
              </w:rPr>
            </w:pPr>
            <w:r>
              <w:rPr>
                <w:rFonts w:ascii="Arial" w:cs="Arial" w:eastAsia="Arial" w:hAnsi="Arial"/>
                <w:sz w:val="18"/>
                <w:szCs w:val="18"/>
                <w:color w:val="auto"/>
              </w:rPr>
              <w:t>Changes in the warranty accrual for 2016, 2015 and 2014 were as follows: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4"/>
          </w:tcPr>
          <w:p>
            <w:pPr>
              <w:jc w:val="center"/>
              <w:ind w:right="340"/>
              <w:spacing w:after="0"/>
              <w:rPr>
                <w:sz w:val="20"/>
                <w:szCs w:val="20"/>
                <w:color w:val="auto"/>
              </w:rPr>
            </w:pPr>
            <w:r>
              <w:rPr>
                <w:rFonts w:ascii="Arial" w:cs="Arial" w:eastAsia="Arial" w:hAnsi="Arial"/>
                <w:sz w:val="16"/>
                <w:szCs w:val="16"/>
                <w:i w:val="1"/>
                <w:iCs w:val="1"/>
                <w:color w:val="auto"/>
                <w:w w:val="98"/>
              </w:rPr>
              <w:t>(in millions)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beginning of period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Warranty liabilities assumed as a result of acquisitions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Charges to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Utilization</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estimate related to pre-existing warranties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Warranty accrual, end of period</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right="920" w:firstLine="162"/>
        <w:spacing w:after="0" w:line="375" w:lineRule="auto"/>
        <w:rPr>
          <w:sz w:val="20"/>
          <w:szCs w:val="20"/>
          <w:color w:val="auto"/>
        </w:rPr>
      </w:pPr>
      <w:r>
        <w:rPr>
          <w:rFonts w:ascii="Arial" w:cs="Arial" w:eastAsia="Arial" w:hAnsi="Arial"/>
          <w:sz w:val="18"/>
          <w:szCs w:val="18"/>
          <w:color w:val="auto"/>
        </w:rPr>
        <w:t xml:space="preserve">The long-term portion of the warranty accrual classified in other liabilities was $107 million at July 1, 2016 and $71 million at July 3, 2015. </w:t>
      </w:r>
      <w:r>
        <w:rPr>
          <w:rFonts w:ascii="Arial" w:cs="Arial" w:eastAsia="Arial" w:hAnsi="Arial"/>
          <w:sz w:val="18"/>
          <w:szCs w:val="18"/>
          <w:i w:val="1"/>
          <w:iCs w:val="1"/>
          <w:color w:val="auto"/>
        </w:rPr>
        <w:t>Flash Ventures</w:t>
      </w:r>
    </w:p>
    <w:p>
      <w:pPr>
        <w:spacing w:after="0" w:line="1"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Company’s business ventures with Toshiba Corporation (“Toshiba”) consist of three separate legal entities: Flash Partners Ltd. (“Flash Partners”), Flash Alliance Ltd. (“Flash Alliance”) and Flash Forward Ltd (“Flash Forward” and together with Flash Partners and Flash Alliance, “Flash Ventures”). The Company has a 49.9% ownership interest and Toshiba has a 50.1% ownership interest in each of these entities. Through these ventures, the Company and Toshiba collaborate in the development and manufacture of NAND flash memory products, which are manufactured by Toshiba at its wafer fabrication facilities located in Yokkaichi, Japan, using semiconductor manufacturing equipment individually owned or leased by each Flash Ventures entity. The entities within Flash Ventures purchase wafers from Toshiba at cost and then resell those wafers to the Company and Toshiba at cost plus a markup. The Company accounts for its ownership position in each Flash Ventures entity under the equity method of accounting. The Company is committed to purchase its provided three-month forecast of Flash Ventures’ NAND wafer supply, which generally equals 50% of Flash Ventures’ output.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investments to the extent that each Flash Ventures entity’s operating cash flow is insufficient to fund these investments.</w:t>
      </w:r>
    </w:p>
    <w:p>
      <w:pPr>
        <w:spacing w:after="0" w:line="6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i w:val="1"/>
          <w:iCs w:val="1"/>
          <w:color w:val="auto"/>
        </w:rPr>
        <w:t xml:space="preserve">Flash Partners. </w:t>
      </w:r>
      <w:r>
        <w:rPr>
          <w:rFonts w:ascii="Arial" w:cs="Arial" w:eastAsia="Arial" w:hAnsi="Arial"/>
          <w:sz w:val="18"/>
          <w:szCs w:val="18"/>
          <w:color w:val="auto"/>
        </w:rPr>
        <w:t>Flash Partners was formed in 2004. NAND flash memory products provided to the Company by this venture are manufactured by</w:t>
      </w:r>
      <w:r>
        <w:rPr>
          <w:rFonts w:ascii="Arial" w:cs="Arial" w:eastAsia="Arial" w:hAnsi="Arial"/>
          <w:sz w:val="18"/>
          <w:szCs w:val="18"/>
          <w:i w:val="1"/>
          <w:iCs w:val="1"/>
          <w:color w:val="auto"/>
        </w:rPr>
        <w:t xml:space="preserve"> </w:t>
      </w:r>
      <w:r>
        <w:rPr>
          <w:rFonts w:ascii="Arial" w:cs="Arial" w:eastAsia="Arial" w:hAnsi="Arial"/>
          <w:sz w:val="18"/>
          <w:szCs w:val="18"/>
          <w:color w:val="auto"/>
        </w:rPr>
        <w:t>Toshiba primarily at its 300-millimeter wafer fabrication facility (“Fab 3”) located in Yokkaichi, Japan.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i w:val="1"/>
          <w:iCs w:val="1"/>
          <w:color w:val="auto"/>
        </w:rPr>
        <w:t xml:space="preserve">Flash Alliance. </w:t>
      </w:r>
      <w:r>
        <w:rPr>
          <w:rFonts w:ascii="Arial" w:cs="Arial" w:eastAsia="Arial" w:hAnsi="Arial"/>
          <w:sz w:val="18"/>
          <w:szCs w:val="18"/>
          <w:color w:val="auto"/>
        </w:rPr>
        <w:t>Flash Alliance was formed in 2006. NAND flash memory products provided to the Company by this venture are manufactured by</w:t>
      </w:r>
      <w:r>
        <w:rPr>
          <w:rFonts w:ascii="Arial" w:cs="Arial" w:eastAsia="Arial" w:hAnsi="Arial"/>
          <w:sz w:val="18"/>
          <w:szCs w:val="18"/>
          <w:i w:val="1"/>
          <w:iCs w:val="1"/>
          <w:color w:val="auto"/>
        </w:rPr>
        <w:t xml:space="preserve"> </w:t>
      </w:r>
      <w:r>
        <w:rPr>
          <w:rFonts w:ascii="Arial" w:cs="Arial" w:eastAsia="Arial" w:hAnsi="Arial"/>
          <w:sz w:val="18"/>
          <w:szCs w:val="18"/>
          <w:color w:val="auto"/>
        </w:rPr>
        <w:t>Toshiba primarily at its 300-millimeter wafer fabrication facility (“Fab 4”) located in Yokkaichi, Japan.</w:t>
      </w:r>
    </w:p>
    <w:p>
      <w:pPr>
        <w:spacing w:after="0" w:line="6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i w:val="1"/>
          <w:iCs w:val="1"/>
          <w:color w:val="auto"/>
        </w:rPr>
        <w:t xml:space="preserve">Flash Forward. </w:t>
      </w:r>
      <w:r>
        <w:rPr>
          <w:rFonts w:ascii="Arial" w:cs="Arial" w:eastAsia="Arial" w:hAnsi="Arial"/>
          <w:sz w:val="18"/>
          <w:szCs w:val="18"/>
          <w:color w:val="auto"/>
        </w:rPr>
        <w:t>Flash Forward was formed in 2010. NAND flash memory products provided to the Company by this venture are manufactured by</w:t>
      </w:r>
      <w:r>
        <w:rPr>
          <w:rFonts w:ascii="Arial" w:cs="Arial" w:eastAsia="Arial" w:hAnsi="Arial"/>
          <w:sz w:val="18"/>
          <w:szCs w:val="18"/>
          <w:i w:val="1"/>
          <w:iCs w:val="1"/>
          <w:color w:val="auto"/>
        </w:rPr>
        <w:t xml:space="preserve"> </w:t>
      </w:r>
      <w:r>
        <w:rPr>
          <w:rFonts w:ascii="Arial" w:cs="Arial" w:eastAsia="Arial" w:hAnsi="Arial"/>
          <w:sz w:val="18"/>
          <w:szCs w:val="18"/>
          <w:color w:val="auto"/>
        </w:rPr>
        <w:t>Toshiba primarily at its 300-millimeter wafer fabrication facility (“Fab 5”) located in Yokkaichi, Japan. Fab 5 was built in two phases of approximately equal size.</w:t>
      </w:r>
    </w:p>
    <w:p>
      <w:pPr>
        <w:spacing w:after="0" w:line="73"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i w:val="1"/>
          <w:iCs w:val="1"/>
          <w:color w:val="auto"/>
        </w:rPr>
        <w:t xml:space="preserve">New Fab 2. </w:t>
      </w:r>
      <w:r>
        <w:rPr>
          <w:rFonts w:ascii="Arial" w:cs="Arial" w:eastAsia="Arial" w:hAnsi="Arial"/>
          <w:sz w:val="18"/>
          <w:szCs w:val="18"/>
          <w:color w:val="auto"/>
        </w:rPr>
        <w:t>The Company has a facility agreement with Toshiba related to the construction and operation of Toshiba’s “New Fab 2” 300-millimeter</w:t>
      </w:r>
      <w:r>
        <w:rPr>
          <w:rFonts w:ascii="Arial" w:cs="Arial" w:eastAsia="Arial" w:hAnsi="Arial"/>
          <w:sz w:val="18"/>
          <w:szCs w:val="18"/>
          <w:i w:val="1"/>
          <w:iCs w:val="1"/>
          <w:color w:val="auto"/>
        </w:rPr>
        <w:t xml:space="preserve"> </w:t>
      </w:r>
      <w:r>
        <w:rPr>
          <w:rFonts w:ascii="Arial" w:cs="Arial" w:eastAsia="Arial" w:hAnsi="Arial"/>
          <w:sz w:val="18"/>
          <w:szCs w:val="18"/>
          <w:color w:val="auto"/>
        </w:rPr>
        <w:t>wafer fabrication facility located in Yokkaichi, Japan. New Fab 2 is primarily intended to provide additional cleanroom space to convert a portion of 2D NAND capacity to 3D NAND. Production wafers in New Fab 2 started in January 2016.</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as of July 1, 2016, the notes receivable from and equity investments in Flash Ventures assumed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July 1,</w:t>
            </w:r>
          </w:p>
        </w:tc>
      </w:tr>
      <w:tr>
        <w:trPr>
          <w:trHeight w:val="192"/>
        </w:trPr>
        <w:tc>
          <w:tcPr>
            <w:tcW w:w="9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2016</w:t>
            </w:r>
          </w:p>
        </w:tc>
      </w:tr>
      <w:tr>
        <w:trPr>
          <w:trHeight w:val="223"/>
        </w:trPr>
        <w:tc>
          <w:tcPr>
            <w:tcW w:w="9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right="194"/>
              <w:spacing w:after="0"/>
              <w:rPr>
                <w:sz w:val="20"/>
                <w:szCs w:val="20"/>
                <w:color w:val="auto"/>
              </w:rPr>
            </w:pPr>
            <w:r>
              <w:rPr>
                <w:rFonts w:ascii="Arial" w:cs="Arial" w:eastAsia="Arial" w:hAnsi="Arial"/>
                <w:sz w:val="16"/>
                <w:szCs w:val="16"/>
                <w:i w:val="1"/>
                <w:iCs w:val="1"/>
                <w:color w:val="auto"/>
                <w:w w:val="96"/>
              </w:rPr>
              <w:t>(in millions)</w:t>
            </w:r>
          </w:p>
        </w:tc>
      </w:tr>
      <w:tr>
        <w:trPr>
          <w:trHeight w:val="33"/>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 Flash Partners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Notes receivable, Flash Alliance</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235</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 Flash Forward</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Investment in Flash Partners</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202</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Flash Alliance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Investment in Flash Forward</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100</w:t>
            </w:r>
          </w:p>
        </w:tc>
      </w:tr>
      <w:tr>
        <w:trPr>
          <w:trHeight w:val="27"/>
        </w:trPr>
        <w:tc>
          <w:tcPr>
            <w:tcW w:w="9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notes receivable and investments in Flash Ventures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1,171</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4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assesses financing receivable credit quality through financial and operational reviews of the borrower and creditworthiness, including credit rating agency ratings, of significant investors of the borrower, where material or known. Impairments, when required for credit worthiness, are recorded in other income (expense).</w:t>
      </w:r>
    </w:p>
    <w:p>
      <w:pPr>
        <w:spacing w:after="0" w:line="7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6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Activities. </w:t>
      </w:r>
      <w:r>
        <w:rPr>
          <w:rFonts w:ascii="Arial" w:cs="Arial" w:eastAsia="Arial" w:hAnsi="Arial"/>
          <w:sz w:val="18"/>
          <w:szCs w:val="18"/>
          <w:color w:val="auto"/>
        </w:rPr>
        <w:t>The Company participates in common R&amp;D activities with Toshiba and is contractually committed to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level. R&amp;D commitments are immaterial to the consolidated financial statements.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Off-Balance Sheet Liabilities</w:t>
      </w:r>
    </w:p>
    <w:p>
      <w:pPr>
        <w:spacing w:after="0" w:line="11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Flash Ventures sells and leases back from a consortium of financial institutions (“lessors”) a portion of its tools and has entered into equipment lease agreements of which the Company guarantees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6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exchange rate at July 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1594"/>
              <w:spacing w:after="0"/>
              <w:rPr>
                <w:sz w:val="20"/>
                <w:szCs w:val="20"/>
                <w:color w:val="auto"/>
              </w:rPr>
            </w:pPr>
            <w:r>
              <w:rPr>
                <w:rFonts w:ascii="Arial" w:cs="Arial" w:eastAsia="Arial" w:hAnsi="Arial"/>
                <w:sz w:val="14"/>
                <w:szCs w:val="14"/>
                <w:b w:val="1"/>
                <w:bCs w:val="1"/>
                <w:color w:val="auto"/>
              </w:rPr>
              <w:t>Lease Amounts</w:t>
            </w:r>
          </w:p>
        </w:tc>
      </w:tr>
      <w:tr>
        <w:trPr>
          <w:trHeight w:val="237"/>
        </w:trPr>
        <w:tc>
          <w:tcPr>
            <w:tcW w:w="38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jc w:val="right"/>
              <w:ind w:right="159"/>
              <w:spacing w:after="0"/>
              <w:rPr>
                <w:sz w:val="20"/>
                <w:szCs w:val="20"/>
                <w:color w:val="auto"/>
              </w:rPr>
            </w:pPr>
            <w:r>
              <w:rPr>
                <w:rFonts w:ascii="Arial" w:cs="Arial" w:eastAsia="Arial" w:hAnsi="Arial"/>
                <w:sz w:val="16"/>
                <w:szCs w:val="16"/>
                <w:i w:val="1"/>
                <w:iCs w:val="1"/>
                <w:color w:val="auto"/>
                <w:w w:val="95"/>
              </w:rPr>
              <w:t>(Japanese yen, in billions)</w:t>
            </w:r>
          </w:p>
        </w:tc>
        <w:tc>
          <w:tcPr>
            <w:tcW w:w="260" w:type="dxa"/>
            <w:vAlign w:val="bottom"/>
          </w:tcPr>
          <w:p>
            <w:pPr>
              <w:spacing w:after="0"/>
              <w:rPr>
                <w:sz w:val="20"/>
                <w:szCs w:val="20"/>
                <w:color w:val="auto"/>
              </w:rPr>
            </w:pPr>
          </w:p>
        </w:tc>
        <w:tc>
          <w:tcPr>
            <w:tcW w:w="1880" w:type="dxa"/>
            <w:vAlign w:val="bottom"/>
          </w:tcPr>
          <w:p>
            <w:pPr>
              <w:jc w:val="right"/>
              <w:ind w:right="154"/>
              <w:spacing w:after="0"/>
              <w:rPr>
                <w:sz w:val="20"/>
                <w:szCs w:val="20"/>
                <w:color w:val="auto"/>
              </w:rPr>
            </w:pPr>
            <w:r>
              <w:rPr>
                <w:rFonts w:ascii="Arial" w:cs="Arial" w:eastAsia="Arial" w:hAnsi="Arial"/>
                <w:sz w:val="16"/>
                <w:szCs w:val="16"/>
                <w:i w:val="1"/>
                <w:iCs w:val="1"/>
                <w:color w:val="auto"/>
                <w:w w:val="98"/>
              </w:rPr>
              <w:t>(U.S. dollar, in millions)</w:t>
            </w:r>
          </w:p>
        </w:tc>
      </w:tr>
      <w:tr>
        <w:trPr>
          <w:trHeight w:val="33"/>
        </w:trPr>
        <w:tc>
          <w:tcPr>
            <w:tcW w:w="38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guarantee obligations</w:t>
            </w:r>
          </w:p>
        </w:tc>
        <w:tc>
          <w:tcPr>
            <w:tcW w:w="3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w:t>
            </w:r>
          </w:p>
        </w:tc>
      </w:tr>
      <w:tr>
        <w:trPr>
          <w:trHeight w:val="459"/>
        </w:trPr>
        <w:tc>
          <w:tcPr>
            <w:tcW w:w="3800" w:type="dxa"/>
            <w:vAlign w:val="bottom"/>
          </w:tcPr>
          <w:p>
            <w:pPr>
              <w:spacing w:after="0"/>
              <w:rPr>
                <w:sz w:val="24"/>
                <w:szCs w:val="24"/>
                <w:color w:val="auto"/>
              </w:rPr>
            </w:pPr>
          </w:p>
        </w:tc>
        <w:tc>
          <w:tcPr>
            <w:tcW w:w="3300" w:type="dxa"/>
            <w:vAlign w:val="bottom"/>
          </w:tcPr>
          <w:p>
            <w:pPr>
              <w:jc w:val="right"/>
              <w:ind w:right="121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lease agreements, in annual installments as of July 1, 2016 in U.S. dollars based upon the Japanese yen to U.S. dollar exchange rate at July 1, 2016: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Annual Installments</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Payment of Principal</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Purchase Option Exercise Price at</w:t>
            </w:r>
          </w:p>
        </w:tc>
        <w:tc>
          <w:tcPr>
            <w:tcW w:w="300" w:type="dxa"/>
            <w:vAlign w:val="bottom"/>
          </w:tcPr>
          <w:p>
            <w:pPr>
              <w:spacing w:after="0"/>
              <w:rPr>
                <w:sz w:val="14"/>
                <w:szCs w:val="14"/>
                <w:color w:val="auto"/>
              </w:rPr>
            </w:pPr>
          </w:p>
        </w:tc>
        <w:tc>
          <w:tcPr>
            <w:tcW w:w="18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Guarantee Amount</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1780" w:type="dxa"/>
            <w:vAlign w:val="bottom"/>
          </w:tcPr>
          <w:p>
            <w:pPr>
              <w:jc w:val="right"/>
              <w:ind w:right="199"/>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Final Lease Terms</w:t>
            </w:r>
          </w:p>
        </w:tc>
        <w:tc>
          <w:tcPr>
            <w:tcW w:w="30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i w:val="1"/>
                <w:iCs w:val="1"/>
                <w:color w:val="auto"/>
                <w:w w:val="98"/>
              </w:rPr>
              <w:t>(in millions)</w:t>
            </w: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1</w:t>
            </w:r>
          </w:p>
        </w:tc>
        <w:tc>
          <w:tcPr>
            <w:tcW w:w="1780" w:type="dxa"/>
            <w:vAlign w:val="bottom"/>
            <w:tcBorders>
              <w:bottom w:val="single" w:sz="8" w:color="CCEEFF"/>
            </w:tcBorders>
            <w:shd w:val="clear" w:color="auto" w:fill="CCEEFF"/>
          </w:tcPr>
          <w:p>
            <w:pPr>
              <w:jc w:val="right"/>
              <w:ind w:right="15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Year 2</w:t>
            </w:r>
          </w:p>
        </w:tc>
        <w:tc>
          <w:tcPr>
            <w:tcW w:w="17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3</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Year 4</w:t>
            </w:r>
          </w:p>
        </w:tc>
        <w:tc>
          <w:tcPr>
            <w:tcW w:w="17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5</w:t>
            </w:r>
          </w:p>
        </w:tc>
        <w:tc>
          <w:tcPr>
            <w:tcW w:w="1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guarantee obligations</w:t>
            </w:r>
          </w:p>
        </w:tc>
        <w:tc>
          <w:tcPr>
            <w:tcW w:w="1780" w:type="dxa"/>
            <w:vAlign w:val="bottom"/>
            <w:tcBorders>
              <w:top w:val="single" w:sz="8" w:color="auto"/>
              <w:bottom w:val="single" w:sz="8" w:color="auto"/>
            </w:tcBorders>
          </w:tcPr>
          <w:p>
            <w:pPr>
              <w:jc w:val="right"/>
              <w:ind w:right="157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861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and Toshiba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July 1, 2016, no amounts have been accrued in the consolidated financial statements with respect to these indemnification guarantees.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Purchase Agreements</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has entered into long-term purchase agreements with various component suppliers. The commitments depend on specific products ordered and may be subject to minimum quality requirements and future price negotiations. The Company expects these commitments to total $15 million for 2017, $7 million for 2018, $1 million for 2019 and no remaining commitments for 2020.</w:t>
      </w:r>
    </w:p>
    <w:p>
      <w:pPr>
        <w:spacing w:after="0" w:line="7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Company also has contracts with its other sources of silicon wafers that generally require the Company to provide monthly purchase order commitments. The purchase orders placed under these arrangements are generally binding and cannot be canceled. In addition, the Company’s subcontractors periodically procure production materials based on the forecast the Company provides to them. The Company’s agreements with these subcontractors require that the Company reimburse them for materials that are purchased on the Company’s behalf in accordance with such forecast. Accordingly, the Company may be committed to certain costs over and above its open noncancelable purchase orders with these subcontractors.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Parties</w:t>
      </w:r>
    </w:p>
    <w:p>
      <w:pPr>
        <w:spacing w:after="0" w:line="121"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Company owns 49.9% of each entity within Flash Ventures and accounts for its ownership position under the equity method of accounting. The Company’s obligations with respect to Flash Ventures’ master lease agreements, take-or-pay supply arrangements and R&amp;D cost sharing are described in Note 4 to the consolidated financial statements.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pacing w:after="0" w:line="7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From the SanDisk Closing Date through the Company’s year-end, the Company purchased NAND flash memory wafers from Flash Ventures and made prepayments and loans to Flash Ventures totaling $387 million and received loan repayments from Flash Ventures of $16 million. At July 1, 2016, the Company had accounts payable balances due to Flash Ventures of $168 million.</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Company’s maximum reasonably estimable loss exposure (excluding lost profits), based upon the exchange rate at July 1, 2016, as a result of its involvement with Flash Ventures, is presented below. Flash Ventures’ investments are denominated in Japanese yen and the maximum possible loss exposure excludes any cumulative translation adjustment due to revaluation from the Japanese yen to the U.S. dollar.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July 1,</w:t>
            </w:r>
          </w:p>
        </w:tc>
      </w:tr>
      <w:tr>
        <w:trPr>
          <w:trHeight w:val="192"/>
        </w:trPr>
        <w:tc>
          <w:tcPr>
            <w:tcW w:w="9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2016</w:t>
            </w:r>
          </w:p>
        </w:tc>
      </w:tr>
      <w:tr>
        <w:trPr>
          <w:trHeight w:val="223"/>
        </w:trPr>
        <w:tc>
          <w:tcPr>
            <w:tcW w:w="9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right="216"/>
              <w:spacing w:after="0"/>
              <w:rPr>
                <w:sz w:val="20"/>
                <w:szCs w:val="20"/>
                <w:color w:val="auto"/>
              </w:rPr>
            </w:pPr>
            <w:r>
              <w:rPr>
                <w:rFonts w:ascii="Arial" w:cs="Arial" w:eastAsia="Arial" w:hAnsi="Arial"/>
                <w:sz w:val="16"/>
                <w:szCs w:val="16"/>
                <w:i w:val="1"/>
                <w:iCs w:val="1"/>
                <w:color w:val="auto"/>
                <w:w w:val="98"/>
              </w:rPr>
              <w:t>(in millions)</w:t>
            </w:r>
          </w:p>
        </w:tc>
      </w:tr>
      <w:tr>
        <w:trPr>
          <w:trHeight w:val="33"/>
        </w:trPr>
        <w:tc>
          <w:tcPr>
            <w:tcW w:w="9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563</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608</w:t>
            </w:r>
          </w:p>
        </w:tc>
      </w:tr>
      <w:tr>
        <w:trPr>
          <w:trHeight w:val="27"/>
        </w:trPr>
        <w:tc>
          <w:tcPr>
            <w:tcW w:w="9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guarantees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1,151</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Prepayments</w:t>
            </w:r>
          </w:p>
        </w:tc>
        <w:tc>
          <w:tcPr>
            <w:tcW w:w="2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34</w:t>
            </w:r>
          </w:p>
        </w:tc>
      </w:tr>
      <w:tr>
        <w:trPr>
          <w:trHeight w:val="27"/>
        </w:trPr>
        <w:tc>
          <w:tcPr>
            <w:tcW w:w="9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9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Maximum estimable loss exposure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2,356</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July 1, 2016, the Company’s retained earnings included undistributed earnings of Flash Ventures of $2 million.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w:t>
      </w:r>
    </w:p>
    <w:p>
      <w:pPr>
        <w:spacing w:after="0" w:line="121" w:lineRule="exact"/>
        <w:rPr>
          <w:sz w:val="20"/>
          <w:szCs w:val="20"/>
          <w:color w:val="auto"/>
        </w:rPr>
      </w:pPr>
    </w:p>
    <w:p>
      <w:pPr>
        <w:ind w:right="260" w:firstLine="392"/>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80"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Solely for purposes of this note, “WD” refers to Western Digital Corporation or one or more of its subsidiaries excluding HGST prior to the closing of the Company’s acquisition of HGST on March 8, 2012 (the “HGST Closing Date”) and SanDisk prior to May 12, 2016 (the “SanDisk Closing Date”). HGST refers to Hitachi Global Storage Technologies Holdings Pte. Ltd. or one or more of its subsidiaries as of the HGST Closing Date, and SanDisk refers to SanDisk Corporation or one or more of its subsidiaries as of the SanDisk Closing Date and “the Company” refers to Western Digital Corporation and all of its subsidiaries on a consolidated basis including HGST and SanDisk.</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Intellectual Property Litigation</w:t>
      </w:r>
    </w:p>
    <w:p>
      <w:pPr>
        <w:spacing w:after="0" w:line="117"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In June 2008, Convolve, Inc. (“Convolve”) filed a complaint in the Eastern District of Texas against WD, HGST, and two other companies alleging infringement of U.S. Patent Nos. 6,314,473 and 4,916,635. The complaint sought unspecified monetary damages and injunctive relief. In October 2008, Convolve amended its complaint to allege infringement of only the ‘473 patent. The ‘473 patent allegedly relates to interface technology to select between certain modes of a disk drive’s operations relating to speed and noise. In July 2011, a verdict was rendered against WD and HGST in an amount that is not material to the Company’s financial position, results of operations or cash flows, for which the Company previously recorded an accrual. In March 2015, WD and HGST filed Notices of Appeal with the United States District Court for the Federal Circuit (“Federal Circuit”). In April 2015, Convolve filed a motion for reconsideration of the final judgment, and in May 2015, the Federal Circuit deactivated the appeal pending the Court’s decision on reconsideration. WD and HGST intend to continue to defend themselves vigorously in this matter.</w:t>
      </w:r>
    </w:p>
    <w:p>
      <w:pPr>
        <w:spacing w:after="0" w:line="71" w:lineRule="exact"/>
        <w:rPr>
          <w:sz w:val="20"/>
          <w:szCs w:val="20"/>
          <w:color w:val="auto"/>
        </w:rPr>
      </w:pPr>
    </w:p>
    <w:p>
      <w:pPr>
        <w:jc w:val="both"/>
        <w:ind w:right="180" w:firstLine="392"/>
        <w:spacing w:after="0" w:line="259" w:lineRule="auto"/>
        <w:rPr>
          <w:sz w:val="20"/>
          <w:szCs w:val="20"/>
          <w:color w:val="auto"/>
        </w:rPr>
      </w:pPr>
      <w:r>
        <w:rPr>
          <w:rFonts w:ascii="Arial" w:cs="Arial" w:eastAsia="Arial" w:hAnsi="Arial"/>
          <w:sz w:val="18"/>
          <w:szCs w:val="18"/>
          <w:color w:val="auto"/>
        </w:rPr>
        <w:t>In May 2016, Lambeth Magnetic Structures, LLC (“Lambeth”) filed a complaint in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Antitrust</w:t>
      </w:r>
    </w:p>
    <w:p>
      <w:pPr>
        <w:spacing w:after="0" w:line="117"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 xml:space="preserve">On June 25, 2010, Ritz Camera &amp; Image, LLC (“Ritz”) filed a complaint captioned </w:t>
      </w:r>
      <w:r>
        <w:rPr>
          <w:rFonts w:ascii="Arial" w:cs="Arial" w:eastAsia="Arial" w:hAnsi="Arial"/>
          <w:sz w:val="16"/>
          <w:szCs w:val="16"/>
          <w:i w:val="1"/>
          <w:iCs w:val="1"/>
          <w:color w:val="auto"/>
        </w:rPr>
        <w:t>Ritz Camera &amp; Image, LLC v. SanDisk Corporation, Inc.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Eliyahou Harari </w:t>
      </w:r>
      <w:r>
        <w:rPr>
          <w:rFonts w:ascii="Arial" w:cs="Arial" w:eastAsia="Arial" w:hAnsi="Arial"/>
          <w:sz w:val="16"/>
          <w:szCs w:val="16"/>
          <w:color w:val="auto"/>
        </w:rPr>
        <w:t>in the U.S. District Court for the Northern District of California, alleging that SanDisk violated federal antitrust laws by conspiring to</w:t>
      </w:r>
      <w:r>
        <w:rPr>
          <w:rFonts w:ascii="Arial" w:cs="Arial" w:eastAsia="Arial" w:hAnsi="Arial"/>
          <w:sz w:val="16"/>
          <w:szCs w:val="16"/>
          <w:i w:val="1"/>
          <w:iCs w:val="1"/>
          <w:color w:val="auto"/>
        </w:rPr>
        <w:t xml:space="preserve"> </w:t>
      </w:r>
      <w:r>
        <w:rPr>
          <w:rFonts w:ascii="Arial" w:cs="Arial" w:eastAsia="Arial" w:hAnsi="Arial"/>
          <w:sz w:val="16"/>
          <w:szCs w:val="16"/>
          <w:color w:val="auto"/>
        </w:rPr>
        <w:t>monopolize and monopolizing the market for flash memory products. The lawsuit purports to be on behalf of direct purchasers of flash memory products sold by SanDisk and SanDisk-controlled joint ventures from June 25, 2006 through the present. The complaint alleged that SanDisk created and maintained a monopoly by fraudulently obtaining patents and using them to restrain competition and by allegedly converting other patents for its competitive use. The complaint sought damages, injunctive relief, and fees and costs. On February 24, 2011, the District Court granted in part SanDisk’s motion to dismiss, which resulted in Dr. Harari being dismissed as a defendant. Between 2013 and 2014, the District Court granted Ritz’s motion to substitute in as named plaintiff Albert Giuliano, the Chapter 7 Trustee of the Ritz bankruptcy estate, and the Trustee’s motions to add as named plaintiffs CPM Electronics Inc., E.S.E. Electronics, Inc. and Mflash, Inc. On May 14, 2015, the District Court granted in part plaintiffs’ motion for class certification. On April 29, 2016, the court granted SanDisk’s motion for summary judgment and entered judgment in SanDisk's favor as to all of the plaintiffs’ claims. On May 31, 2016, the plaintiffs filed a notice of appeal to the U.S. Court of Appeals for the Federal Circuit. The appeal is currently pending.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firstLine="392"/>
        <w:spacing w:after="0" w:line="217" w:lineRule="exact"/>
        <w:rPr>
          <w:sz w:val="20"/>
          <w:szCs w:val="20"/>
          <w:color w:val="auto"/>
        </w:rPr>
      </w:pPr>
      <w:r>
        <w:rPr>
          <w:rFonts w:ascii="Arial" w:cs="Arial" w:eastAsia="Arial" w:hAnsi="Arial"/>
          <w:sz w:val="17"/>
          <w:szCs w:val="17"/>
          <w:color w:val="auto"/>
        </w:rPr>
        <w:t>On July 15, 2010, Samsung Electronics Co., Ltd. (“Samsung”) filed an action against Panasonic and SD-3D LLC (“SD-3C”) in the U.S. District Court for the Northern District of California, alleging that defendants violated federal antitrust laws and California antitrust and unfair competition laws relating to the licensing practices and operations of SD-3C. The complaint seeks damages, restitution, injunctive and declaratory relief, and fees and costs. SanDisk is not a defendant in this case, but it established SD</w:t>
      </w:r>
      <w:r>
        <w:rPr>
          <w:rFonts w:ascii="MS PGothic" w:cs="MS PGothic" w:eastAsia="MS PGothic" w:hAnsi="MS PGothic"/>
          <w:sz w:val="17"/>
          <w:szCs w:val="17"/>
          <w:color w:val="auto"/>
        </w:rPr>
        <w:t>‑</w:t>
      </w:r>
      <w:r>
        <w:rPr>
          <w:rFonts w:ascii="Arial" w:cs="Arial" w:eastAsia="Arial" w:hAnsi="Arial"/>
          <w:sz w:val="17"/>
          <w:szCs w:val="17"/>
          <w:color w:val="auto"/>
        </w:rPr>
        <w:t>3C along with Panasonic and Toshiba, and the complaint includes various factual allegations concerning SanDisk. As a member of SD</w:t>
      </w:r>
      <w:r>
        <w:rPr>
          <w:rFonts w:ascii="MS PGothic" w:cs="MS PGothic" w:eastAsia="MS PGothic" w:hAnsi="MS PGothic"/>
          <w:sz w:val="17"/>
          <w:szCs w:val="17"/>
          <w:color w:val="auto"/>
        </w:rPr>
        <w:t>‑</w:t>
      </w:r>
      <w:r>
        <w:rPr>
          <w:rFonts w:ascii="Arial" w:cs="Arial" w:eastAsia="Arial" w:hAnsi="Arial"/>
          <w:sz w:val="17"/>
          <w:szCs w:val="17"/>
          <w:color w:val="auto"/>
        </w:rPr>
        <w:t>3C, SanDisk could be responsible for a portion of any monetary award. Other requested relief, if granted, could result in a loss of revenue to SanDisk. On August 25, 2011, the District Court granted the defendants’ motion to dismiss, dismissing Samsung’s patent misuse claim with prejudice and all other claims with leave to amend. Samsung filed an amended complaint on September 16, 2011. On January 3, 2012, the District Court granted the defendants’ motion to dismiss Samsung’s amended complaint without leave to amend. Samsung appealed. On April 4, 2014, the U.S. Court of Appeals for the Ninth Circuit reversed the District Court’s dismissal and remanded the case to the District Court for further proceedings. Samsung filed a third amended complaint on January 20, 2015. On September 30, 2015, the District Court granted in part the defendants’ motion to dismiss with leave to amend. On October 21, 2015, Samsung filed a fourth amended complaint. On November 4, 2015, the defendants filed a motion to dismiss, which is currently under submission. Discovery is presently stayed until after completion of the pleading stage.</w:t>
      </w:r>
    </w:p>
    <w:p>
      <w:pPr>
        <w:spacing w:after="0" w:line="101" w:lineRule="exact"/>
        <w:rPr>
          <w:sz w:val="20"/>
          <w:szCs w:val="20"/>
          <w:color w:val="auto"/>
        </w:rPr>
      </w:pPr>
    </w:p>
    <w:p>
      <w:pPr>
        <w:ind w:right="40" w:firstLine="324"/>
        <w:spacing w:after="0" w:line="217" w:lineRule="exact"/>
        <w:rPr>
          <w:sz w:val="20"/>
          <w:szCs w:val="20"/>
          <w:color w:val="auto"/>
        </w:rPr>
      </w:pPr>
      <w:r>
        <w:rPr>
          <w:rFonts w:ascii="Arial" w:cs="Arial" w:eastAsia="Arial" w:hAnsi="Arial"/>
          <w:sz w:val="17"/>
          <w:szCs w:val="17"/>
          <w:color w:val="auto"/>
        </w:rPr>
        <w:t>On March 15, 2011, a complaint was filed against SanDisk, SD</w:t>
      </w:r>
      <w:r>
        <w:rPr>
          <w:rFonts w:ascii="MS PGothic" w:cs="MS PGothic" w:eastAsia="MS PGothic" w:hAnsi="MS PGothic"/>
          <w:sz w:val="17"/>
          <w:szCs w:val="17"/>
          <w:color w:val="auto"/>
        </w:rPr>
        <w:t>‑</w:t>
      </w:r>
      <w:r>
        <w:rPr>
          <w:rFonts w:ascii="Arial" w:cs="Arial" w:eastAsia="Arial" w:hAnsi="Arial"/>
          <w:sz w:val="17"/>
          <w:szCs w:val="17"/>
          <w:color w:val="auto"/>
        </w:rPr>
        <w:t xml:space="preserve">3C, Panasonic Corporation, Panasonic Corporation of North America, Toshiba and Toshiba America Electronic Components, Inc. in the U.S. District Court for the Northern District of California. The lawsuit purports to be on behalf of a nationwide class of indirect purchasers of Secure Digital (“SD”) cards. The complaint asserts claims under federal antitrust laws and California antitrust and unfair competition laws, as well as common law claims. The complaint seeks damages, restitution, injunctive relief, and fees and costs. The plaintiffs allege that the defendants conspired to artificially inflate the royalty costs associated with manufacturing SD™ cards, which in turn allegedly caused the plaintiffs to pay higher prices for SD cards. The allegations are similar to and incorporate allegations in </w:t>
      </w:r>
      <w:r>
        <w:rPr>
          <w:rFonts w:ascii="Arial" w:cs="Arial" w:eastAsia="Arial" w:hAnsi="Arial"/>
          <w:sz w:val="17"/>
          <w:szCs w:val="17"/>
          <w:i w:val="1"/>
          <w:iCs w:val="1"/>
          <w:color w:val="auto"/>
        </w:rPr>
        <w:t>Samsung Electronics Co., Ltd. v. Panasonic Corp., et al.</w:t>
      </w:r>
      <w:r>
        <w:rPr>
          <w:rFonts w:ascii="Arial" w:cs="Arial" w:eastAsia="Arial" w:hAnsi="Arial"/>
          <w:sz w:val="17"/>
          <w:szCs w:val="17"/>
          <w:color w:val="auto"/>
        </w:rPr>
        <w:t>, described above. On May 21, 2012, the District Court granted the defendants’ motion to dismiss the complaint with prejudice. The plaintiffs appealed. On May 14, 2014, the U.S. Court of Appeals for the Ninth Circuit reversed the District Court’s dismissal and remanded the case to the District Court for further proceedings. On February 3, 2015, the plaintiffs filed a second amended complaint in the District Court. On September 30, 2015, the District Court granted the defendants’ motion to dismiss with leave to amend. On November 4, 2015, the plaintiffs filed a third amended complaint. On November 25, 2015, the defendants filed a motion to dismiss, which is currently pending. Discovery is presently stayed until after completion of the pleading stage. The Company intends to defend itself vigorously in this matter.</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Securities</w:t>
      </w:r>
    </w:p>
    <w:p>
      <w:pPr>
        <w:spacing w:after="0" w:line="117" w:lineRule="exact"/>
        <w:rPr>
          <w:sz w:val="20"/>
          <w:szCs w:val="20"/>
          <w:color w:val="auto"/>
        </w:rPr>
      </w:pPr>
    </w:p>
    <w:p>
      <w:pPr>
        <w:ind w:right="100" w:firstLine="392"/>
        <w:spacing w:after="0" w:line="286" w:lineRule="auto"/>
        <w:rPr>
          <w:sz w:val="20"/>
          <w:szCs w:val="20"/>
          <w:color w:val="auto"/>
        </w:rPr>
      </w:pPr>
      <w:r>
        <w:rPr>
          <w:rFonts w:ascii="Arial" w:cs="Arial" w:eastAsia="Arial" w:hAnsi="Arial"/>
          <w:sz w:val="16"/>
          <w:szCs w:val="16"/>
          <w:color w:val="auto"/>
        </w:rPr>
        <w:t>Beginning on March 30, 2015, SanDisk and two officers, Sanjay Mehrotra and Judy Bruner, were named in three putative class action lawsuits filed in the United States District Court for the Northern District of. Two complaints are allegedly brought on behalf of a class of purchasers of SanDisk’s securities between October 16, 2014 and March 25, 2015, and one is brought on behalf of a purported class of purchasers of SanDisk’s securities between April 16, 2014 and April 15, 2015. The complaints generally allege violations of federal securities laws arising out of alleged misstatements or omissions by the defendants during the alleged class periods. The complaints seek, among other things, damages and fees and costs. On July 9, 2015, the Court consolidated the cases and appointed Union Asset Management Holding AG and KBC Asset Management NV as lead plaintiffs. The lead plaintiffs filed an amended complaint in August 2015. On January 22, 2016, the court granted the defendants’ motion to dismiss and dismissed the amended complaint with leave to amend. On February 22, 2016, the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On March 23, 2016, the Institutional Investor Group filed an amended complaint. The defendants filed a motion to dismiss on April 29, 2016. On June 24, 2016, the court granted the motion and dismissed the amended complaint with leave to amend. On July 15, 2016, the Institutional Investor Group filed a further amended complaint. The Company filed a motion to dismiss on August 19, 2016. The Company intends to defend itself vigorously in this matter.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firstLine="392"/>
        <w:spacing w:after="0" w:line="269" w:lineRule="auto"/>
        <w:rPr>
          <w:sz w:val="20"/>
          <w:szCs w:val="20"/>
          <w:color w:val="auto"/>
        </w:rPr>
      </w:pPr>
      <w:r>
        <w:rPr>
          <w:rFonts w:ascii="Arial" w:cs="Arial" w:eastAsia="Arial" w:hAnsi="Arial"/>
          <w:sz w:val="17"/>
          <w:szCs w:val="17"/>
          <w:color w:val="auto"/>
        </w:rPr>
        <w:t>In December 2011, the German Central Organization for Private Copying Rights (Zentralstelle für private Überspielungsrechte) (“ZPÜ”), an organization consisting of several copyright collecting societies, instituted arbitration proceedings against WD’s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court to determine the copyright levy issue. On May 21, 2013, ZPÜ filed a counter-claim against WD Germany with the Higher Court, seeking copyright levies for multimedia hard drives, external hard drives and network hard drives sold or introduced into commerce from January 2008 through December 2010 based on tariffs published by ZPÜ on November 3, 2011. In January 2015, the Higher Court ruled in favor of ZPÜ. In its ruling, the Higher Court declared that WD Germany must pay certain levies on certain products which it sold in Germany between January 2008 and December 2010. The judgment specifies levy amounts on certain products sold from January 2008 through December 2010 and directs WD Germany to provide applicable sales data to ZPÜ. The exact amount of the judgment has not been determined. ZPÜ and WD Germany filed appeals with the German Federal Court of Justice in February 2015. The Company intends to defend itself vigorously in this matter.</w:t>
      </w:r>
    </w:p>
    <w:p>
      <w:pPr>
        <w:spacing w:after="0" w:line="72"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 The Company intends to defend itself vigorously in this matter.</w:t>
      </w:r>
    </w:p>
    <w:p>
      <w:pPr>
        <w:spacing w:after="0" w:line="73"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The Company has recorded an accrual for German copyright levies in an amount that is not material to the Company’s financial position, results of operations or cash flows. It is reasonably possible that the Company may incur losses totaling up to $123 million, including the amounts accrued.</w:t>
      </w:r>
    </w:p>
    <w:p>
      <w:pPr>
        <w:spacing w:after="0" w:line="1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Segment, Geographic Information and Concentration of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The Company historically was organized into two operating segments that have been aggregated into one reportable operating segment, the hard drive business. In October 2015, the Company received a decision from the Ministry of Commerce of the People’s Republic of China which enables it to integrate substantial portions of its HGST and WD subsidiaries. In May 2016, the Company completed its acquisition of SanDisk. With the integration and acquisition, the Company is going through a transformation into a storage solutions company with global scale, extensive product and technology assets and expertise in non-volatile memory within the data storage industry. As part of the transformation, the Company introduced a new operating model during the fourth quarter of 2016 that incorporates the HGST, WD and SanDisk businesses. As of fiscal year-end, the Company remained in a transition period from the existing operating model to the new operating model such that discrete information was not yet available that aligns with the revised management structure under the new operating model. Therefore as of July 1, 2016, the Company concluded that it has one reportable segment. The Company will continue to assess its operating segments and reportable segments under the new operating model in future periods once transition is complete.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Company’s operations outside the United States include manufacturing facilities in China, Japan, Malaysia, the Philippines and Thailand, as well as sales offices throughout the Americas, Asia Pacific, Europe and the Middle East. The following tables summarize the Company’s operations by geographic area:</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revenue</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i w:val="1"/>
                <w:iCs w:val="1"/>
                <w:color w:val="auto"/>
                <w:w w:val="98"/>
              </w:rPr>
              <w:t>(in millions)</w:t>
            </w: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China</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12,994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15,130</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Long-lived assets</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July 1,</w:t>
            </w:r>
          </w:p>
        </w:tc>
        <w:tc>
          <w:tcPr>
            <w:tcW w:w="440" w:type="dxa"/>
            <w:vAlign w:val="bottom"/>
          </w:tcPr>
          <w:p>
            <w:pPr>
              <w:spacing w:after="0"/>
              <w:rPr>
                <w:sz w:val="12"/>
                <w:szCs w:val="12"/>
                <w:color w:val="auto"/>
              </w:rPr>
            </w:pPr>
          </w:p>
        </w:tc>
        <w:tc>
          <w:tcPr>
            <w:tcW w:w="1040" w:type="dxa"/>
            <w:vAlign w:val="bottom"/>
          </w:tcPr>
          <w:p>
            <w:pPr>
              <w:jc w:val="right"/>
              <w:ind w:right="474"/>
              <w:spacing w:after="0" w:line="149" w:lineRule="exact"/>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millions)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China</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right="80" w:hanging="332"/>
        <w:spacing w:after="0" w:line="216"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Net revenue is attributed to geographic regions based on the ship-to location of the customer. License and royalty revenue is attributed to countries based upon the location of the headquarters of the licensee.</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Long-lived assets are attributed to the geographic location in which they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10204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Concentration and Credit Risk</w:t>
      </w:r>
    </w:p>
    <w:p>
      <w:pPr>
        <w:spacing w:after="0" w:line="117"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The Company sells its products to computer manufacturers, resellers and retailers throughout the world. For 2016, no single customer accounted for 10% or more of the Company’s net revenue. For both 2015 and 2014, Hewlett-Packard Company accounted for 11% of the Company’s net revenue. Sales to the Company’s top ten customers accounted for 43%, 44% and 44% of the Company’s net revenue for 2016, 2015 and 2014,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At July 1, 2016, no single customer accounted for 10% or more of the Company’s net accounts receivable. As of July 3, 2015, the Company had two customers that accounted for 30% of the Company’s net accounts receivable. At July 1, 2016 and July 3, 2015, the Company had reserves for potential credit losses of $10 million and $7 million, respectively, and net accounts receivable of $1.5 billion and $1.5 billion, respectively.</w:t>
      </w:r>
    </w:p>
    <w:p>
      <w:pPr>
        <w:spacing w:after="0" w:line="70"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Supplier Concentration</w:t>
      </w:r>
    </w:p>
    <w:p>
      <w:pPr>
        <w:spacing w:after="0" w:line="11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All of the Company’s flash memory system products require silicon wafers for the memory and controller components. The Company’s memory wafers are currently supplied almost entirely from Flash Ventures and the controller wafers are all manufactured by third-party sources. The failure of any of these sources to deliver silicon wafers could have a material adverse effect on the Company’s business, financial condition and results of operations.</w:t>
      </w:r>
    </w:p>
    <w:p>
      <w:pPr>
        <w:spacing w:after="0" w:line="39"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In addition, some key components are purchased from single 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upon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Western Digital Corporation 401(k) Plan</w:t>
      </w:r>
    </w:p>
    <w:p>
      <w:pPr>
        <w:spacing w:after="0" w:line="12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adopted the Western Digital Corporation 401(k) Plan (the “Plan”). The Plan covers substantially all domestic employees, subject to certain eligibility requirements. The Company makes a basic matching contribution on behalf of each participating eligible employee equal to fifty percent (50%) of the eligible participant’s combined pre-tax contributions and deferrals for the contribution cycle, not to exceed 5% of the eligible participant’s compensation; provided, however, that each eligible participant shall receive a minimum annual basic matching contribution equal to fifty percent (50%) of the first $4,000 of combined pre-tax contributions and deferrals for any calendar year. The Plan was amended effective January 1, 2013 to provide for an alternate year-end true-up matching contribution such that participants who save at least 5% of their eligible compensation for the year receive a minimum annual matching contribution equal to 2.5% of eligible compensation (up to Internal Revenue Service (“IRS”) limitations). Company contributions vest over a 5-year period of employment. For 2016, 2015 and 2014, the Company made Plan contributions of $20 million, $22 million and $21 million,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Incentive Plans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2004 Performance Incentive Plan</w:t>
      </w:r>
    </w:p>
    <w:p>
      <w:pPr>
        <w:spacing w:after="0" w:line="117"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The types of awards that may be granted under the amended and restated 2004 Performance Incentive Plan include stock options, SARs, RSUs, PSUs, stock bonuses and other forms of awards granted or denominated in the Company’s common stock or units of the Company’s common stock, as well as cash bonus awards. Persons eligible to receive awards under the 2004 Performance Incentive Plan include officers and employees of the Company or any of its subsidiaries, directors of the Company and certain consultants and advisors to the Company or any of its subsidiaries. The vesting of awards under the 2004 Performance Incentive Plan is determined at the date of grant. Each award expires on a date determined at the date of grant; however, the maximum term of options and SARs under the 2004 Performance Incentive Plan is ten years after the grant date of the award. RSUs granted under the 2004 Performance Incentive Plan typically vest over periods ranging from one to four years from the date of grant. PSUs are granted to certain employees and vest only after the achievement of pre-determined performance metrics. Once the performance metrics are met, vesting of PSUs is subject to continued service by the employee. At the end of each reporting period, the Company evaluates the probability that PSUs will be earned. The Company records stock-based compensation expense based on the probability that the performance metrics will be achieved over the vesting period. To the extent available, the Company issues shares out of treasury stock upon the vesting of awards, the exercise of employee stock options and the purchase of shares pursuant to the ESPP.</w:t>
      </w:r>
    </w:p>
    <w:p>
      <w:pPr>
        <w:spacing w:after="0" w:line="6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Outstanding RSU awards have dividend equivalent rights which entitle holders of outstanding RSUs to the same dividend value per share as holders of common stock. Dividend equivalent rights are subject to the same vesting and other terms and conditions as the corresponding unvested RSUs. Dividend equivalent rights are accumulated and paid in additional shares when the underlying shares vest.</w:t>
      </w:r>
    </w:p>
    <w:p>
      <w:pPr>
        <w:spacing w:after="0" w:line="73"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As of July 1, 2016, the maximum number of shares of the Company’s common stock that was authorized for award grants under the 2004 Performance Incentive Plan was 65.8 million shares. Shares issued in respect of stock options and SARs granted under the 2004 Performance Incentive Plan count against the plan’s share limit on a one-for-one basis, whereas shares issued in respect of any other type of award granted through November 7, 2012 under the plan count against the plan’s share limit as 1.35 shares for every one share actually issued in connection with such award. Shares issued in respect of awards, other than options and SARs, granted on or after November 8, 2012 count against the plan’s share limit as 1.72 shares for every one share actually issued in connection with such award. The 2004 Performance Incentive Plan was extended in 2013 and will terminate on August 4, 2025 unless terminated earlier by the Company’s Board of Directors (the “Board”).</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Acquired Plan</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In connection with the Merger, the Company assumed the SanDisk 2013 Incentive Plan. Options eligible for exercise may be exercised for shares of the Company’s common stock at any time prior to the expiration of the seven-year option term or any earlier termination of those options in connection with the optionee’s cessation of service with the Company. Outstanding RSU awards under the SanDisk 2013 Incentive Plan have dividend equivalent rights which entitle holders of RSUs to the same dividend value per share as holders of common stock. Dividend equivalent rights are subject to the same vesting and other terms and conditions as the corresponding unvested RSUs. Dividend equivalent rights are accumulated and paid when the underlying shares vest.</w:t>
      </w:r>
    </w:p>
    <w:p>
      <w:pPr>
        <w:spacing w:after="0" w:line="50"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Company assumed all of the unvested and underwater vested stock options and RSUs outstanding under SanDisk’s stock plans as of the SanDisk Closing Date. In addition, the Company assumed 14.4 million shares that were available to be granted to SanDisk employees under the SanDisk 2013 Incentive Plan. The assumed stock options and RSUs were converted into equivalent stock options and RSUs with respect to shares of the Company’s common stock using an equity award exchange ratio specified in the Merger agreement.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Under the Company’s ESPP, eligible employees may authorize payroll deductions of up to 10% of their eligible compensation during prescribed offering periods to purchase shares of the Company’s common stock at 95% of the fair market value of common stock on either the first day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purposes of this footnote, references to RSUs include PSUs. The following table presents the Company’s stock-based compensation and related tax benefit for 2016,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23"/>
        </w:trPr>
        <w:tc>
          <w:tcPr>
            <w:tcW w:w="6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6"/>
                <w:szCs w:val="16"/>
                <w:i w:val="1"/>
                <w:iCs w:val="1"/>
                <w:color w:val="auto"/>
              </w:rPr>
              <w:t>(in millions)</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ESPP</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Subtotal</w:t>
            </w:r>
          </w:p>
        </w:tc>
        <w:tc>
          <w:tcPr>
            <w:tcW w:w="1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1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6060" w:type="dxa"/>
            <w:vAlign w:val="bottom"/>
          </w:tcPr>
          <w:p>
            <w:pPr>
              <w:ind w:left="28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116</w:t>
            </w:r>
          </w:p>
        </w:tc>
      </w:tr>
      <w:tr>
        <w:trPr>
          <w:trHeight w:val="20"/>
        </w:trPr>
        <w:tc>
          <w:tcPr>
            <w:tcW w:w="6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Included in the stock-based compensation expense for 2016 was $29 million related to converted awards in connection with the Merger. As of July 1, 2016, total compensation cost related to unvested stock options was $76 million and will be amortized on a straight-line basis over a weighted average service period of approximately 2.3 years. As of July 1, 2016, total compensation cost related to ESPP rights issued to employees but not yet recognized was $45 million and will be amortized on a straight-line basis over a weighted average service period of approximately 1.8 years.</w:t>
      </w:r>
    </w:p>
    <w:p>
      <w:pPr>
        <w:spacing w:after="0" w:line="63"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As of July 1, 2016, the aggregate unamortized fair value of all unvested RSUs and PSUs was $498 million, which will be recognized on a straight-line basis over a weighted average vesting period of approximately 2.5 years, assuming the performance metrics are met for the PSUs.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 Activity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stock option activity under the 2004 Performance Incentive Plan and any assumed plan, including the SanDisk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Incentive Plan, during the last three fiscal years: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44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Exercise Price Per Share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Pr>
          <w:p>
            <w:pPr>
              <w:jc w:val="right"/>
              <w:ind w:right="311"/>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w w:val="95"/>
              </w:rPr>
              <w:t>(in years)</w:t>
            </w:r>
          </w:p>
        </w:tc>
        <w:tc>
          <w:tcPr>
            <w:tcW w:w="160" w:type="dxa"/>
            <w:vAlign w:val="bottom"/>
          </w:tcPr>
          <w:p>
            <w:pPr>
              <w:spacing w:after="0"/>
              <w:rPr>
                <w:sz w:val="20"/>
                <w:szCs w:val="20"/>
                <w:color w:val="auto"/>
              </w:rPr>
            </w:pPr>
          </w:p>
        </w:tc>
        <w:tc>
          <w:tcPr>
            <w:tcW w:w="1440" w:type="dxa"/>
            <w:vAlign w:val="bottom"/>
          </w:tcPr>
          <w:p>
            <w:pPr>
              <w:jc w:val="center"/>
              <w:ind w:right="77"/>
              <w:spacing w:after="0"/>
              <w:rPr>
                <w:sz w:val="20"/>
                <w:szCs w:val="20"/>
                <w:color w:val="auto"/>
              </w:rPr>
            </w:pPr>
            <w:r>
              <w:rPr>
                <w:rFonts w:ascii="Arial" w:cs="Arial" w:eastAsia="Arial" w:hAnsi="Arial"/>
                <w:sz w:val="16"/>
                <w:szCs w:val="16"/>
                <w:i w:val="1"/>
                <w:iCs w:val="1"/>
                <w:color w:val="auto"/>
                <w:w w:val="98"/>
              </w:rPr>
              <w:t>(in millions)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June 28, 2013</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Assumed</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 or expired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Options outstanding at June 27, 2014</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Assumed</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Canceled or expired</w:t>
            </w: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56.41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July 3, 2015</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Assumed</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 or expired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at July 1, 2016</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July 1, 2016</w:t>
            </w: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Vested and expected to vest after July 1, 2016</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vMerge w:val="continue"/>
          </w:tcPr>
          <w:p>
            <w:pPr>
              <w:spacing w:after="0"/>
              <w:rPr>
                <w:sz w:val="21"/>
                <w:szCs w:val="21"/>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55.42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600" w:type="dxa"/>
            <w:vAlign w:val="bottom"/>
          </w:tcPr>
          <w:p>
            <w:pPr>
              <w:jc w:val="right"/>
              <w:ind w:right="4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ind w:right="520" w:firstLine="405"/>
        <w:spacing w:after="0" w:line="302" w:lineRule="auto"/>
        <w:rPr>
          <w:sz w:val="20"/>
          <w:szCs w:val="20"/>
          <w:color w:val="auto"/>
        </w:rPr>
      </w:pPr>
      <w:r>
        <w:rPr>
          <w:rFonts w:ascii="Arial" w:cs="Arial" w:eastAsia="Arial" w:hAnsi="Arial"/>
          <w:sz w:val="16"/>
          <w:szCs w:val="16"/>
          <w:color w:val="auto"/>
        </w:rPr>
        <w:t>Options granted during 2016 had a weighted average fair value per share of $22.54. As of July 1, 2016, the Company had options outstanding to purchase an aggregate of 5.2 million shares with an exercise price below the quoted price of the Company’s stock on that date resulting in an aggregate intrinsic value of $60 million at that date. During 2016, 2015 and 2014, the aggregate intrinsic value of options exercised under the 2004 Performance Incentive Plan was $57 million, $283 million and $247 million, respectively, determined as of the date of exercise.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RSU and PSU Activity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RSU and PSU activity under the 2004 Performance Incentive Plan and any assumed plan, including the SanDisk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Incentive Plan, during the last three fiscal years: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9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94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Weighted Average Grant Date</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940" w:type="dxa"/>
            <w:vAlign w:val="bottom"/>
          </w:tcPr>
          <w:p>
            <w:pPr>
              <w:jc w:val="right"/>
              <w:ind w:right="491"/>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and PSUs outstanding at June 28, 2013</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Assumed</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Vested</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RSUs and PSUs outstanding at June 27, 2014</w:t>
            </w: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Vested</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RSUs and PSUs outstanding at July 3, 2015</w:t>
            </w: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Assumed</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9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and PSUs outstanding at July 1, 2016</w:t>
            </w:r>
          </w:p>
        </w:tc>
        <w:tc>
          <w:tcPr>
            <w:tcW w:w="1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Expected to vest after July 1, 2016</w:t>
            </w: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40" w:type="dxa"/>
            <w:vAlign w:val="bottom"/>
            <w:vMerge w:val="continue"/>
          </w:tcPr>
          <w:p>
            <w:pPr>
              <w:spacing w:after="0"/>
              <w:rPr>
                <w:sz w:val="21"/>
                <w:szCs w:val="21"/>
                <w:color w:val="auto"/>
              </w:rPr>
            </w:pPr>
          </w:p>
        </w:tc>
        <w:tc>
          <w:tcPr>
            <w:tcW w:w="1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 The aggregate value of RSUs and PSUs that became fully-vested during 2016, 2015 and 2014 was $144 million, $170 million and $89 million, respectively, determined as of the vest date. The fair value of the shares underlying the RSU and PSU awards at the date of grant was $163 million, $125 million and $95 million in 2016, 2015 and 2014, respectively.</w:t>
      </w:r>
    </w:p>
    <w:p>
      <w:pPr>
        <w:spacing w:after="0" w:line="79"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During 2016, the Company granted 1.2 million PSUs at a weighted average grant-date fair value of $53.59 per share. The total number of PSUs outstanding as of July 1, 2016 was 1.2 million with a weighted average fair value per share of $55.73.</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SARs Activity</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During 2016, 2015 and 2014, the Company recognized an $18 million benefit, $3 million benefit and $36 million expense, respectively, related to adjustments to fair market value of SARs. The tax expense realized as a result of the aforementioned SARs benefit was $2 million during 2016, as compared to no tax benefit or expense realized in 2015 and tax benefits realized of $7 million in 2014. The Company’s SARs will be settled in cash upon exercise. The Company had a total liability of $20 million and $41 million related to SARs included in accrued expenses in the consolidated balance sheet as of July 1, 2016 and July 3, 2015, respectively.</w:t>
      </w:r>
    </w:p>
    <w:p>
      <w:pPr>
        <w:spacing w:after="0" w:line="8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As of July 1, 2016, all SARs issued to employees were fully vested, and the fair values are now solely subject to market price fluctuations. As of July 1, 2016, 0.5 million SARs were outstanding with a weighted average exercise price of $7.90. There were no SARs granted in 2016, 2015 and 2014, and all other SARs activity was immaterial to the consolidated financial statements for the year ended July 1,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Vested Options, RSUs and PSUs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grant date fair value of options, RSUs and PSUs vested during the period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8"/>
              </w:rPr>
              <w:t>Years ended</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80" w:type="dxa"/>
            <w:vAlign w:val="bottom"/>
          </w:tcPr>
          <w:p>
            <w:pPr>
              <w:jc w:val="right"/>
              <w:ind w:right="99"/>
              <w:spacing w:after="0" w:line="153" w:lineRule="exact"/>
              <w:rPr>
                <w:sz w:val="20"/>
                <w:szCs w:val="20"/>
                <w:color w:val="auto"/>
              </w:rPr>
            </w:pPr>
            <w:r>
              <w:rPr>
                <w:rFonts w:ascii="Arial" w:cs="Arial" w:eastAsia="Arial" w:hAnsi="Arial"/>
                <w:sz w:val="14"/>
                <w:szCs w:val="14"/>
                <w:b w:val="1"/>
                <w:bCs w:val="1"/>
                <w:color w:val="auto"/>
              </w:rPr>
              <w:t>July 1,</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July 3,</w:t>
            </w:r>
          </w:p>
        </w:tc>
        <w:tc>
          <w:tcPr>
            <w:tcW w:w="380" w:type="dxa"/>
            <w:vAlign w:val="bottom"/>
          </w:tcPr>
          <w:p>
            <w:pPr>
              <w:spacing w:after="0"/>
              <w:rPr>
                <w:sz w:val="13"/>
                <w:szCs w:val="13"/>
                <w:color w:val="auto"/>
              </w:rPr>
            </w:pPr>
          </w:p>
        </w:tc>
        <w:tc>
          <w:tcPr>
            <w:tcW w:w="1440" w:type="dxa"/>
            <w:vAlign w:val="bottom"/>
          </w:tcPr>
          <w:p>
            <w:pPr>
              <w:jc w:val="right"/>
              <w:ind w:right="597"/>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i w:val="1"/>
                <w:iCs w:val="1"/>
                <w:color w:val="auto"/>
                <w:w w:val="98"/>
              </w:rPr>
              <w:t>(in millions)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RSUs and PSUs</w:t>
            </w: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Total grant date fair value of options, RSUs and PSUs vested during the</w:t>
            </w:r>
          </w:p>
        </w:tc>
        <w:tc>
          <w:tcPr>
            <w:tcW w:w="1280" w:type="dxa"/>
            <w:vAlign w:val="bottom"/>
            <w:vMerge w:val="restart"/>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period</w:t>
            </w: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Valuation Assumptions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Option Grants — Binomial Model</w:t>
      </w:r>
    </w:p>
    <w:p>
      <w:pPr>
        <w:spacing w:after="0" w:line="11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fair value of stock options granted is estimated using a binomial option-pricing model. The binomial model requires the input of highly subjective assumptions. The Company uses historical data to estimate exercise, employee termination and expected stock price volatility within the binomial model. The risk-free rate for periods within the contractual life of the option is based on the U.S. Treasury yield curve in effect at the time of grant. The fair value of stock options granted during 2016, 2015 and 2014 was estimated using the following weighted average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Suboptimal exercise factor</w:t>
            </w:r>
          </w:p>
        </w:tc>
        <w:tc>
          <w:tcPr>
            <w:tcW w:w="1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5"/>
              </w:rPr>
              <w:t>2.07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Range of risk-free interest rates</w:t>
            </w:r>
          </w:p>
        </w:tc>
        <w:tc>
          <w:tcPr>
            <w:tcW w:w="1040" w:type="dxa"/>
            <w:vAlign w:val="bottom"/>
          </w:tcPr>
          <w:p>
            <w:pPr>
              <w:jc w:val="right"/>
              <w:spacing w:after="0"/>
              <w:rPr>
                <w:sz w:val="20"/>
                <w:szCs w:val="20"/>
                <w:color w:val="auto"/>
              </w:rPr>
            </w:pPr>
            <w:r>
              <w:rPr>
                <w:rFonts w:ascii="Arial" w:cs="Arial" w:eastAsia="Arial" w:hAnsi="Arial"/>
                <w:sz w:val="18"/>
                <w:szCs w:val="18"/>
                <w:color w:val="auto"/>
              </w:rPr>
              <w:t>0.25% to</w:t>
            </w:r>
          </w:p>
        </w:tc>
        <w:tc>
          <w:tcPr>
            <w:tcW w:w="800" w:type="dxa"/>
            <w:vAlign w:val="bottom"/>
          </w:tcPr>
          <w:p>
            <w:pPr>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0.11% to 2.16%</w:t>
            </w:r>
          </w:p>
        </w:tc>
        <w:tc>
          <w:tcPr>
            <w:tcW w:w="1020" w:type="dxa"/>
            <w:vAlign w:val="bottom"/>
          </w:tcPr>
          <w:p>
            <w:pPr>
              <w:jc w:val="right"/>
              <w:spacing w:after="0"/>
              <w:rPr>
                <w:sz w:val="20"/>
                <w:szCs w:val="20"/>
                <w:color w:val="auto"/>
              </w:rPr>
            </w:pPr>
            <w:r>
              <w:rPr>
                <w:rFonts w:ascii="Arial" w:cs="Arial" w:eastAsia="Arial" w:hAnsi="Arial"/>
                <w:sz w:val="18"/>
                <w:szCs w:val="18"/>
                <w:color w:val="auto"/>
              </w:rPr>
              <w:t>0.10% to</w:t>
            </w:r>
          </w:p>
        </w:tc>
        <w:tc>
          <w:tcPr>
            <w:tcW w:w="800" w:type="dxa"/>
            <w:vAlign w:val="bottom"/>
          </w:tcPr>
          <w:p>
            <w:pPr>
              <w:spacing w:after="0"/>
              <w:rPr>
                <w:sz w:val="20"/>
                <w:szCs w:val="20"/>
                <w:color w:val="auto"/>
              </w:rPr>
            </w:pPr>
            <w:r>
              <w:rPr>
                <w:rFonts w:ascii="Arial" w:cs="Arial" w:eastAsia="Arial" w:hAnsi="Arial"/>
                <w:sz w:val="18"/>
                <w:szCs w:val="18"/>
                <w:color w:val="auto"/>
              </w:rPr>
              <w:t>2.44%</w:t>
            </w:r>
          </w:p>
        </w:tc>
      </w:tr>
      <w:tr>
        <w:trPr>
          <w:trHeight w:val="27"/>
        </w:trPr>
        <w:tc>
          <w:tcPr>
            <w:tcW w:w="5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expected stock price volatility</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 to</w:t>
            </w:r>
          </w:p>
        </w:tc>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0.23 to 0.47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 to</w:t>
            </w:r>
          </w:p>
        </w:tc>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0.50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Weighted-average expected volatility</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1"/>
              </w:rPr>
              <w:t>0.35</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0.36</w:t>
            </w:r>
          </w:p>
        </w:tc>
        <w:tc>
          <w:tcPr>
            <w:tcW w:w="120" w:type="dxa"/>
            <w:vAlign w:val="bottom"/>
          </w:tcPr>
          <w:p>
            <w:pPr>
              <w:spacing w:after="0"/>
              <w:rPr>
                <w:sz w:val="21"/>
                <w:szCs w:val="21"/>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5"/>
              </w:rPr>
              <w:t>0.43</w:t>
            </w:r>
          </w:p>
        </w:tc>
      </w:tr>
      <w:tr>
        <w:trPr>
          <w:trHeight w:val="27"/>
        </w:trPr>
        <w:tc>
          <w:tcPr>
            <w:tcW w:w="572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Post-vesting termination rate</w:t>
            </w:r>
          </w:p>
        </w:tc>
        <w:tc>
          <w:tcPr>
            <w:tcW w:w="1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3.10%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3"/>
              </w:rPr>
              <w:t>2.61%</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120" w:type="dxa"/>
            <w:vAlign w:val="bottom"/>
          </w:tcPr>
          <w:p>
            <w:pPr>
              <w:spacing w:after="0"/>
              <w:rPr>
                <w:sz w:val="21"/>
                <w:szCs w:val="21"/>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0"/>
              </w:rPr>
              <w:t>1.58%</w:t>
            </w:r>
          </w:p>
        </w:tc>
      </w:tr>
      <w:tr>
        <w:trPr>
          <w:trHeight w:val="27"/>
        </w:trPr>
        <w:tc>
          <w:tcPr>
            <w:tcW w:w="572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$32.19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$24.14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040" w:type="dxa"/>
            <w:vAlign w:val="bottom"/>
          </w:tcPr>
          <w:p>
            <w:pPr>
              <w:jc w:val="center"/>
              <w:ind w:left="712"/>
              <w:spacing w:after="0"/>
              <w:rPr>
                <w:sz w:val="20"/>
                <w:szCs w:val="20"/>
                <w:color w:val="auto"/>
              </w:rPr>
            </w:pPr>
            <w:r>
              <w:rPr>
                <w:rFonts w:ascii="Arial" w:cs="Arial" w:eastAsia="Arial" w:hAnsi="Arial"/>
                <w:sz w:val="18"/>
                <w:szCs w:val="18"/>
                <w:color w:val="auto"/>
                <w:w w:val="95"/>
              </w:rPr>
              <w:t>4.7</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5.8</w:t>
            </w:r>
          </w:p>
        </w:tc>
        <w:tc>
          <w:tcPr>
            <w:tcW w:w="120" w:type="dxa"/>
            <w:vAlign w:val="bottom"/>
          </w:tcPr>
          <w:p>
            <w:pPr>
              <w:spacing w:after="0"/>
              <w:rPr>
                <w:sz w:val="21"/>
                <w:szCs w:val="21"/>
                <w:color w:val="auto"/>
              </w:rPr>
            </w:pPr>
          </w:p>
        </w:tc>
        <w:tc>
          <w:tcPr>
            <w:tcW w:w="1020" w:type="dxa"/>
            <w:vAlign w:val="bottom"/>
          </w:tcPr>
          <w:p>
            <w:pPr>
              <w:jc w:val="center"/>
              <w:ind w:left="712"/>
              <w:spacing w:after="0"/>
              <w:rPr>
                <w:sz w:val="20"/>
                <w:szCs w:val="20"/>
                <w:color w:val="auto"/>
              </w:rPr>
            </w:pPr>
            <w:r>
              <w:rPr>
                <w:rFonts w:ascii="Arial" w:cs="Arial" w:eastAsia="Arial" w:hAnsi="Arial"/>
                <w:sz w:val="18"/>
                <w:szCs w:val="18"/>
                <w:color w:val="auto"/>
                <w:w w:val="87"/>
              </w:rPr>
              <w:t>5.0</w:t>
            </w:r>
          </w:p>
        </w:tc>
        <w:tc>
          <w:tcPr>
            <w:tcW w:w="800" w:type="dxa"/>
            <w:vAlign w:val="bottom"/>
          </w:tcPr>
          <w:p>
            <w:pPr>
              <w:spacing w:after="0"/>
              <w:rPr>
                <w:sz w:val="21"/>
                <w:szCs w:val="2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RSU and PSU Grants</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fair value of the Company’s RSU and PSU awards granted, excluding unvested RSU awards assumed through acquisitions, was based upon the closing price of the Company’s stock price on the date of grant.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ESPP — Black-Scholes-Merton Model</w:t>
      </w:r>
    </w:p>
    <w:p>
      <w:pPr>
        <w:spacing w:after="0" w:line="117"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The fair value of ESPP purchase rights issued is estimated at the date of grant of the purchase rights using the Black-Scholes-Merton option-pricing model. The Black-Scholes-Merton option-pricing model requires the input of highly subjective assumptions such as the expected stock price volatility and the expected period until options are exercised. Purchase rights under the ESPP are granted on either June 1st or December 1st of each year.</w:t>
      </w:r>
    </w:p>
    <w:p>
      <w:pPr>
        <w:spacing w:after="0" w:line="3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fair values of all ESPP purchase rights granted on or prior to July 1, 2016 have been estimated at the date of grant using a Black-Scholes-Merton option-pricing model with the following weighted 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life (in years)</w:t>
            </w:r>
          </w:p>
        </w:tc>
        <w:tc>
          <w:tcPr>
            <w:tcW w:w="3960" w:type="dxa"/>
            <w:vAlign w:val="bottom"/>
            <w:tcBorders>
              <w:bottom w:val="single" w:sz="8" w:color="CCEEFF"/>
            </w:tcBorders>
            <w:gridSpan w:val="2"/>
            <w:shd w:val="clear" w:color="auto" w:fill="CCEEFF"/>
          </w:tcPr>
          <w:p>
            <w:pPr>
              <w:jc w:val="center"/>
              <w:ind w:left="2030"/>
              <w:spacing w:after="0"/>
              <w:rPr>
                <w:sz w:val="20"/>
                <w:szCs w:val="20"/>
                <w:color w:val="auto"/>
              </w:rPr>
            </w:pPr>
            <w:r>
              <w:rPr>
                <w:rFonts w:ascii="Arial" w:cs="Arial" w:eastAsia="Arial" w:hAnsi="Arial"/>
                <w:sz w:val="18"/>
                <w:szCs w:val="18"/>
                <w:color w:val="auto"/>
                <w:w w:val="91"/>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1.24</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960" w:type="dxa"/>
            <w:vAlign w:val="bottom"/>
            <w:gridSpan w:val="2"/>
          </w:tcPr>
          <w:p>
            <w:pPr>
              <w:jc w:val="center"/>
              <w:ind w:left="2030"/>
              <w:spacing w:after="0"/>
              <w:rPr>
                <w:sz w:val="20"/>
                <w:szCs w:val="20"/>
                <w:color w:val="auto"/>
              </w:rPr>
            </w:pPr>
            <w:r>
              <w:rPr>
                <w:rFonts w:ascii="Arial" w:cs="Arial" w:eastAsia="Arial" w:hAnsi="Arial"/>
                <w:sz w:val="18"/>
                <w:szCs w:val="18"/>
                <w:color w:val="auto"/>
                <w:w w:val="93"/>
              </w:rPr>
              <w:t>0.82%</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0.45%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0.26%</w:t>
            </w:r>
          </w:p>
        </w:tc>
      </w:tr>
      <w:tr>
        <w:trPr>
          <w:trHeight w:val="27"/>
        </w:trPr>
        <w:tc>
          <w:tcPr>
            <w:tcW w:w="36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price volatility</w:t>
            </w:r>
          </w:p>
        </w:tc>
        <w:tc>
          <w:tcPr>
            <w:tcW w:w="3960" w:type="dxa"/>
            <w:vAlign w:val="bottom"/>
            <w:tcBorders>
              <w:bottom w:val="single" w:sz="8" w:color="CCEEFF"/>
            </w:tcBorders>
            <w:gridSpan w:val="2"/>
            <w:shd w:val="clear" w:color="auto" w:fill="CCEEFF"/>
          </w:tcPr>
          <w:p>
            <w:pPr>
              <w:jc w:val="center"/>
              <w:ind w:left="2030"/>
              <w:spacing w:after="0"/>
              <w:rPr>
                <w:sz w:val="20"/>
                <w:szCs w:val="20"/>
                <w:color w:val="auto"/>
              </w:rPr>
            </w:pPr>
            <w:r>
              <w:rPr>
                <w:rFonts w:ascii="Arial" w:cs="Arial" w:eastAsia="Arial" w:hAnsi="Arial"/>
                <w:sz w:val="18"/>
                <w:szCs w:val="18"/>
                <w:color w:val="auto"/>
                <w:w w:val="91"/>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0.31</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3960" w:type="dxa"/>
            <w:vAlign w:val="bottom"/>
            <w:gridSpan w:val="2"/>
          </w:tcPr>
          <w:p>
            <w:pPr>
              <w:jc w:val="center"/>
              <w:ind w:left="2030"/>
              <w:spacing w:after="0"/>
              <w:rPr>
                <w:sz w:val="20"/>
                <w:szCs w:val="20"/>
                <w:color w:val="auto"/>
              </w:rPr>
            </w:pPr>
            <w:r>
              <w:rPr>
                <w:rFonts w:ascii="Arial" w:cs="Arial" w:eastAsia="Arial" w:hAnsi="Arial"/>
                <w:sz w:val="18"/>
                <w:szCs w:val="18"/>
                <w:color w:val="auto"/>
                <w:w w:val="93"/>
              </w:rPr>
              <w:t>3.92%</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2.34%</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1.64%</w:t>
            </w:r>
          </w:p>
        </w:tc>
      </w:tr>
      <w:tr>
        <w:trPr>
          <w:trHeight w:val="27"/>
        </w:trPr>
        <w:tc>
          <w:tcPr>
            <w:tcW w:w="36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960" w:type="dxa"/>
            <w:vAlign w:val="bottom"/>
            <w:tcBorders>
              <w:bottom w:val="single" w:sz="8" w:color="CCEEFF"/>
            </w:tcBorders>
            <w:gridSpan w:val="2"/>
            <w:shd w:val="clear" w:color="auto" w:fill="CCEEFF"/>
          </w:tcPr>
          <w:p>
            <w:pPr>
              <w:jc w:val="center"/>
              <w:ind w:left="2030"/>
              <w:spacing w:after="0"/>
              <w:rPr>
                <w:sz w:val="20"/>
                <w:szCs w:val="20"/>
                <w:color w:val="auto"/>
              </w:rPr>
            </w:pPr>
            <w:r>
              <w:rPr>
                <w:rFonts w:ascii="Arial" w:cs="Arial" w:eastAsia="Arial" w:hAnsi="Arial"/>
                <w:sz w:val="18"/>
                <w:szCs w:val="18"/>
                <w:color w:val="auto"/>
                <w:w w:val="88"/>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$14.62</w:t>
            </w:r>
          </w:p>
        </w:tc>
      </w:tr>
      <w:tr>
        <w:trPr>
          <w:trHeight w:val="459"/>
        </w:trPr>
        <w:tc>
          <w:tcPr>
            <w:tcW w:w="3600" w:type="dxa"/>
            <w:vAlign w:val="bottom"/>
          </w:tcPr>
          <w:p>
            <w:pPr>
              <w:spacing w:after="0"/>
              <w:rPr>
                <w:sz w:val="24"/>
                <w:szCs w:val="24"/>
                <w:color w:val="auto"/>
              </w:rPr>
            </w:pPr>
          </w:p>
        </w:tc>
        <w:tc>
          <w:tcPr>
            <w:tcW w:w="3960" w:type="dxa"/>
            <w:vAlign w:val="bottom"/>
            <w:gridSpan w:val="2"/>
          </w:tcPr>
          <w:p>
            <w:pPr>
              <w:jc w:val="right"/>
              <w:ind w:right="1688"/>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The Board previously authorized $5.0 billion for the repurchase of the Company’s common stock and approved the extension of its stock repurchase program to February 3, 2020. Effective October 21, 2015, in connection with the Merger, the stock repurchase program was suspended. The Company repurchased 0.7 million shares for a total cost of $60 million during 2016. The remaining amount available to be purchased under the Company’s stock repurchase program as of July 1, 2016 was $2.1 billion.</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Reserved for Issuance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common stock reserved for issuance at July 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1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Number of Shares</w:t>
            </w:r>
          </w:p>
        </w:tc>
      </w:tr>
      <w:tr>
        <w:trPr>
          <w:trHeight w:val="223"/>
        </w:trPr>
        <w:tc>
          <w:tcPr>
            <w:tcW w:w="9820" w:type="dxa"/>
            <w:vAlign w:val="bottom"/>
          </w:tcPr>
          <w:p>
            <w:pPr>
              <w:spacing w:after="0"/>
              <w:rPr>
                <w:sz w:val="19"/>
                <w:szCs w:val="19"/>
                <w:color w:val="auto"/>
              </w:rPr>
            </w:pPr>
          </w:p>
        </w:tc>
        <w:tc>
          <w:tcPr>
            <w:tcW w:w="1600" w:type="dxa"/>
            <w:vAlign w:val="bottom"/>
          </w:tcPr>
          <w:p>
            <w:pPr>
              <w:jc w:val="right"/>
              <w:ind w:right="314"/>
              <w:spacing w:after="0"/>
              <w:rPr>
                <w:sz w:val="20"/>
                <w:szCs w:val="20"/>
                <w:color w:val="auto"/>
              </w:rPr>
            </w:pPr>
            <w:r>
              <w:rPr>
                <w:rFonts w:ascii="Arial" w:cs="Arial" w:eastAsia="Arial" w:hAnsi="Arial"/>
                <w:sz w:val="16"/>
                <w:szCs w:val="16"/>
                <w:i w:val="1"/>
                <w:iCs w:val="1"/>
                <w:color w:val="auto"/>
              </w:rPr>
              <w:t>(in millions)</w:t>
            </w:r>
          </w:p>
        </w:tc>
      </w:tr>
      <w:tr>
        <w:trPr>
          <w:trHeight w:val="33"/>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awards and shares available for award grants</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ESPP</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9.4</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66.3</w:t>
            </w:r>
          </w:p>
        </w:tc>
      </w:tr>
      <w:tr>
        <w:trPr>
          <w:trHeight w:val="27"/>
        </w:trPr>
        <w:tc>
          <w:tcPr>
            <w:tcW w:w="98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Dividends to Shareholders</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September 13, 2012, the Company announced that the Board had authorized the adoption of a quarterly cash dividend policy. Under the cash dividend policy, holders of the Company’s common stock receive dividends when and as declared by the Board. In 2016, the Company declared aggregate cash dividends of $2.00 per share of the Company’s common stock, totaling $490 million, of which $348 million was paid during 2016. The Company also paid $116 million of dividends in 2016 related to dividends accrued in 2015. On August 3, 2016, the Company declared a cash dividend of $0.50 per share to shareholders of record as of September 30, 2016, which will be paid on October 17, 2016. The Company may modify, suspend or cancel its cash dividend policy in any manner and at any time.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Pre-tax Income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domestic and foreign components of income before income taxes were as follows for 2016,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23"/>
        </w:trPr>
        <w:tc>
          <w:tcPr>
            <w:tcW w:w="6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i w:val="1"/>
                <w:iCs w:val="1"/>
                <w:color w:val="auto"/>
              </w:rPr>
              <w:t>(in millions)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Domestic</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88</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provision for income taxes were as follows for 2016,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23"/>
        </w:trPr>
        <w:tc>
          <w:tcPr>
            <w:tcW w:w="6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i w:val="1"/>
                <w:iCs w:val="1"/>
                <w:color w:val="auto"/>
              </w:rPr>
              <w:t>(in millions)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Domestic-federal</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Domestic-state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Domestic-federal</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Domestic-state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provision</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Company’s income tax benefit for 2016 reflects tax benefits from expenses related to the Merger and from interest expense related to new debt facilities.</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Remaining net undistributed earnings from foreign subsidiaries at July 1, 2016 on which no U.S. tax has been provided amounted to $12 billion. The net undistributed earnings are intended to finance local operating requirements and capital investments. Accordingly, an additional U.S. tax provision has not been made on these earnings. The tax liability for these earnings would be approximately $4 billion if the Company repatriated the $12 billion in undistributed earnings from the foreign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Deferred Taxes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Temporary differences and carryforwards, which give rise to a significant portion of deferred tax assets and liabilities as of July 1, 2016 and July 3, 2015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1,</w:t>
            </w:r>
          </w:p>
        </w:tc>
        <w:tc>
          <w:tcPr>
            <w:tcW w:w="440" w:type="dxa"/>
            <w:vAlign w:val="bottom"/>
          </w:tcPr>
          <w:p>
            <w:pPr>
              <w:spacing w:after="0"/>
              <w:rPr>
                <w:sz w:val="14"/>
                <w:szCs w:val="14"/>
                <w:color w:val="auto"/>
              </w:rPr>
            </w:pPr>
          </w:p>
        </w:tc>
        <w:tc>
          <w:tcPr>
            <w:tcW w:w="1040" w:type="dxa"/>
            <w:vAlign w:val="bottom"/>
          </w:tcPr>
          <w:p>
            <w:pPr>
              <w:jc w:val="right"/>
              <w:ind w:right="473"/>
              <w:spacing w:after="0"/>
              <w:rPr>
                <w:sz w:val="20"/>
                <w:szCs w:val="20"/>
                <w:color w:val="auto"/>
              </w:rPr>
            </w:pPr>
            <w:r>
              <w:rPr>
                <w:rFonts w:ascii="Arial" w:cs="Arial" w:eastAsia="Arial" w:hAnsi="Arial"/>
                <w:sz w:val="14"/>
                <w:szCs w:val="14"/>
                <w:b w:val="1"/>
                <w:bCs w:val="1"/>
                <w:color w:val="auto"/>
              </w:rPr>
              <w:t>July 3,</w:t>
            </w:r>
          </w:p>
        </w:tc>
      </w:t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23"/>
        </w:trPr>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millions)</w:t>
            </w:r>
          </w:p>
        </w:tc>
        <w:tc>
          <w:tcPr>
            <w:tcW w:w="1040" w:type="dxa"/>
            <w:vAlign w:val="bottom"/>
          </w:tcPr>
          <w:p>
            <w:pPr>
              <w:spacing w:after="0"/>
              <w:rPr>
                <w:sz w:val="19"/>
                <w:szCs w:val="19"/>
                <w:color w:val="auto"/>
              </w:rPr>
            </w:pP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Sales related reserves and accrued expenses not currently deductible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 not currently deductible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Domestic net operating loss carryforward</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137</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Business credit carryforward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Long-lived assets</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49</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Long-lived assets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Valuation allowances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Deferred tax (liabilities) assets,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304</w:t>
            </w:r>
          </w:p>
        </w:tc>
      </w:tr>
      <w:tr>
        <w:trPr>
          <w:trHeight w:val="27"/>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net deferred tax asset valuation allowance increased by $128 million in 2016 and decreased by $38 million in 2015. $103 million of the net deferred tax asset valuation allowance increase in 2016 is primarily attributable to balances assumed as a result of the Merger. The assessment of valuation allowances against deferred tax assets requires estimations and significant judgment.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most of its deferred tax assets with the exception of certain loss and credit carryforwards.</w:t>
      </w:r>
    </w:p>
    <w:p>
      <w:pPr>
        <w:spacing w:after="0" w:line="70"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In addition to the deferred tax assets presented above, the Company had additional net operating loss (“NOL”) benefits related to stock-based compensation deductions of $119 million and $90 million at July 1, 2016 and July 3, 2015, respectively. During 2016, the Company generated an additional $34 million of benefits related to stock-based compensation deductions, of which $7 million were utilized in 2016 and recorded to stockholders’ equity.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Effective Tax Rate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Reconciliation of the U.S. Federal statutory rate to the Company’s effective tax rate is as follows for 2016,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gridSpan w:val="2"/>
          </w:tcPr>
          <w:p>
            <w:pPr>
              <w:ind w:left="7160"/>
              <w:spacing w:after="0"/>
              <w:rPr>
                <w:sz w:val="20"/>
                <w:szCs w:val="20"/>
                <w:color w:val="auto"/>
              </w:rPr>
            </w:pPr>
            <w:r>
              <w:rPr>
                <w:rFonts w:ascii="Arial" w:cs="Arial" w:eastAsia="Arial" w:hAnsi="Arial"/>
                <w:sz w:val="14"/>
                <w:szCs w:val="14"/>
                <w:b w:val="1"/>
                <w:bCs w:val="1"/>
                <w:color w:val="auto"/>
                <w:w w:val="96"/>
              </w:rPr>
              <w:t>2016</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Arial" w:cs="Arial" w:eastAsia="Arial" w:hAnsi="Arial"/>
                <w:sz w:val="14"/>
                <w:szCs w:val="14"/>
                <w:b w:val="1"/>
                <w:bCs w:val="1"/>
                <w:color w:val="auto"/>
              </w:rPr>
              <w:t>2014</w:t>
            </w: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rate</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Tax rate differential on international income</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(28)</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effect of U.S. non-deductible convertible debt costs</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Tax effect of U.S. non-deductible acquisition costs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effect of U.S. foreign income inclusion</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Tax effect of U.S. non-deductible share-based compensation</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effect of U.S. permanent differences</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State income tax, net of federal tax</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Retroactive extension of Federal R&amp;D credit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Creditable foreign taxes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credits</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Effective tax rate</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 Holidays and Carryforwards</w:t>
      </w:r>
    </w:p>
    <w:p>
      <w:pPr>
        <w:spacing w:after="0" w:line="117"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A substantial portion of the Company’s manufacturing operations in Malaysia, the Philippines, Singapore and Thailand operate under various tax holidays and tax incentive programs which will expire in whole or in part at various dates from 2016 through 2029. Certain of the holidays may be extended if specific conditions are met. The net impact of these tax holidays and tax incentives was to increase the Company’s net earnings by $500 million ($2.07 per diluted share), $641 million ($2.70 per diluted share) and $905 million ($3.74 per diluted share) in 2016, 2015 and 2014, respectively.</w:t>
      </w:r>
    </w:p>
    <w:p>
      <w:pPr>
        <w:spacing w:after="0" w:line="4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of July 1, 2016, the Company had federal and state NOL carryforwards of $848 million and $612 million, respectively. In addition, as of July 1, 2016, the Company had various federal and state tax credit carryforwards of $664 million combined. The NOL carryforwards available to offset future federal and state taxable income expire at various dates from 2018 to 2035 and 2017 to 2036, respectively. $200 million of the credit carryforwards available to offset future taxable income expire at various dates from 2017 to 2036. The remaining amount is available indefinitely. NOLs and credits relating to various acquisitions are subject to limitations under Sections 382 and 383 of the Internal Revenue Code. The Company expects the total amount of NOLs and credits ultimately realized will be reduced by $483 million and $32 million, respectively.</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With the exception of certain unrecognized tax benefits that are directly associated with the tax position taken, unrecognized tax benefits are presented gross in the Company’s balance sheet. Interest and penalties related to unrecognized tax benefits are recognized in liabilities recorded for uncertain tax positions and are recorded in the provision for income taxes. As of July 1, 2016, the Company had $491 million of unrecognized tax benefits. Accrued interest and penalties included in the Company’s liability related to unrecognized tax benefits as of July 1, 2016, July 3, 2015 and June 27, 2014 was $75 million, $55 million and $44 million, respectively. $120 million of the unrecognized tax benefits increase is attributable primarily to balances assumed as a result of the Merger.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is a tabular reconciliation of the total amounts of unrecognized tax benefits excluding accrued interest and penalties for 2016,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23"/>
        </w:trPr>
        <w:tc>
          <w:tcPr>
            <w:tcW w:w="6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i w:val="1"/>
                <w:iCs w:val="1"/>
                <w:color w:val="auto"/>
              </w:rPr>
              <w:t>(in millions)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at beginning of period</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Gross increases related to current year tax positions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increases related to prior year tax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Gross decreases related to prior year tax positions</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Lapse of statute of limitations</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tax benefit at end of period</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w:t>
            </w:r>
          </w:p>
        </w:tc>
      </w:tr>
      <w:tr>
        <w:trPr>
          <w:trHeight w:val="27"/>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Company’s unrecognized tax benefits are primarily included within long-term liabilities in the Company’s consolidated balance sheets. The entire balance of unrecognized tax benefits at July 1, 2016, July 3, 2015 and June 27, 2014, if recognized, would affect the effective tax rate, subject to certain future valuation allowance reversals.</w:t>
      </w:r>
    </w:p>
    <w:p>
      <w:pPr>
        <w:spacing w:after="0" w:line="73"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The Company files U.S. Federal, U.S. state and foreign tax returns. For both federal and state tax returns, with few exceptions, the Company is subject to examination for fiscal years 2008 through 2015. In foreign jurisdictions, with few exceptions, the Company is subject to examination for all years subsequent to fiscal 2008. The Company is no longer subject to examination by the IRS for periods prior to 2008, although carry forwards generated prior to those periods may still be adjusted upon examination by the IRS or state taxing authority if they either have been or will be used in a subsequent period.</w:t>
      </w:r>
    </w:p>
    <w:p>
      <w:pPr>
        <w:spacing w:after="0" w:line="46"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 IRS previously completed its field examination of the Company’s federal income tax returns for fiscal years 2006 through 2009 and proposed certain adjustments. The Company received Revenue Agent Reports from the IRS that seek to increase the Company’s U.S. taxable income which would result in additional federal tax expense totaling $795 million, subject to interest. The issues in dispute relate primarily to transfer pricing with the Company’s foreign subsidiaries and intercompany payable balances. The Company disagrees with the proposed adjustments and in September 2015, filed a protest with the IRS Appeals Office and received the IRS rebuttal in July 2016. The Company believes that its tax positions are properly supported and will vigorously contest the position taken by the IRS. In September 2015, the IRS commenced an examination of the Company’s fiscal years 2010 through 2012.</w:t>
      </w:r>
    </w:p>
    <w:p>
      <w:pPr>
        <w:spacing w:after="0" w:line="5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July 1, 2016, it is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117" w:lineRule="exact"/>
        <w:rPr>
          <w:sz w:val="20"/>
          <w:szCs w:val="20"/>
          <w:color w:val="auto"/>
        </w:rPr>
      </w:pPr>
    </w:p>
    <w:p>
      <w:pPr>
        <w:jc w:val="both"/>
        <w:ind w:right="80" w:firstLine="405"/>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1, 2016 and July 3, 2015,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July 1, 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23"/>
        </w:trPr>
        <w:tc>
          <w:tcPr>
            <w:tcW w:w="5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gridSpan w:val="3"/>
          </w:tcPr>
          <w:p>
            <w:pPr>
              <w:jc w:val="right"/>
              <w:ind w:right="614"/>
              <w:spacing w:after="0"/>
              <w:rPr>
                <w:sz w:val="20"/>
                <w:szCs w:val="20"/>
                <w:color w:val="auto"/>
              </w:rPr>
            </w:pPr>
            <w:r>
              <w:rPr>
                <w:rFonts w:ascii="Arial" w:cs="Arial" w:eastAsia="Arial" w:hAnsi="Arial"/>
                <w:sz w:val="16"/>
                <w:szCs w:val="16"/>
                <w:i w:val="1"/>
                <w:iCs w:val="1"/>
                <w:color w:val="auto"/>
              </w:rPr>
              <w:t>(in millions)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cash equivalents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2,199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Corporate notes and bonds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Municipal notes and bonds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short-term investments</w:t>
            </w: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U.S. Government agency securities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Corporate notes and bonds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Municipal notes and bonds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investments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Call options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assets at fair value</w:t>
            </w:r>
          </w:p>
        </w:tc>
        <w:tc>
          <w:tcPr>
            <w:tcW w:w="980" w:type="dxa"/>
            <w:vAlign w:val="bottom"/>
            <w:tcBorders>
              <w:top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2,201</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2,743</w:t>
            </w:r>
          </w:p>
        </w:tc>
      </w:tr>
      <w:tr>
        <w:trPr>
          <w:trHeight w:val="67"/>
        </w:trPr>
        <w:tc>
          <w:tcPr>
            <w:tcW w:w="516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option</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liabilities at fair value</w:t>
            </w:r>
          </w:p>
        </w:tc>
        <w:tc>
          <w:tcPr>
            <w:tcW w:w="980" w:type="dxa"/>
            <w:vAlign w:val="bottom"/>
            <w:tcBorders>
              <w:top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r>
      <w:tr>
        <w:trPr>
          <w:trHeight w:val="27"/>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July 3, 2015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gridSpan w:val="3"/>
          </w:tcPr>
          <w:p>
            <w:pPr>
              <w:jc w:val="right"/>
              <w:ind w:right="654"/>
              <w:spacing w:after="0"/>
              <w:rPr>
                <w:sz w:val="20"/>
                <w:szCs w:val="20"/>
                <w:color w:val="auto"/>
              </w:rPr>
            </w:pPr>
            <w:r>
              <w:rPr>
                <w:rFonts w:ascii="Arial" w:cs="Arial" w:eastAsia="Arial" w:hAnsi="Arial"/>
                <w:sz w:val="16"/>
                <w:szCs w:val="16"/>
                <w:i w:val="1"/>
                <w:iCs w:val="1"/>
                <w:color w:val="auto"/>
              </w:rPr>
              <w:t>(in millions)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cash equivalents</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10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0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short-term investments</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10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long-term investments</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 at fair value</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liabilities at fair value</w:t>
            </w:r>
          </w:p>
        </w:tc>
        <w:tc>
          <w:tcPr>
            <w:tcW w:w="104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Company’s money market funds are funds that invest in U.S. Treasury and U.S. Government Agency securities.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are valued based on quoted market prices.</w:t>
      </w:r>
    </w:p>
    <w:p>
      <w:pPr>
        <w:spacing w:after="0" w:line="62"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i w:val="1"/>
          <w:iCs w:val="1"/>
          <w:color w:val="auto"/>
        </w:rPr>
        <w:t xml:space="preserve">U.S. Treasury Securities. </w:t>
      </w:r>
      <w:r>
        <w:rPr>
          <w:rFonts w:ascii="Arial" w:cs="Arial" w:eastAsia="Arial" w:hAnsi="Arial"/>
          <w:sz w:val="18"/>
          <w:szCs w:val="18"/>
          <w:color w:val="auto"/>
        </w:rPr>
        <w:t>The Company’s U.S. Treasury securities are direct obligations of the U.S. federal government and are held in custody by a</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U.S. Treasury securities are valued using a market approach which is based on observable inputs including market interest rates from multiple pricing sources.</w:t>
      </w:r>
    </w:p>
    <w:p>
      <w:pPr>
        <w:spacing w:after="0" w:line="73" w:lineRule="exact"/>
        <w:rPr>
          <w:sz w:val="20"/>
          <w:szCs w:val="20"/>
          <w:color w:val="auto"/>
        </w:rPr>
      </w:pPr>
    </w:p>
    <w:p>
      <w:pPr>
        <w:jc w:val="both"/>
        <w:ind w:right="260" w:firstLine="405"/>
        <w:spacing w:after="0" w:line="312" w:lineRule="auto"/>
        <w:rPr>
          <w:sz w:val="20"/>
          <w:szCs w:val="20"/>
          <w:color w:val="auto"/>
        </w:rPr>
      </w:pPr>
      <w:r>
        <w:rPr>
          <w:rFonts w:ascii="Arial" w:cs="Arial" w:eastAsia="Arial" w:hAnsi="Arial"/>
          <w:sz w:val="16"/>
          <w:szCs w:val="16"/>
          <w:i w:val="1"/>
          <w:iCs w:val="1"/>
          <w:color w:val="auto"/>
        </w:rPr>
        <w:t xml:space="preserve">U.S. and International Government Agency Securities. </w:t>
      </w:r>
      <w:r>
        <w:rPr>
          <w:rFonts w:ascii="Arial" w:cs="Arial" w:eastAsia="Arial" w:hAnsi="Arial"/>
          <w:sz w:val="16"/>
          <w:szCs w:val="16"/>
          <w:color w:val="auto"/>
        </w:rPr>
        <w:t>The Company’s U.S. and International Government agency securities are investments in fixed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securities sponsored by the U.S. and International Government and are held in custody by a third party. U.S. and International Government agency securities are valued using a market approach which is based on observable inputs including market interest rates from multiple pricing sources.</w:t>
      </w:r>
    </w:p>
    <w:p>
      <w:pPr>
        <w:spacing w:after="0" w:line="39"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i w:val="1"/>
          <w:iCs w:val="1"/>
          <w:color w:val="auto"/>
        </w:rPr>
        <w:t xml:space="preserve">Asset-Backed Securities, and Corporate and Municipal Notes and Bonds. </w:t>
      </w:r>
      <w:r>
        <w:rPr>
          <w:rFonts w:ascii="Arial" w:cs="Arial" w:eastAsia="Arial" w:hAnsi="Arial"/>
          <w:sz w:val="18"/>
          <w:szCs w:val="18"/>
          <w:color w:val="auto"/>
        </w:rPr>
        <w:t>The Company’s asset-backed securities, and Corporate and Municipal notes</w:t>
      </w:r>
      <w:r>
        <w:rPr>
          <w:rFonts w:ascii="Arial" w:cs="Arial" w:eastAsia="Arial" w:hAnsi="Arial"/>
          <w:sz w:val="18"/>
          <w:szCs w:val="18"/>
          <w:i w:val="1"/>
          <w:iCs w:val="1"/>
          <w:color w:val="auto"/>
        </w:rPr>
        <w:t xml:space="preserve"> </w:t>
      </w:r>
      <w:r>
        <w:rPr>
          <w:rFonts w:ascii="Arial" w:cs="Arial" w:eastAsia="Arial" w:hAnsi="Arial"/>
          <w:sz w:val="18"/>
          <w:szCs w:val="18"/>
          <w:color w:val="auto"/>
        </w:rPr>
        <w:t>and bonds securities are investments issued by corporations and U.S. state municipalities which are held in custody by a third party. Asset-backed securities, and Corporate and Municipal notes and bonds are valued using a market approach which is based on observable inputs including market interest rates from multiple pricing sources.</w:t>
      </w:r>
    </w:p>
    <w:p>
      <w:pPr>
        <w:spacing w:after="0" w:line="79"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The Company’s commercial paper securities are investments issued by corporations which are held in custody by a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securities are valued using a market approach which is based on observable inputs including market interest rates from multiple pricing sources.</w:t>
      </w:r>
    </w:p>
    <w:p>
      <w:pPr>
        <w:spacing w:after="0" w:line="7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The Company’s certificates of deposit are investments which are held in custody by a third party. Certificates of deposit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using fixed interest rates.</w:t>
      </w:r>
    </w:p>
    <w:p>
      <w:pPr>
        <w:spacing w:after="0" w:line="6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i w:val="1"/>
          <w:iCs w:val="1"/>
          <w:color w:val="auto"/>
        </w:rPr>
        <w:t xml:space="preserve">Foreign Exchange Contracts. </w:t>
      </w:r>
      <w:r>
        <w:rPr>
          <w:rFonts w:ascii="Arial" w:cs="Arial" w:eastAsia="Arial" w:hAnsi="Arial"/>
          <w:sz w:val="17"/>
          <w:szCs w:val="17"/>
          <w:color w:val="auto"/>
        </w:rPr>
        <w:t>The Company’s foreign exchange contracts are short-term contracts to hedge the Company’s foreign currency risk. For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that have a right of offset by its individual counterparties under master netting arrangements, the Company presents its foreign exchange contracts on a net basis by counterparty in the consolidated balance sheets. Foreign 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13 to the consolidated financial statements.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years 2016 and 2015, the Company had no transfers of financial assets and liabilities between Level 1 and Level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and Liabilities Measured at Fair Value on a Recurring Basis Using Significant Unobservable Inputs (Level 3)</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connection with the Merger, the Company assumed the previously issued SanDisk Notes which were determined to contain an embedded exchange option derivative and also assumed call options that were intended to offset the dilution of the exchange option (see Note 3). The fair value measurement of the call options and exchange option arising from the assumed SanDisk Notes are not actively traded and are determined via a lattice model, using unobservable inputs (Level 3). These inputs include (i) the estimated amount and timing of settlement of the underlying debt; (ii) the probability of the achievement of the factor(s) on which the settlement is based; (iii) the risk-adjusted discount rate based on the expected term to maturity of the debt; and (iv) economic incentive for holders to exercise their exchange option. Significant increases or decreases in any of those inputs in isolation could result in a significantly lower or higher fair value measurement.</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of call options or exchange option out of Level 3 for 2016.</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is a reconciliation of the call options reported in other current assets and other non-current assets in the Company’s consolidated balance sheets as of July 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2017 Call Options</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2020 Call Options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Total</w:t>
            </w:r>
          </w:p>
        </w:tc>
      </w:tr>
      <w:tr>
        <w:trPr>
          <w:trHeight w:val="223"/>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i w:val="1"/>
                <w:iCs w:val="1"/>
                <w:color w:val="auto"/>
                <w:w w:val="98"/>
              </w:rPr>
              <w:t>(in millions)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estimate upon acquisition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Redemptions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37"/>
        </w:trPr>
        <w:tc>
          <w:tcPr>
            <w:tcW w:w="5720" w:type="dxa"/>
            <w:vAlign w:val="bottom"/>
          </w:tcPr>
          <w:p>
            <w:pPr>
              <w:ind w:left="280"/>
              <w:spacing w:after="0"/>
              <w:rPr>
                <w:sz w:val="20"/>
                <w:szCs w:val="20"/>
                <w:color w:val="auto"/>
              </w:rPr>
            </w:pPr>
            <w:r>
              <w:rPr>
                <w:rFonts w:ascii="Arial" w:cs="Arial" w:eastAsia="Arial" w:hAnsi="Arial"/>
                <w:sz w:val="18"/>
                <w:szCs w:val="18"/>
                <w:color w:val="auto"/>
              </w:rPr>
              <w:t>Fair value at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w:t>
            </w:r>
          </w:p>
        </w:tc>
      </w:tr>
      <w:tr>
        <w:trPr>
          <w:trHeight w:val="27"/>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The following is a reconciliation of the exchange option reported in accrued expenses and other liabilities in the Company’s consolidated balance sheets as of July 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2017 Exchange Options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2020 Exchange Options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23"/>
        </w:trPr>
        <w:tc>
          <w:tcPr>
            <w:tcW w:w="5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i w:val="1"/>
                <w:iCs w:val="1"/>
                <w:color w:val="auto"/>
                <w:w w:val="98"/>
              </w:rPr>
              <w:t>(in millions)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estimate upon acquisition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realized loss (gain)</w:t>
            </w:r>
          </w:p>
        </w:tc>
        <w:tc>
          <w:tcPr>
            <w:tcW w:w="160" w:type="dxa"/>
            <w:vAlign w:val="bottom"/>
          </w:tcPr>
          <w:p>
            <w:pPr>
              <w:spacing w:after="0"/>
              <w:rPr>
                <w:sz w:val="21"/>
                <w:szCs w:val="21"/>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unrealized loss (gain)</w:t>
            </w:r>
          </w:p>
        </w:tc>
        <w:tc>
          <w:tcPr>
            <w:tcW w:w="1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at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For those financial instruments where the carrying amounts differ from fair value, the following table represents the related carrying values and fair values, which are based on quoted market prices. As of July 1, 2016, the Secured Notes, Unsecured Notes, Term Loan A, the U.S. Term Loan B tranche, the Euro Term Loan B tranche and senior secured bridge loan were categorized as Level 2, based on the frequency of trading directly prior to the end of the fourth quarter of 2016. See Note 3 to the consolidated financial statements for additional disclosures related to these financial instruments.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4"/>
                <w:szCs w:val="14"/>
                <w:b w:val="1"/>
                <w:bCs w:val="1"/>
                <w:color w:val="auto"/>
                <w:w w:val="91"/>
              </w:rPr>
              <w:t>July 1, 2016</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300" w:type="dxa"/>
            <w:vAlign w:val="bottom"/>
          </w:tcPr>
          <w:p>
            <w:pPr>
              <w:jc w:val="center"/>
              <w:ind w:left="468"/>
              <w:spacing w:after="0" w:line="153" w:lineRule="exact"/>
              <w:rPr>
                <w:sz w:val="20"/>
                <w:szCs w:val="20"/>
                <w:color w:val="auto"/>
              </w:rPr>
            </w:pPr>
            <w:r>
              <w:rPr>
                <w:rFonts w:ascii="Arial" w:cs="Arial" w:eastAsia="Arial" w:hAnsi="Arial"/>
                <w:sz w:val="14"/>
                <w:szCs w:val="14"/>
                <w:b w:val="1"/>
                <w:bCs w:val="1"/>
                <w:color w:val="auto"/>
                <w:w w:val="92"/>
              </w:rPr>
              <w:t>Aggregated</w:t>
            </w:r>
          </w:p>
        </w:tc>
        <w:tc>
          <w:tcPr>
            <w:tcW w:w="540" w:type="dxa"/>
            <w:vAlign w:val="bottom"/>
          </w:tcPr>
          <w:p>
            <w:pPr>
              <w:spacing w:after="0"/>
              <w:rPr>
                <w:sz w:val="13"/>
                <w:szCs w:val="13"/>
                <w:color w:val="auto"/>
              </w:rPr>
            </w:pPr>
          </w:p>
        </w:tc>
        <w:tc>
          <w:tcPr>
            <w:tcW w:w="192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Aggregated Fair Value</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3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4"/>
              </w:rPr>
              <w:t>Principal</w:t>
            </w:r>
          </w:p>
        </w:tc>
        <w:tc>
          <w:tcPr>
            <w:tcW w:w="5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gridSpan w:val="2"/>
          </w:tcPr>
          <w:p>
            <w:pPr>
              <w:jc w:val="center"/>
              <w:ind w:right="199"/>
              <w:spacing w:after="0"/>
              <w:rPr>
                <w:sz w:val="20"/>
                <w:szCs w:val="20"/>
                <w:color w:val="auto"/>
              </w:rPr>
            </w:pPr>
            <w:r>
              <w:rPr>
                <w:rFonts w:ascii="Arial" w:cs="Arial" w:eastAsia="Arial" w:hAnsi="Arial"/>
                <w:sz w:val="16"/>
                <w:szCs w:val="16"/>
                <w:i w:val="1"/>
                <w:iCs w:val="1"/>
                <w:color w:val="auto"/>
                <w:w w:val="98"/>
              </w:rPr>
              <w:t>(in millions)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Notes</w:t>
            </w:r>
          </w:p>
        </w:tc>
        <w:tc>
          <w:tcPr>
            <w:tcW w:w="5480" w:type="dxa"/>
            <w:vAlign w:val="bottom"/>
            <w:tcBorders>
              <w:bottom w:val="single" w:sz="8" w:color="CCEEFF"/>
            </w:tcBorders>
            <w:gridSpan w:val="2"/>
            <w:shd w:val="clear" w:color="auto" w:fill="CCEEFF"/>
          </w:tcPr>
          <w:p>
            <w:pPr>
              <w:jc w:val="right"/>
              <w:ind w:right="110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1,875</w:t>
            </w:r>
          </w:p>
        </w:tc>
        <w:tc>
          <w:tcPr>
            <w:tcW w:w="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Unsecured Notes</w:t>
            </w:r>
          </w:p>
        </w:tc>
        <w:tc>
          <w:tcPr>
            <w:tcW w:w="4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3,350</w:t>
            </w:r>
          </w:p>
        </w:tc>
        <w:tc>
          <w:tcPr>
            <w:tcW w:w="9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4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4,125</w:t>
            </w:r>
          </w:p>
        </w:tc>
        <w:tc>
          <w:tcPr>
            <w:tcW w:w="9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U.S. Term Loan B</w:t>
            </w:r>
          </w:p>
        </w:tc>
        <w:tc>
          <w:tcPr>
            <w:tcW w:w="4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3,750</w:t>
            </w:r>
          </w:p>
        </w:tc>
        <w:tc>
          <w:tcPr>
            <w:tcW w:w="9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 Term Loan B</w:t>
            </w:r>
          </w:p>
        </w:tc>
        <w:tc>
          <w:tcPr>
            <w:tcW w:w="4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987</w:t>
            </w:r>
          </w:p>
        </w:tc>
        <w:tc>
          <w:tcPr>
            <w:tcW w:w="9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Bridge Loan</w:t>
            </w:r>
          </w:p>
        </w:tc>
        <w:tc>
          <w:tcPr>
            <w:tcW w:w="4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3,000</w:t>
            </w:r>
          </w:p>
        </w:tc>
        <w:tc>
          <w:tcPr>
            <w:tcW w:w="9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486"/>
        </w:trPr>
        <w:tc>
          <w:tcPr>
            <w:tcW w:w="3480" w:type="dxa"/>
            <w:vAlign w:val="bottom"/>
          </w:tcPr>
          <w:p>
            <w:pPr>
              <w:spacing w:after="0"/>
              <w:rPr>
                <w:sz w:val="24"/>
                <w:szCs w:val="24"/>
                <w:color w:val="auto"/>
              </w:rPr>
            </w:pPr>
          </w:p>
        </w:tc>
        <w:tc>
          <w:tcPr>
            <w:tcW w:w="4180" w:type="dxa"/>
            <w:vAlign w:val="bottom"/>
          </w:tcPr>
          <w:p>
            <w:pPr>
              <w:jc w:val="right"/>
              <w:ind w:right="1730"/>
              <w:spacing w:after="0"/>
              <w:rPr>
                <w:sz w:val="20"/>
                <w:szCs w:val="20"/>
                <w:color w:val="auto"/>
              </w:rPr>
            </w:pPr>
            <w:r>
              <w:rPr>
                <w:rFonts w:ascii="Arial" w:cs="Arial" w:eastAsia="Arial" w:hAnsi="Arial"/>
                <w:sz w:val="18"/>
                <w:szCs w:val="18"/>
                <w:color w:val="auto"/>
              </w:rPr>
              <w:t>103</w:t>
            </w: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Method Investments</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 of July 1, 2016, the Company had aggregate net investments under the cost method of accounting of $135 million, and these investments consisted of privately-held equity securities without a readily determinable fair value. The Company has determined that it is not practicable to estimate the fair value of these investments. These privately-held equity investments are reported under other non-current assets in the consolidated balance sheets.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Investments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by major type, the fair value and cost basis of the Company’s investments classified as available-for-sale: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July 1, 2016</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 Basis</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Unrealized Gains (Losses)</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6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i w:val="1"/>
                <w:iCs w:val="1"/>
                <w:color w:val="auto"/>
                <w:w w:val="98"/>
              </w:rPr>
              <w:t>(in millions)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2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202</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government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notes and bonds</w:t>
            </w:r>
          </w:p>
        </w:tc>
        <w:tc>
          <w:tcPr>
            <w:tcW w:w="12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Municipal notes and bonds</w:t>
            </w:r>
          </w:p>
        </w:tc>
        <w:tc>
          <w:tcPr>
            <w:tcW w:w="12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346</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40"/>
        </w:trPr>
        <w:tc>
          <w:tcPr>
            <w:tcW w:w="60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July 3, 2015</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 Basis</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Unrealized Gains (Losses)</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6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i w:val="1"/>
                <w:iCs w:val="1"/>
                <w:color w:val="auto"/>
                <w:w w:val="98"/>
              </w:rPr>
              <w:t>(in millions)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287</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2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590</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fair value of the Company’s investments classified as available-for-sale securities at July 1, 2016, by remaining contractual maturity,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 Basis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r>
      <w:tr>
        <w:trPr>
          <w:trHeight w:val="331"/>
        </w:trPr>
        <w:tc>
          <w:tcPr>
            <w:tcW w:w="7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6"/>
                <w:szCs w:val="16"/>
                <w:i w:val="1"/>
                <w:iCs w:val="1"/>
                <w:color w:val="auto"/>
              </w:rPr>
              <w:t>(in millions)</w:t>
            </w:r>
          </w:p>
        </w:tc>
        <w:tc>
          <w:tcPr>
            <w:tcW w:w="1260" w:type="dxa"/>
            <w:vAlign w:val="bottom"/>
          </w:tcPr>
          <w:p>
            <w:pPr>
              <w:spacing w:after="0"/>
              <w:rPr>
                <w:sz w:val="24"/>
                <w:szCs w:val="24"/>
                <w:color w:val="auto"/>
              </w:rPr>
            </w:pPr>
          </w:p>
        </w:tc>
      </w:tr>
      <w:tr>
        <w:trPr>
          <w:trHeight w:val="33"/>
        </w:trPr>
        <w:tc>
          <w:tcPr>
            <w:tcW w:w="7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 (short-term investments)</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Due in one to five years (included in other non-current assets)</w:t>
            </w:r>
          </w:p>
        </w:tc>
        <w:tc>
          <w:tcPr>
            <w:tcW w:w="126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119</w:t>
            </w:r>
          </w:p>
        </w:tc>
      </w:tr>
      <w:tr>
        <w:trPr>
          <w:trHeight w:val="27"/>
        </w:trPr>
        <w:tc>
          <w:tcPr>
            <w:tcW w:w="7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Company determined no available-for-sale securities were other-than-temporarily impaired in 2016, 2015 or 2014. For more information on the Company’s available-for-sale securities, see Note 11 to the consolidated financial statements.</w:t>
      </w:r>
    </w:p>
    <w:p>
      <w:pPr>
        <w:spacing w:after="0" w:line="62" w:lineRule="exact"/>
        <w:rPr>
          <w:sz w:val="20"/>
          <w:szCs w:val="20"/>
          <w:color w:val="auto"/>
        </w:rPr>
      </w:pPr>
    </w:p>
    <w:p>
      <w:pPr>
        <w:ind w:right="160" w:firstLine="405"/>
        <w:spacing w:after="0" w:line="288" w:lineRule="auto"/>
        <w:rPr>
          <w:sz w:val="20"/>
          <w:szCs w:val="20"/>
          <w:color w:val="auto"/>
        </w:rPr>
      </w:pPr>
      <w:r>
        <w:rPr>
          <w:rFonts w:ascii="Arial" w:cs="Arial" w:eastAsia="Arial" w:hAnsi="Arial"/>
          <w:sz w:val="16"/>
          <w:szCs w:val="16"/>
          <w:color w:val="auto"/>
        </w:rPr>
        <w:t>In November 2015, the Company entered into an agreement to form a joint venture with Unis to market and sell the Company’s current data center storage systems in China and to develop data storage systems for the Chinese market in the future. A business plan for the joint venture has been completed, and the Company expects that the joint venture will be operational during calendar year 2016. The joint venture is 49% owned by the Company and</w:t>
      </w:r>
    </w:p>
    <w:p>
      <w:pPr>
        <w:ind w:right="340"/>
        <w:spacing w:after="0" w:line="255" w:lineRule="auto"/>
        <w:rPr>
          <w:sz w:val="20"/>
          <w:szCs w:val="20"/>
          <w:color w:val="auto"/>
        </w:rPr>
      </w:pPr>
      <w:r>
        <w:rPr>
          <w:rFonts w:ascii="Arial" w:cs="Arial" w:eastAsia="Arial" w:hAnsi="Arial"/>
          <w:sz w:val="18"/>
          <w:szCs w:val="18"/>
          <w:color w:val="auto"/>
        </w:rPr>
        <w:t>51% owned by Unis and its subsidiary, Unissoft (Wuxi) Group Co. Ltd. The Company accounts for its investment in the joint venture under the equity method of accounting. The investment is recorded within other non-current assets in the consolidated balance sheet and is not material to the consolidated financial statements as of July 1, 2016.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of July 1, 2016, the net amount of unrealized gains with respect to the Company’s foreign exchange contracts that is expected to be reclassified into earnings within the next 12 months was $74 million. In addition, as of July 1, 2016, the Company did not have any foreign exchange contracts with credit-risk-related contingent features. The Company opened $5.3 billion and $4.6 billion, and closed $4.5 billion and $4.8 billion, in foreign exchange contracts during the years ended July 1, 2016 and July 3, 2015,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Call Options and Exchange Option Derivatives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assumed call option and exchange option instruments related to the assumed SanDisk Notes in connection with the Merger. See Notes 3 and 11 for further discussion.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and balance sheet location of the Company’s derivative instruments as of July 1, 2016 and July 3, 2015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1"/>
              </w:rPr>
              <w:t>Derivative Assets Reported in</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4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Other Current Assets</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center"/>
              <w:ind w:right="256"/>
              <w:spacing w:after="0"/>
              <w:rPr>
                <w:sz w:val="20"/>
                <w:szCs w:val="20"/>
                <w:color w:val="auto"/>
              </w:rPr>
            </w:pPr>
            <w:r>
              <w:rPr>
                <w:rFonts w:ascii="Arial" w:cs="Arial" w:eastAsia="Arial" w:hAnsi="Arial"/>
                <w:sz w:val="14"/>
                <w:szCs w:val="14"/>
                <w:b w:val="1"/>
                <w:bCs w:val="1"/>
                <w:color w:val="auto"/>
                <w:w w:val="93"/>
              </w:rPr>
              <w:t>Other Non-current Assets</w:t>
            </w:r>
          </w:p>
        </w:tc>
        <w:tc>
          <w:tcPr>
            <w:tcW w:w="0" w:type="dxa"/>
            <w:vAlign w:val="bottom"/>
          </w:tcPr>
          <w:p>
            <w:pPr>
              <w:spacing w:after="0"/>
              <w:rPr>
                <w:sz w:val="1"/>
                <w:szCs w:val="1"/>
                <w:color w:val="auto"/>
              </w:rPr>
            </w:pPr>
          </w:p>
        </w:tc>
      </w:tr>
      <w:tr>
        <w:trPr>
          <w:trHeight w:val="152"/>
        </w:trPr>
        <w:tc>
          <w:tcPr>
            <w:tcW w:w="4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60" w:type="dxa"/>
            <w:vAlign w:val="bottom"/>
          </w:tcPr>
          <w:p>
            <w:pPr>
              <w:jc w:val="center"/>
              <w:ind w:left="302"/>
              <w:spacing w:after="0" w:line="153" w:lineRule="exact"/>
              <w:rPr>
                <w:sz w:val="20"/>
                <w:szCs w:val="20"/>
                <w:color w:val="auto"/>
              </w:rPr>
            </w:pPr>
            <w:r>
              <w:rPr>
                <w:rFonts w:ascii="Arial" w:cs="Arial" w:eastAsia="Arial" w:hAnsi="Arial"/>
                <w:sz w:val="14"/>
                <w:szCs w:val="14"/>
                <w:b w:val="1"/>
                <w:bCs w:val="1"/>
                <w:color w:val="auto"/>
                <w:w w:val="91"/>
              </w:rPr>
              <w:t>July 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left="301"/>
              <w:spacing w:after="0" w:line="153" w:lineRule="exact"/>
              <w:rPr>
                <w:sz w:val="20"/>
                <w:szCs w:val="20"/>
                <w:color w:val="auto"/>
              </w:rPr>
            </w:pPr>
            <w:r>
              <w:rPr>
                <w:rFonts w:ascii="Arial" w:cs="Arial" w:eastAsia="Arial" w:hAnsi="Arial"/>
                <w:sz w:val="14"/>
                <w:szCs w:val="14"/>
                <w:b w:val="1"/>
                <w:bCs w:val="1"/>
                <w:color w:val="auto"/>
                <w:w w:val="96"/>
              </w:rPr>
              <w:t>July 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1"/>
              </w:rPr>
              <w:t>July 1,</w:t>
            </w:r>
          </w:p>
        </w:tc>
        <w:tc>
          <w:tcPr>
            <w:tcW w:w="26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6"/>
              </w:rPr>
              <w:t>July 3,</w:t>
            </w: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2280" w:type="dxa"/>
            <w:vAlign w:val="bottom"/>
            <w:gridSpan w:val="2"/>
          </w:tcPr>
          <w:p>
            <w:pPr>
              <w:jc w:val="center"/>
              <w:ind w:left="1757"/>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left="321"/>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center"/>
              <w:ind w:right="27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98"/>
              </w:rPr>
              <w:t>(in millions)</w:t>
            </w: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 designated</w:t>
            </w:r>
          </w:p>
        </w:tc>
        <w:tc>
          <w:tcPr>
            <w:tcW w:w="2280" w:type="dxa"/>
            <w:vAlign w:val="bottom"/>
            <w:tcBorders>
              <w:bottom w:val="single" w:sz="8" w:color="CCEEFF"/>
            </w:tcBorders>
            <w:gridSpan w:val="2"/>
            <w:shd w:val="clear" w:color="auto" w:fill="CCEEFF"/>
          </w:tcPr>
          <w:p>
            <w:pPr>
              <w:jc w:val="right"/>
              <w:ind w:right="66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Foreign exchange forward contracts not designated</w:t>
            </w:r>
          </w:p>
        </w:tc>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Call options</w:t>
            </w:r>
          </w:p>
        </w:tc>
        <w:tc>
          <w:tcPr>
            <w:tcW w:w="1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40" w:type="dxa"/>
            <w:vAlign w:val="bottom"/>
          </w:tcPr>
          <w:p>
            <w:pPr>
              <w:ind w:left="280"/>
              <w:spacing w:after="0"/>
              <w:rPr>
                <w:sz w:val="20"/>
                <w:szCs w:val="20"/>
                <w:color w:val="auto"/>
              </w:rPr>
            </w:pPr>
            <w:r>
              <w:rPr>
                <w:rFonts w:ascii="Arial" w:cs="Arial" w:eastAsia="Arial" w:hAnsi="Arial"/>
                <w:sz w:val="18"/>
                <w:szCs w:val="18"/>
                <w:color w:val="auto"/>
              </w:rPr>
              <w:t>Total derivatives</w:t>
            </w:r>
          </w:p>
        </w:tc>
        <w:tc>
          <w:tcPr>
            <w:tcW w:w="14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196</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4"/>
              </w:rPr>
              <w:t>Derivative Liabilities Reported in</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4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4"/>
                <w:szCs w:val="14"/>
                <w:b w:val="1"/>
                <w:bCs w:val="1"/>
                <w:color w:val="auto"/>
              </w:rPr>
              <w:t>Accrued Expenses</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center"/>
              <w:ind w:right="236"/>
              <w:spacing w:after="0"/>
              <w:rPr>
                <w:sz w:val="20"/>
                <w:szCs w:val="20"/>
                <w:color w:val="auto"/>
              </w:rPr>
            </w:pPr>
            <w:r>
              <w:rPr>
                <w:rFonts w:ascii="Arial" w:cs="Arial" w:eastAsia="Arial" w:hAnsi="Arial"/>
                <w:sz w:val="14"/>
                <w:szCs w:val="14"/>
                <w:b w:val="1"/>
                <w:bCs w:val="1"/>
                <w:color w:val="auto"/>
                <w:w w:val="96"/>
              </w:rPr>
              <w:t>Other Liabilities</w:t>
            </w:r>
          </w:p>
        </w:tc>
        <w:tc>
          <w:tcPr>
            <w:tcW w:w="0" w:type="dxa"/>
            <w:vAlign w:val="bottom"/>
          </w:tcPr>
          <w:p>
            <w:pPr>
              <w:spacing w:after="0"/>
              <w:rPr>
                <w:sz w:val="1"/>
                <w:szCs w:val="1"/>
                <w:color w:val="auto"/>
              </w:rPr>
            </w:pPr>
          </w:p>
        </w:tc>
      </w:tr>
      <w:tr>
        <w:trPr>
          <w:trHeight w:val="152"/>
        </w:trPr>
        <w:tc>
          <w:tcPr>
            <w:tcW w:w="4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60" w:type="dxa"/>
            <w:vAlign w:val="bottom"/>
          </w:tcPr>
          <w:p>
            <w:pPr>
              <w:jc w:val="center"/>
              <w:ind w:left="302"/>
              <w:spacing w:after="0" w:line="153" w:lineRule="exact"/>
              <w:rPr>
                <w:sz w:val="20"/>
                <w:szCs w:val="20"/>
                <w:color w:val="auto"/>
              </w:rPr>
            </w:pPr>
            <w:r>
              <w:rPr>
                <w:rFonts w:ascii="Arial" w:cs="Arial" w:eastAsia="Arial" w:hAnsi="Arial"/>
                <w:sz w:val="14"/>
                <w:szCs w:val="14"/>
                <w:b w:val="1"/>
                <w:bCs w:val="1"/>
                <w:color w:val="auto"/>
                <w:w w:val="91"/>
              </w:rPr>
              <w:t>July 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left="301"/>
              <w:spacing w:after="0" w:line="153" w:lineRule="exact"/>
              <w:rPr>
                <w:sz w:val="20"/>
                <w:szCs w:val="20"/>
                <w:color w:val="auto"/>
              </w:rPr>
            </w:pPr>
            <w:r>
              <w:rPr>
                <w:rFonts w:ascii="Arial" w:cs="Arial" w:eastAsia="Arial" w:hAnsi="Arial"/>
                <w:sz w:val="14"/>
                <w:szCs w:val="14"/>
                <w:b w:val="1"/>
                <w:bCs w:val="1"/>
                <w:color w:val="auto"/>
                <w:w w:val="96"/>
              </w:rPr>
              <w:t>July 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1"/>
              </w:rPr>
              <w:t>July 1,</w:t>
            </w:r>
          </w:p>
        </w:tc>
        <w:tc>
          <w:tcPr>
            <w:tcW w:w="26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6"/>
              </w:rPr>
              <w:t>July 3,</w:t>
            </w: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2280" w:type="dxa"/>
            <w:vAlign w:val="bottom"/>
            <w:gridSpan w:val="2"/>
          </w:tcPr>
          <w:p>
            <w:pPr>
              <w:jc w:val="center"/>
              <w:ind w:left="1757"/>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left="321"/>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center"/>
              <w:ind w:right="27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98"/>
              </w:rPr>
              <w:t>(in millions)</w:t>
            </w: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 designated</w:t>
            </w:r>
          </w:p>
        </w:tc>
        <w:tc>
          <w:tcPr>
            <w:tcW w:w="2280" w:type="dxa"/>
            <w:vAlign w:val="bottom"/>
            <w:tcBorders>
              <w:bottom w:val="single" w:sz="8" w:color="CCEEFF"/>
            </w:tcBorders>
            <w:gridSpan w:val="2"/>
            <w:shd w:val="clear" w:color="auto" w:fill="CCEEFF"/>
          </w:tcPr>
          <w:p>
            <w:pPr>
              <w:jc w:val="right"/>
              <w:ind w:right="66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Foreign exchange forward contracts not designated</w:t>
            </w:r>
          </w:p>
        </w:tc>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option</w:t>
            </w:r>
          </w:p>
        </w:tc>
        <w:tc>
          <w:tcPr>
            <w:tcW w:w="1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40" w:type="dxa"/>
            <w:vAlign w:val="bottom"/>
          </w:tcPr>
          <w:p>
            <w:pPr>
              <w:ind w:left="280"/>
              <w:spacing w:after="0"/>
              <w:rPr>
                <w:sz w:val="20"/>
                <w:szCs w:val="20"/>
                <w:color w:val="auto"/>
              </w:rPr>
            </w:pPr>
            <w:r>
              <w:rPr>
                <w:rFonts w:ascii="Arial" w:cs="Arial" w:eastAsia="Arial" w:hAnsi="Arial"/>
                <w:sz w:val="18"/>
                <w:szCs w:val="18"/>
                <w:color w:val="auto"/>
              </w:rPr>
              <w:t>Total derivatives</w:t>
            </w:r>
          </w:p>
        </w:tc>
        <w:tc>
          <w:tcPr>
            <w:tcW w:w="14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164</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20" w:type="dxa"/>
            <w:vAlign w:val="bottom"/>
            <w:vMerge w:val="restart"/>
          </w:tcPr>
          <w:p>
            <w:pPr>
              <w:jc w:val="right"/>
              <w:ind w:right="137"/>
              <w:spacing w:after="0"/>
              <w:rPr>
                <w:sz w:val="20"/>
                <w:szCs w:val="20"/>
                <w:color w:val="auto"/>
              </w:rPr>
            </w:pPr>
            <w:r>
              <w:rPr>
                <w:rFonts w:ascii="Arial" w:cs="Arial" w:eastAsia="Arial" w:hAnsi="Arial"/>
                <w:sz w:val="18"/>
                <w:szCs w:val="18"/>
                <w:color w:val="auto"/>
              </w:rPr>
              <w:t>106</w:t>
            </w: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Netting Arrangements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gross amounts of the Company’s derivative instruments, amounts offset due to master netting arrangements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various counterparties and the net amounts recognized in the consolidated balance sheet as of July 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6"/>
          </w:tcPr>
          <w:p>
            <w:pPr>
              <w:ind w:left="20"/>
              <w:spacing w:after="0"/>
              <w:rPr>
                <w:sz w:val="20"/>
                <w:szCs w:val="20"/>
                <w:color w:val="auto"/>
              </w:rPr>
            </w:pPr>
            <w:r>
              <w:rPr>
                <w:rFonts w:ascii="Arial" w:cs="Arial" w:eastAsia="Arial" w:hAnsi="Arial"/>
                <w:sz w:val="14"/>
                <w:szCs w:val="14"/>
                <w:b w:val="1"/>
                <w:bCs w:val="1"/>
                <w:color w:val="auto"/>
              </w:rPr>
              <w:t>Gross Amounts Not Offset in the Balance</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Sheet</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Gross Amounts of</w:t>
            </w:r>
          </w:p>
        </w:tc>
        <w:tc>
          <w:tcPr>
            <w:tcW w:w="16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Assets (Liabilities)</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40" w:type="dxa"/>
            <w:vAlign w:val="bottom"/>
          </w:tcPr>
          <w:p>
            <w:pPr>
              <w:spacing w:after="0"/>
              <w:rPr>
                <w:sz w:val="7"/>
                <w:szCs w:val="7"/>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Derivatives Designated as</w:t>
            </w:r>
          </w:p>
        </w:tc>
        <w:tc>
          <w:tcPr>
            <w:tcW w:w="140" w:type="dxa"/>
            <w:vAlign w:val="bottom"/>
          </w:tcPr>
          <w:p>
            <w:pPr>
              <w:spacing w:after="0"/>
              <w:rPr>
                <w:sz w:val="5"/>
                <w:szCs w:val="5"/>
                <w:color w:val="auto"/>
              </w:rPr>
            </w:pPr>
          </w:p>
        </w:tc>
        <w:tc>
          <w:tcPr>
            <w:tcW w:w="13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148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Offset in the Balance</w:t>
            </w: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Cash Collateral</w:t>
            </w: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40" w:type="dxa"/>
            <w:vAlign w:val="bottom"/>
          </w:tcPr>
          <w:p>
            <w:pPr>
              <w:spacing w:after="0"/>
              <w:rPr>
                <w:sz w:val="9"/>
                <w:szCs w:val="9"/>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(Liabilities)</w:t>
            </w:r>
          </w:p>
        </w:tc>
        <w:tc>
          <w:tcPr>
            <w:tcW w:w="160" w:type="dxa"/>
            <w:vAlign w:val="bottom"/>
          </w:tcPr>
          <w:p>
            <w:pPr>
              <w:spacing w:after="0"/>
              <w:rPr>
                <w:sz w:val="9"/>
                <w:szCs w:val="9"/>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Received or Pledged</w:t>
            </w:r>
          </w:p>
        </w:tc>
        <w:tc>
          <w:tcPr>
            <w:tcW w:w="200" w:type="dxa"/>
            <w:vAlign w:val="bottom"/>
          </w:tcPr>
          <w:p>
            <w:pPr>
              <w:spacing w:after="0"/>
              <w:rPr>
                <w:sz w:val="9"/>
                <w:szCs w:val="9"/>
                <w:color w:val="auto"/>
              </w:rPr>
            </w:pPr>
          </w:p>
        </w:tc>
        <w:tc>
          <w:tcPr>
            <w:tcW w:w="11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87"/>
        </w:trPr>
        <w:tc>
          <w:tcPr>
            <w:tcW w:w="2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gridSpan w:val="4"/>
          </w:tcPr>
          <w:p>
            <w:pPr>
              <w:ind w:left="88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Financial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640" w:type="dxa"/>
            <w:vAlign w:val="bottom"/>
            <w:gridSpan w:val="2"/>
          </w:tcPr>
          <w:p>
            <w:pPr>
              <w:ind w:left="280"/>
              <w:spacing w:after="0"/>
              <w:rPr>
                <w:sz w:val="20"/>
                <w:szCs w:val="20"/>
                <w:color w:val="auto"/>
              </w:rPr>
            </w:pPr>
            <w:r>
              <w:rPr>
                <w:rFonts w:ascii="Arial" w:cs="Arial" w:eastAsia="Arial" w:hAnsi="Arial"/>
                <w:sz w:val="18"/>
                <w:szCs w:val="18"/>
                <w:color w:val="auto"/>
              </w:rPr>
              <w:t>Total derivative instruments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The Company had a gross and net liability of $31 million related to its derivative instruments outstanding at July 3, 2015. There were no amounts offset due to master netting arrangements in place at July 3, 2015.</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Effect of Foreign Exchange Contracts on the Consolidated Statements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impact of foreign exchange contracts on the consolidated financial statements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gridSpan w:val="5"/>
            <w:vMerge w:val="restart"/>
          </w:tcPr>
          <w:p>
            <w:pPr>
              <w:jc w:val="center"/>
              <w:ind w:right="60"/>
              <w:spacing w:after="0"/>
              <w:rPr>
                <w:sz w:val="20"/>
                <w:szCs w:val="20"/>
                <w:color w:val="auto"/>
              </w:rPr>
            </w:pPr>
            <w:r>
              <w:rPr>
                <w:rFonts w:ascii="Arial" w:cs="Arial" w:eastAsia="Arial" w:hAnsi="Arial"/>
                <w:sz w:val="14"/>
                <w:szCs w:val="14"/>
                <w:b w:val="1"/>
                <w:bCs w:val="1"/>
                <w:color w:val="auto"/>
                <w:w w:val="92"/>
              </w:rPr>
              <w:t>Amount of Gain (Loss) Recognized in Accumulated</w:t>
            </w:r>
          </w:p>
        </w:tc>
        <w:tc>
          <w:tcPr>
            <w:tcW w:w="140" w:type="dxa"/>
            <w:vAlign w:val="bottom"/>
          </w:tcPr>
          <w:p>
            <w:pPr>
              <w:spacing w:after="0"/>
              <w:rPr>
                <w:sz w:val="14"/>
                <w:szCs w:val="14"/>
                <w:color w:val="auto"/>
              </w:rPr>
            </w:pPr>
          </w:p>
        </w:tc>
        <w:tc>
          <w:tcPr>
            <w:tcW w:w="316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3160" w:type="dxa"/>
            <w:vAlign w:val="bottom"/>
            <w:gridSpan w:val="3"/>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Other Comprehensive Income on Derivatives</w:t>
            </w:r>
          </w:p>
        </w:tc>
        <w:tc>
          <w:tcPr>
            <w:tcW w:w="140" w:type="dxa"/>
            <w:vAlign w:val="bottom"/>
          </w:tcPr>
          <w:p>
            <w:pPr>
              <w:spacing w:after="0"/>
              <w:rPr>
                <w:sz w:val="16"/>
                <w:szCs w:val="16"/>
                <w:color w:val="auto"/>
              </w:rPr>
            </w:pPr>
          </w:p>
        </w:tc>
        <w:tc>
          <w:tcPr>
            <w:tcW w:w="1980" w:type="dxa"/>
            <w:vAlign w:val="bottom"/>
            <w:gridSpan w:val="2"/>
          </w:tcPr>
          <w:p>
            <w:pPr>
              <w:jc w:val="center"/>
              <w:ind w:left="1004"/>
              <w:spacing w:after="0"/>
              <w:rPr>
                <w:sz w:val="20"/>
                <w:szCs w:val="20"/>
                <w:color w:val="auto"/>
              </w:rPr>
            </w:pPr>
            <w:r>
              <w:rPr>
                <w:rFonts w:ascii="Arial" w:cs="Arial" w:eastAsia="Arial" w:hAnsi="Arial"/>
                <w:sz w:val="14"/>
                <w:szCs w:val="14"/>
                <w:b w:val="1"/>
                <w:bCs w:val="1"/>
                <w:color w:val="auto"/>
                <w:w w:val="93"/>
              </w:rPr>
              <w:t>Income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0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4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960" w:type="dxa"/>
            <w:vAlign w:val="bottom"/>
            <w:tcBorders>
              <w:top w:val="single" w:sz="8" w:color="auto"/>
            </w:tcBorders>
            <w:gridSpan w:val="4"/>
          </w:tcPr>
          <w:p>
            <w:pPr>
              <w:ind w:left="880"/>
              <w:spacing w:after="0"/>
              <w:rPr>
                <w:sz w:val="20"/>
                <w:szCs w:val="20"/>
                <w:color w:val="auto"/>
              </w:rPr>
            </w:pPr>
            <w:r>
              <w:rPr>
                <w:rFonts w:ascii="Arial" w:cs="Arial" w:eastAsia="Arial" w:hAnsi="Arial"/>
                <w:sz w:val="16"/>
                <w:szCs w:val="16"/>
                <w:i w:val="1"/>
                <w:iCs w:val="1"/>
                <w:color w:val="auto"/>
              </w:rPr>
              <w:t>(in millions)</w:t>
            </w:r>
          </w:p>
        </w:tc>
        <w:tc>
          <w:tcPr>
            <w:tcW w:w="4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total net realized transaction and foreign exchange contract currency gains and losses were not material to the consolidated financial statements during 2016, 2015 and 2014. See Notes 1 and 11 to the consolidated financial statements for additional disclosures related to the Company’s foreign exchange contracts.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Goodwill and Other Intangible Assets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activity related to the carrying amount of goodwill: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373"/>
              <w:spacing w:after="0"/>
              <w:rPr>
                <w:sz w:val="20"/>
                <w:szCs w:val="20"/>
                <w:color w:val="auto"/>
              </w:rPr>
            </w:pPr>
            <w:r>
              <w:rPr>
                <w:rFonts w:ascii="Arial" w:cs="Arial" w:eastAsia="Arial" w:hAnsi="Arial"/>
                <w:sz w:val="16"/>
                <w:szCs w:val="16"/>
                <w:i w:val="1"/>
                <w:iCs w:val="1"/>
                <w:color w:val="auto"/>
              </w:rPr>
              <w:t>(in millions)</w:t>
            </w:r>
          </w:p>
        </w:tc>
        <w:tc>
          <w:tcPr>
            <w:tcW w:w="0" w:type="dxa"/>
            <w:vAlign w:val="bottom"/>
          </w:tcPr>
          <w:p>
            <w:pPr>
              <w:spacing w:after="0"/>
              <w:rPr>
                <w:sz w:val="1"/>
                <w:szCs w:val="1"/>
                <w:color w:val="auto"/>
              </w:rPr>
            </w:pPr>
          </w:p>
        </w:tc>
      </w:tr>
      <w:tr>
        <w:trPr>
          <w:trHeight w:val="276"/>
        </w:trPr>
        <w:tc>
          <w:tcPr>
            <w:tcW w:w="4700" w:type="dxa"/>
            <w:vAlign w:val="bottom"/>
          </w:tcPr>
          <w:p>
            <w:pPr>
              <w:ind w:left="40"/>
              <w:spacing w:after="0"/>
              <w:rPr>
                <w:sz w:val="20"/>
                <w:szCs w:val="20"/>
                <w:color w:val="auto"/>
              </w:rPr>
            </w:pPr>
            <w:r>
              <w:rPr>
                <w:rFonts w:ascii="Arial" w:cs="Arial" w:eastAsia="Arial" w:hAnsi="Arial"/>
                <w:sz w:val="18"/>
                <w:szCs w:val="18"/>
                <w:color w:val="auto"/>
              </w:rPr>
              <w:t>Balance at June 27, 2014</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recorded in connection with acquisitions</w:t>
            </w: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at July 3, 2015</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recorded in connection with acquisitions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1, 2016</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9,951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3"/>
            <w:vMerge w:val="restart"/>
          </w:tcPr>
          <w:p>
            <w:pPr>
              <w:ind w:left="420"/>
              <w:spacing w:after="0"/>
              <w:rPr>
                <w:sz w:val="20"/>
                <w:szCs w:val="20"/>
                <w:color w:val="auto"/>
              </w:rPr>
            </w:pPr>
            <w:r>
              <w:rPr>
                <w:rFonts w:ascii="Arial" w:cs="Arial" w:eastAsia="Arial" w:hAnsi="Arial"/>
                <w:sz w:val="18"/>
                <w:szCs w:val="18"/>
                <w:color w:val="auto"/>
                <w:w w:val="91"/>
              </w:rPr>
              <w:t>The following tables present intangible assets as of July 1, 2016 and July 3, 2015:</w:t>
            </w:r>
          </w:p>
        </w:tc>
        <w:tc>
          <w:tcPr>
            <w:tcW w:w="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42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1, 2016</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340" w:type="dxa"/>
            <w:vAlign w:val="bottom"/>
          </w:tcPr>
          <w:p>
            <w:pPr>
              <w:spacing w:after="0"/>
              <w:rPr>
                <w:sz w:val="13"/>
                <w:szCs w:val="13"/>
                <w:color w:val="auto"/>
              </w:rPr>
            </w:pPr>
          </w:p>
        </w:tc>
        <w:tc>
          <w:tcPr>
            <w:tcW w:w="126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5"/>
              </w:rPr>
              <w:t>Net Carrying Amount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2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i w:val="1"/>
                <w:iCs w:val="1"/>
                <w:color w:val="auto"/>
                <w:w w:val="95"/>
              </w:rPr>
              <w:t>(in years)</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294"/>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Existing technology</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Trade names and trademarks</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interests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finite intangible assets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intangible assets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7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 2015</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340" w:type="dxa"/>
            <w:vAlign w:val="bottom"/>
          </w:tcPr>
          <w:p>
            <w:pPr>
              <w:spacing w:after="0"/>
              <w:rPr>
                <w:sz w:val="13"/>
                <w:szCs w:val="13"/>
                <w:color w:val="auto"/>
              </w:rPr>
            </w:pPr>
          </w:p>
        </w:tc>
        <w:tc>
          <w:tcPr>
            <w:tcW w:w="126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5"/>
              </w:rPr>
              <w:t>Net Carrying Amount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2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i w:val="1"/>
                <w:iCs w:val="1"/>
                <w:color w:val="auto"/>
                <w:w w:val="95"/>
              </w:rPr>
              <w:t>(in years)</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294"/>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Existing technology</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Leasehold interests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finite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intangible assets</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Intangible assets are amortized over the estimated useful lives based on the pattern in which the economic benefits are expected to be received. Amortization expense for intangible assets was $266 million, $171 million and $213 million for 2016, 2015 and 2014, respectively. During 2016, 2015 and 2014, the Company recorded $36 million, $39 million and $53 million of impairment charges related to intangible assets, respectively, which are recorded in the employee termination, asset impairment and other charges within the Company’s consolidated statements of income. The impairment charges primarily relate to acquired IPR&amp;D projects that were abandoned and resulted in full impairment.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estimated future amortization expense for intangible assets currently subject to amortization: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July 1,</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right="194"/>
              <w:spacing w:after="0"/>
              <w:rPr>
                <w:sz w:val="20"/>
                <w:szCs w:val="20"/>
                <w:color w:val="auto"/>
              </w:rPr>
            </w:pPr>
            <w:r>
              <w:rPr>
                <w:rFonts w:ascii="Arial" w:cs="Arial" w:eastAsia="Arial" w:hAnsi="Arial"/>
                <w:sz w:val="16"/>
                <w:szCs w:val="16"/>
                <w:i w:val="1"/>
                <w:iCs w:val="1"/>
                <w:color w:val="auto"/>
                <w:w w:val="96"/>
              </w:rPr>
              <w:t>(in millions)</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2018</w:t>
            </w:r>
          </w:p>
        </w:tc>
        <w:tc>
          <w:tcPr>
            <w:tcW w:w="5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2020</w:t>
            </w:r>
          </w:p>
        </w:tc>
        <w:tc>
          <w:tcPr>
            <w:tcW w:w="5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5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Future amortization expense</w:t>
            </w:r>
          </w:p>
        </w:tc>
        <w:tc>
          <w:tcPr>
            <w:tcW w:w="6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bottom w:val="single" w:sz="8" w:color="CCEEFF"/>
            </w:tcBorders>
            <w:vMerge w:val="restart"/>
          </w:tcPr>
          <w:p>
            <w:pPr>
              <w:jc w:val="right"/>
              <w:ind w:right="3790"/>
              <w:spacing w:after="0"/>
              <w:rPr>
                <w:sz w:val="20"/>
                <w:szCs w:val="20"/>
                <w:color w:val="auto"/>
              </w:rPr>
            </w:pPr>
            <w:r>
              <w:rPr>
                <w:rFonts w:ascii="Arial" w:cs="Arial" w:eastAsia="Arial" w:hAnsi="Arial"/>
                <w:sz w:val="18"/>
                <w:szCs w:val="18"/>
                <w:color w:val="auto"/>
              </w:rPr>
              <w:t>109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6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 Plans</w:t>
      </w:r>
    </w:p>
    <w:p>
      <w:pPr>
        <w:spacing w:after="0" w:line="121"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The Company has pension and other post-retirement benefit plans in various countries. The Company’s principal plans are in Japan. All pension and other post-retirement benefit plans outside of the Company’s Japanese plans are immaterial to the Company’s consolidated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the benefit obligations and plan assets for the Japanese defined benefit pension plans were as follows for 2016, 2015 and 2014: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23"/>
        </w:trPr>
        <w:tc>
          <w:tcPr>
            <w:tcW w:w="6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i w:val="1"/>
                <w:iCs w:val="1"/>
                <w:color w:val="auto"/>
              </w:rPr>
              <w:t>(in millions)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Benefit obligation at beginning of period</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234</w:t>
            </w:r>
          </w:p>
        </w:tc>
      </w:tr>
      <w:tr>
        <w:trPr>
          <w:trHeight w:val="27"/>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 cost</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Actuarial loss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Benefits paid</w:t>
            </w:r>
          </w:p>
        </w:tc>
        <w:tc>
          <w:tcPr>
            <w:tcW w:w="1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Settlement/Curtailment</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tcPr>
          <w:p>
            <w:pPr>
              <w:ind w:left="50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10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Non-U.S. currency movement</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Benefit obligation at end of period</w:t>
            </w:r>
          </w:p>
        </w:tc>
        <w:tc>
          <w:tcPr>
            <w:tcW w:w="1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w:t>
            </w:r>
          </w:p>
        </w:tc>
      </w:tr>
      <w:tr>
        <w:trPr>
          <w:trHeight w:val="27"/>
        </w:trPr>
        <w:tc>
          <w:tcPr>
            <w:tcW w:w="6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Fair value of plan assets at beginning of period</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167</w:t>
            </w:r>
          </w:p>
        </w:tc>
      </w:tr>
      <w:tr>
        <w:trPr>
          <w:trHeight w:val="27"/>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Actual return on plan assets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Employer contributions</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Benefits paid</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6400" w:type="dxa"/>
            <w:vAlign w:val="bottom"/>
          </w:tcPr>
          <w:p>
            <w:pPr>
              <w:ind w:left="50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10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Non-U.S. currency movement</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Fair value of plan assets at end of period</w:t>
            </w:r>
          </w:p>
        </w:tc>
        <w:tc>
          <w:tcPr>
            <w:tcW w:w="1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w:t>
            </w:r>
          </w:p>
        </w:tc>
      </w:tr>
      <w:tr>
        <w:trPr>
          <w:trHeight w:val="27"/>
        </w:trPr>
        <w:tc>
          <w:tcPr>
            <w:tcW w:w="6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status at end of year</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right="540" w:hanging="332"/>
        <w:spacing w:after="0" w:line="252" w:lineRule="auto"/>
        <w:tabs>
          <w:tab w:leader="none" w:pos="34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During fiscal 2014 the Japan entity assumed benefit obligations and plan assets from Hitachi Ltd. (“Hitachi”). These pension obligations related to former Hitachi employees who were hired into the HGST Japan entity during or soon after the 2012 acquisition of HGST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10204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1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 presents the unfunded amounts related to the Japanese defined pension plans as recognized on the Company’s consolidated balance sheets as of July 1, 2016 and July 3,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100" w:type="dxa"/>
            <w:vAlign w:val="bottom"/>
          </w:tcPr>
          <w:p>
            <w:pPr>
              <w:jc w:val="right"/>
              <w:ind w:right="39"/>
              <w:spacing w:after="0"/>
              <w:rPr>
                <w:sz w:val="20"/>
                <w:szCs w:val="20"/>
                <w:color w:val="auto"/>
              </w:rPr>
            </w:pPr>
            <w:r>
              <w:rPr>
                <w:rFonts w:ascii="Arial" w:cs="Arial" w:eastAsia="Arial" w:hAnsi="Arial"/>
                <w:sz w:val="14"/>
                <w:szCs w:val="14"/>
                <w:b w:val="1"/>
                <w:bCs w:val="1"/>
                <w:color w:val="auto"/>
              </w:rPr>
              <w:t>July 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4"/>
                <w:szCs w:val="14"/>
                <w:b w:val="1"/>
                <w:bCs w:val="1"/>
                <w:color w:val="auto"/>
              </w:rPr>
              <w:t>July 3,</w:t>
            </w:r>
          </w:p>
        </w:tc>
      </w:tr>
      <w:tr>
        <w:trPr>
          <w:trHeight w:val="192"/>
        </w:trPr>
        <w:tc>
          <w:tcPr>
            <w:tcW w:w="8120" w:type="dxa"/>
            <w:vAlign w:val="bottom"/>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2015</w:t>
            </w:r>
          </w:p>
        </w:tc>
      </w:tr>
      <w:tr>
        <w:trPr>
          <w:trHeight w:val="223"/>
        </w:trPr>
        <w:tc>
          <w:tcPr>
            <w:tcW w:w="8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6"/>
                <w:szCs w:val="16"/>
                <w:i w:val="1"/>
                <w:iCs w:val="1"/>
                <w:color w:val="auto"/>
              </w:rPr>
              <w:t>(in millions)</w:t>
            </w:r>
          </w:p>
        </w:tc>
        <w:tc>
          <w:tcPr>
            <w:tcW w:w="114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1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45</w:t>
            </w: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amount recognized</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accumulated benefit obligation for the Japanese defined benefit pension plans was $326 million at July 1, 2016. As of July 1, 2016, actuarial gains for the Japanese defined benefit pension plans of $57 million are included in accumulated other comprehensive income (loss) in the consolidated balance sheet. There were no prior service credits for the defined benefit pension plans recognized in accumulated other comprehensive income (loss) in the consolidated balance sheet as of July 1,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Weighted-Average Assumptions</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weighted-average actuarial assumptions used to determine benefit obligations for the Japanese defined benefit pension plans were as follows for 2016,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gridSpan w:val="2"/>
          </w:tcPr>
          <w:p>
            <w:pPr>
              <w:ind w:left="7220"/>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Arial" w:cs="Arial" w:eastAsia="Arial" w:hAnsi="Arial"/>
                <w:sz w:val="14"/>
                <w:szCs w:val="14"/>
                <w:b w:val="1"/>
                <w:bCs w:val="1"/>
                <w:color w:val="auto"/>
              </w:rPr>
              <w:t>2014</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Rate of compensation increase</w:t>
            </w: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37"/>
        </w:trPr>
        <w:tc>
          <w:tcPr>
            <w:tcW w:w="11420" w:type="dxa"/>
            <w:vAlign w:val="bottom"/>
            <w:gridSpan w:val="7"/>
          </w:tcPr>
          <w:p>
            <w:pPr>
              <w:jc w:val="right"/>
              <w:ind w:right="195"/>
              <w:spacing w:after="0"/>
              <w:rPr>
                <w:sz w:val="20"/>
                <w:szCs w:val="20"/>
                <w:color w:val="auto"/>
              </w:rPr>
            </w:pPr>
            <w:r>
              <w:rPr>
                <w:rFonts w:ascii="Arial" w:cs="Arial" w:eastAsia="Arial" w:hAnsi="Arial"/>
                <w:sz w:val="18"/>
                <w:szCs w:val="18"/>
                <w:color w:val="auto"/>
                <w:w w:val="93"/>
              </w:rPr>
              <w:t>The weighted-average actuarial assumptions used to determine benefit costs for the Japanese defined benefit pension plans were as follows for 2016,</w:t>
            </w: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2015 and 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99"/>
        </w:trPr>
        <w:tc>
          <w:tcPr>
            <w:tcW w:w="7600" w:type="dxa"/>
            <w:vAlign w:val="bottom"/>
            <w:gridSpan w:val="2"/>
          </w:tcPr>
          <w:p>
            <w:pPr>
              <w:ind w:left="7220"/>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1540" w:type="dxa"/>
            <w:vAlign w:val="bottom"/>
          </w:tcPr>
          <w:p>
            <w:pPr>
              <w:jc w:val="right"/>
              <w:ind w:right="535"/>
              <w:spacing w:after="0"/>
              <w:rPr>
                <w:sz w:val="20"/>
                <w:szCs w:val="20"/>
                <w:color w:val="auto"/>
              </w:rPr>
            </w:pPr>
            <w:r>
              <w:rPr>
                <w:rFonts w:ascii="Arial" w:cs="Arial" w:eastAsia="Arial" w:hAnsi="Arial"/>
                <w:sz w:val="14"/>
                <w:szCs w:val="14"/>
                <w:b w:val="1"/>
                <w:bCs w:val="1"/>
                <w:color w:val="auto"/>
              </w:rPr>
              <w:t>2014</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6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The Company develops a discount rate by calculating when the estimated benefit payments will be due. Management in Japan then matches the benefit payments to AA or higher bond ratings that match the timing of the expected benefit payments to determine the appropriate discount rate.</w:t>
      </w:r>
    </w:p>
    <w:p>
      <w:pPr>
        <w:spacing w:after="0" w:line="38" w:lineRule="exact"/>
        <w:rPr>
          <w:sz w:val="20"/>
          <w:szCs w:val="20"/>
          <w:color w:val="auto"/>
        </w:rPr>
      </w:pPr>
    </w:p>
    <w:p>
      <w:pPr>
        <w:jc w:val="both"/>
        <w:ind w:right="360" w:firstLine="405"/>
        <w:spacing w:after="0" w:line="259" w:lineRule="auto"/>
        <w:rPr>
          <w:sz w:val="20"/>
          <w:szCs w:val="20"/>
          <w:color w:val="auto"/>
        </w:rPr>
      </w:pPr>
      <w:r>
        <w:rPr>
          <w:rFonts w:ascii="Arial" w:cs="Arial" w:eastAsia="Arial" w:hAnsi="Arial"/>
          <w:sz w:val="18"/>
          <w:szCs w:val="18"/>
          <w:color w:val="auto"/>
        </w:rPr>
        <w:t>The Company develops the expected long-term rate of return on plan assets by analyzing rates of return in Japan as well as the investment portfolio applicable to the plan. Management’s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develops the rate of compensation increase assumptions using local compensation practices and historical rates of increases.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Policies and Strategies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investment policy in Japan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35% in equity securities, 62% in debt securities and the remaining 3%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spacing w:after="0" w:line="8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present the Japanese defined benefit pension plans’ major asset categories and their associated fair values as of July 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 2015: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w w:val="91"/>
              </w:rPr>
              <w:t>July 1, 2016</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23"/>
        </w:trPr>
        <w:tc>
          <w:tcPr>
            <w:tcW w:w="5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center"/>
              <w:ind w:left="616"/>
              <w:spacing w:after="0"/>
              <w:rPr>
                <w:sz w:val="20"/>
                <w:szCs w:val="20"/>
                <w:color w:val="auto"/>
              </w:rPr>
            </w:pPr>
            <w:r>
              <w:rPr>
                <w:rFonts w:ascii="Arial" w:cs="Arial" w:eastAsia="Arial" w:hAnsi="Arial"/>
                <w:sz w:val="16"/>
                <w:szCs w:val="16"/>
                <w:i w:val="1"/>
                <w:iCs w:val="1"/>
                <w:color w:val="auto"/>
                <w:w w:val="98"/>
              </w:rPr>
              <w:t>(in millions)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6"/>
        </w:trPr>
        <w:tc>
          <w:tcPr>
            <w:tcW w:w="5160" w:type="dxa"/>
            <w:vAlign w:val="bottom"/>
          </w:tcPr>
          <w:p>
            <w:pPr>
              <w:ind w:left="40"/>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(1)</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5160" w:type="dxa"/>
            <w:vAlign w:val="bottom"/>
          </w:tcPr>
          <w:p>
            <w:pPr>
              <w:ind w:left="280"/>
              <w:spacing w:after="0" w:line="270" w:lineRule="exact"/>
              <w:rPr>
                <w:sz w:val="20"/>
                <w:szCs w:val="20"/>
                <w:color w:val="auto"/>
              </w:rPr>
            </w:pPr>
            <w:r>
              <w:rPr>
                <w:rFonts w:ascii="Arial" w:cs="Arial" w:eastAsia="Arial" w:hAnsi="Arial"/>
                <w:sz w:val="18"/>
                <w:szCs w:val="18"/>
                <w:color w:val="auto"/>
              </w:rPr>
              <w:t>Equity commingled/mutual funds</w:t>
            </w:r>
            <w:r>
              <w:rPr>
                <w:rFonts w:ascii="Arial" w:cs="Arial" w:eastAsia="Arial" w:hAnsi="Arial"/>
                <w:sz w:val="25"/>
                <w:szCs w:val="25"/>
                <w:color w:val="auto"/>
                <w:vertAlign w:val="superscript"/>
              </w:rPr>
              <w:t>(1)(2)</w:t>
            </w:r>
          </w:p>
        </w:tc>
        <w:tc>
          <w:tcPr>
            <w:tcW w:w="108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w:t>
            </w: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Fixed income commingled/mutual funds</w:t>
            </w:r>
            <w:r>
              <w:rPr>
                <w:rFonts w:ascii="Arial" w:cs="Arial" w:eastAsia="Arial" w:hAnsi="Arial"/>
                <w:sz w:val="25"/>
                <w:szCs w:val="25"/>
                <w:color w:val="auto"/>
                <w:vertAlign w:val="superscript"/>
              </w:rPr>
              <w:t>(1)(3)</w:t>
            </w:r>
          </w:p>
        </w:tc>
        <w:tc>
          <w:tcPr>
            <w:tcW w:w="10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and short-term investments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Fair value of plan assets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34"/>
        </w:trPr>
        <w:tc>
          <w:tcPr>
            <w:tcW w:w="51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w w:val="91"/>
              </w:rPr>
              <w:t>July 3, 2015</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23"/>
        </w:trPr>
        <w:tc>
          <w:tcPr>
            <w:tcW w:w="5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center"/>
              <w:ind w:left="616"/>
              <w:spacing w:after="0"/>
              <w:rPr>
                <w:sz w:val="20"/>
                <w:szCs w:val="20"/>
                <w:color w:val="auto"/>
              </w:rPr>
            </w:pPr>
            <w:r>
              <w:rPr>
                <w:rFonts w:ascii="Arial" w:cs="Arial" w:eastAsia="Arial" w:hAnsi="Arial"/>
                <w:sz w:val="16"/>
                <w:szCs w:val="16"/>
                <w:i w:val="1"/>
                <w:iCs w:val="1"/>
                <w:color w:val="auto"/>
                <w:w w:val="98"/>
              </w:rPr>
              <w:t>(in millions)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Equity commingled/mutual funds</w:t>
            </w:r>
            <w:r>
              <w:rPr>
                <w:rFonts w:ascii="Arial" w:cs="Arial" w:eastAsia="Arial" w:hAnsi="Arial"/>
                <w:sz w:val="25"/>
                <w:szCs w:val="25"/>
                <w:color w:val="auto"/>
                <w:vertAlign w:val="superscript"/>
              </w:rPr>
              <w:t>(1)(2)</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Fixed income commingled/mutual funds</w:t>
            </w:r>
            <w:r>
              <w:rPr>
                <w:rFonts w:ascii="Arial" w:cs="Arial" w:eastAsia="Arial" w:hAnsi="Arial"/>
                <w:sz w:val="25"/>
                <w:szCs w:val="25"/>
                <w:color w:val="auto"/>
                <w:vertAlign w:val="superscript"/>
              </w:rPr>
              <w:t>(1)(3)</w:t>
            </w:r>
          </w:p>
        </w:tc>
        <w:tc>
          <w:tcPr>
            <w:tcW w:w="108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112</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Fair value of plan assets</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w:t>
            </w: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Commingled funds represent pooled institutional investments.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Equity mutual funds invest primarily in equity securities.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Fixed income mutual funds invest primarily in fixed income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10204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2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Assets held in defined benefit plans in the Philippines, Taiwan and Thailand were less than $1 million and are not presented in the above tables. There were no significant movements of assets between any level categories in 2016, 2015 or 2014.</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Valuation Techniques</w:t>
      </w:r>
    </w:p>
    <w:p>
      <w:pPr>
        <w:spacing w:after="0" w:line="11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Equity securities are valued at the closing price reported on the stock exchange on which the individual securities are traded. Equity commingled/mutual funds are typically valued using the net asset value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spacing w:after="0" w:line="63"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spacing w:after="0" w:line="7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Cash includes money market accounts that are valued at their cost plus interest on a daily basis, which approximates fair value. Short-term investments represent securities with original maturities of one year or less. These assets are classified as either Level 1 or Level 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Contributions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expected employer contributions for 2017 are $9 million for its Japanese defined benefit pension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Estimated Future Benefits Payments</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Annual benefit payments from the Japanese defined benefit pension plans are estimated to range from $6 million to $13 million annually over the next five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Acquisitions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consolidated financial statements include the results of operations of acquired companies commencing after their respective acquisition 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SanDisk</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On May 12, 2016, WDT, a wholly-owned subsidiary of the Company, completed the acquisition of SanDisk, a global leader in NAND flash storage solutions. The Merger is primarily intended to deepen the Company’s expertise in non-volatile memory and enable the Company to vertically integrate into NAND, securing long-term access to solid state technology at a lower cost.</w:t>
      </w:r>
    </w:p>
    <w:p>
      <w:pPr>
        <w:spacing w:after="0" w:line="73"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At the SanDisk Closing Date, each issued and outstanding share of SanDisk common stock, other than shares of SanDisk common stock held in the treasury of SanDisk, shares of SanDisk common stock owned by stockholders who had validly exercised their appraisal rights under Delaware law and shares of SanDisk common stock owned by Western Digital or any subsidiary of Western Digital, was converted into the right to receive $67.50 per share in cash; and 0.2387 shares of Western Digital common stock per share of SanDisk common stock, with cash paid in lieu of fractional shares.</w:t>
      </w:r>
    </w:p>
    <w:p>
      <w:pPr>
        <w:spacing w:after="0" w:line="6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aggregate purchase price of the SanDisk acquisition was $15.588 billion, consisting of $13.77 billion in cash funded with existing cash and cash from new debt, 49 million newly issued shares of the Company’s common stock with a fair value of $1.76 billion and $58 million related to the fair value of stock options and RSUs assumed. The fair value of the newly issued shares of the Company’s common stock was determined based on the closing market price of the Company’s shares of common stock on the date of the acquisition. The fair values of stock options assumed were estimated using a binomial option-pricing model.</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236"/>
              <w:spacing w:after="0"/>
              <w:rPr>
                <w:sz w:val="20"/>
                <w:szCs w:val="20"/>
                <w:color w:val="auto"/>
              </w:rPr>
            </w:pPr>
            <w:r>
              <w:rPr>
                <w:rFonts w:ascii="Arial" w:cs="Arial" w:eastAsia="Arial" w:hAnsi="Arial"/>
                <w:sz w:val="14"/>
                <w:szCs w:val="14"/>
                <w:b w:val="1"/>
                <w:bCs w:val="1"/>
                <w:color w:val="auto"/>
                <w:w w:val="98"/>
              </w:rPr>
              <w:t>May 12,</w:t>
            </w:r>
          </w:p>
        </w:tc>
      </w:tr>
      <w:tr>
        <w:trPr>
          <w:trHeight w:val="192"/>
        </w:trPr>
        <w:tc>
          <w:tcPr>
            <w:tcW w:w="9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2016</w:t>
            </w:r>
          </w:p>
        </w:tc>
      </w:tr>
      <w:tr>
        <w:trPr>
          <w:trHeight w:val="223"/>
        </w:trPr>
        <w:tc>
          <w:tcPr>
            <w:tcW w:w="9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right="196"/>
              <w:spacing w:after="0"/>
              <w:rPr>
                <w:sz w:val="20"/>
                <w:szCs w:val="20"/>
                <w:color w:val="auto"/>
              </w:rPr>
            </w:pPr>
            <w:r>
              <w:rPr>
                <w:rFonts w:ascii="Arial" w:cs="Arial" w:eastAsia="Arial" w:hAnsi="Arial"/>
                <w:sz w:val="16"/>
                <w:szCs w:val="16"/>
                <w:i w:val="1"/>
                <w:iCs w:val="1"/>
                <w:color w:val="auto"/>
                <w:w w:val="96"/>
              </w:rPr>
              <w:t>(in millions)</w:t>
            </w:r>
          </w:p>
        </w:tc>
      </w:tr>
      <w:tr>
        <w:trPr>
          <w:trHeight w:val="33"/>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13,766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Equity consideration</w:t>
            </w:r>
          </w:p>
        </w:tc>
        <w:tc>
          <w:tcPr>
            <w:tcW w:w="2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1,764</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assumed equity attributed to pre-combination service</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r>
      <w:tr>
        <w:trPr>
          <w:trHeight w:val="257"/>
        </w:trPr>
        <w:tc>
          <w:tcPr>
            <w:tcW w:w="9720" w:type="dxa"/>
            <w:vAlign w:val="bottom"/>
          </w:tcPr>
          <w:p>
            <w:pPr>
              <w:ind w:left="280"/>
              <w:spacing w:after="0"/>
              <w:rPr>
                <w:sz w:val="20"/>
                <w:szCs w:val="20"/>
                <w:color w:val="auto"/>
              </w:rPr>
            </w:pPr>
            <w:r>
              <w:rPr>
                <w:rFonts w:ascii="Arial" w:cs="Arial" w:eastAsia="Arial" w:hAnsi="Arial"/>
                <w:sz w:val="18"/>
                <w:szCs w:val="18"/>
                <w:color w:val="auto"/>
              </w:rPr>
              <w:t>Total purchase price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15,588</w:t>
            </w:r>
          </w:p>
        </w:tc>
      </w:tr>
      <w:tr>
        <w:trPr>
          <w:trHeight w:val="20"/>
        </w:trPr>
        <w:tc>
          <w:tcPr>
            <w:tcW w:w="9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7"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The transaction has been accounted for using the acquisition method of accounting which requires that assets acquired and liabilities assumed be recognized at their fair values as of the acquisition date. The values assigned to the assets acquired and liabilities assumed are based on preliminary estimates of fair value available as of the date of this Annual Report on Form 10-K,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 As of July 1, 2016, the primary areas that are not yet finalized due to information that may become available subsequently and may result in changes in the values assigned to various assets and liabilities, include the fair values of acquired property, plant and equipment, intangible assets and related deferred tax liabilities as well as assumed tax assets and liabilities.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preliminary fair values of the assets acquired and liabilities assumed at the SanDisk Closing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232"/>
              <w:spacing w:after="0"/>
              <w:rPr>
                <w:sz w:val="20"/>
                <w:szCs w:val="20"/>
                <w:color w:val="auto"/>
              </w:rPr>
            </w:pPr>
            <w:r>
              <w:rPr>
                <w:rFonts w:ascii="Arial" w:cs="Arial" w:eastAsia="Arial" w:hAnsi="Arial"/>
                <w:sz w:val="14"/>
                <w:szCs w:val="14"/>
                <w:b w:val="1"/>
                <w:bCs w:val="1"/>
                <w:color w:val="auto"/>
                <w:w w:val="98"/>
              </w:rPr>
              <w:t>May 12,</w:t>
            </w:r>
          </w:p>
        </w:tc>
      </w:tr>
      <w:tr>
        <w:trPr>
          <w:trHeight w:val="192"/>
        </w:trPr>
        <w:tc>
          <w:tcPr>
            <w:tcW w:w="9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2016</w:t>
            </w:r>
          </w:p>
        </w:tc>
      </w:tr>
      <w:tr>
        <w:trPr>
          <w:trHeight w:val="223"/>
        </w:trPr>
        <w:tc>
          <w:tcPr>
            <w:tcW w:w="9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right="192"/>
              <w:spacing w:after="0"/>
              <w:rPr>
                <w:sz w:val="20"/>
                <w:szCs w:val="20"/>
                <w:color w:val="auto"/>
              </w:rPr>
            </w:pPr>
            <w:r>
              <w:rPr>
                <w:rFonts w:ascii="Arial" w:cs="Arial" w:eastAsia="Arial" w:hAnsi="Arial"/>
                <w:sz w:val="16"/>
                <w:szCs w:val="16"/>
                <w:i w:val="1"/>
                <w:iCs w:val="1"/>
                <w:color w:val="auto"/>
                <w:w w:val="96"/>
              </w:rPr>
              <w:t>(in millions)</w:t>
            </w:r>
          </w:p>
        </w:tc>
      </w:tr>
      <w:tr>
        <w:trPr>
          <w:trHeight w:val="33"/>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737</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receivables, net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1,069</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917</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 and investments in Flash Ventures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4,955</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r>
      <w:tr>
        <w:trPr>
          <w:trHeight w:val="237"/>
        </w:trPr>
        <w:tc>
          <w:tcPr>
            <w:tcW w:w="972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13,946</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572</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Convertible notes and related derivatives</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3,743</w:t>
            </w:r>
          </w:p>
        </w:tc>
      </w:tr>
      <w:tr>
        <w:trPr>
          <w:trHeight w:val="27"/>
        </w:trPr>
        <w:tc>
          <w:tcPr>
            <w:tcW w:w="9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5,541</w:t>
            </w:r>
          </w:p>
        </w:tc>
      </w:tr>
      <w:tr>
        <w:trPr>
          <w:trHeight w:val="237"/>
        </w:trPr>
        <w:tc>
          <w:tcPr>
            <w:tcW w:w="972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8,405</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7,183</w:t>
            </w:r>
          </w:p>
        </w:tc>
      </w:tr>
      <w:tr>
        <w:trPr>
          <w:trHeight w:val="257"/>
        </w:trPr>
        <w:tc>
          <w:tcPr>
            <w:tcW w:w="9720" w:type="dxa"/>
            <w:vAlign w:val="bottom"/>
          </w:tcPr>
          <w:p>
            <w:pPr>
              <w:ind w:left="500"/>
              <w:spacing w:after="0"/>
              <w:rPr>
                <w:sz w:val="20"/>
                <w:szCs w:val="20"/>
                <w:color w:val="auto"/>
              </w:rPr>
            </w:pPr>
            <w:r>
              <w:rPr>
                <w:rFonts w:ascii="Arial" w:cs="Arial" w:eastAsia="Arial" w:hAnsi="Arial"/>
                <w:sz w:val="18"/>
                <w:szCs w:val="18"/>
                <w:color w:val="auto"/>
              </w:rPr>
              <w:t>Total purchase price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15,588</w:t>
            </w:r>
          </w:p>
        </w:tc>
      </w:tr>
      <w:tr>
        <w:trPr>
          <w:trHeight w:val="20"/>
        </w:trPr>
        <w:tc>
          <w:tcPr>
            <w:tcW w:w="9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are net of allowances for program-related incentives and doubtful accounts of $262 million.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Finished goods were valued at estimated selling prices less costs of disposal and a reasonable profit allowance for the selling effort. Work-in-process inventory was valued at estimated selling prices less costs to complete, costs of disposal and a reasonable profit allowance for the completion and selling effort, or at estimated replacement costs for certain components. Raw materials were valued at estimated replacement costs at the date of acquisition.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The property, plant and equipment acquired were valued using either the replacement cost or market value approach, as appropriate, as of the date of acquisition. The following table summarizes the preliminary estimated fair value of the property, plant and equipment acquired and their estimated useful lives: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Weighted-Average</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ind w:right="493"/>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6"/>
                <w:szCs w:val="16"/>
                <w:i w:val="1"/>
                <w:iCs w:val="1"/>
                <w:color w:val="auto"/>
                <w:w w:val="92"/>
              </w:rPr>
              <w:t>(in years)</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315</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57"/>
        </w:trPr>
        <w:tc>
          <w:tcPr>
            <w:tcW w:w="422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3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20" w:type="dxa"/>
            <w:vAlign w:val="bottom"/>
            <w:vMerge w:val="restart"/>
          </w:tcPr>
          <w:p>
            <w:pPr>
              <w:jc w:val="right"/>
              <w:ind w:right="1510"/>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2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preliminary fair values and estimated useful lives of the intangibles acquired: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Weighted-Average</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ind w:right="493"/>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6"/>
                <w:szCs w:val="16"/>
                <w:i w:val="1"/>
                <w:iCs w:val="1"/>
                <w:color w:val="auto"/>
                <w:w w:val="92"/>
              </w:rPr>
              <w:t>(in years)</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name and trademarks</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610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Supply agreements</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acquired identifiable intangible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 fair values of the identifiable intangible assets acquired were estimated using an income approach. The fair value of the finite-lived intangible assets will be amortized over the estimated useful lives based on the pattern in which the economic benefits are expected to be received to cost of revenue and operating expenses. SanDisk had IPR&amp;D projects associated with new generations of 3D BICS memory technology, a next generation of controllers for retail products, and a new platform for enterprise solutions products that have not yet reached technological feasibility as of the SanDisk Closing Date. These projects are expected to enable increased layers in and achieve lower costs for memory products compared to existing 2D NAND technology, improve controller performance and cost, and expand the range of enterprise solutions offerings. Accordingly, the Company recorded indefinite-lived intangible assets of $2.3 billion for the fair value of these projects, which will initially not be amortized. Instead, the projects will be tested for impairment on an annual basis or more frequently whenever events or changes in circumstances indicate that the projects may be impaired or may have reached technological feasibility. Once a project reaches technological feasibility, the Company will begin to amortize the intangible asset over its estimated useful life.</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340" w:firstLine="405"/>
        <w:spacing w:after="0" w:line="279" w:lineRule="auto"/>
        <w:rPr>
          <w:sz w:val="20"/>
          <w:szCs w:val="20"/>
          <w:color w:val="auto"/>
        </w:rPr>
      </w:pPr>
      <w:r>
        <w:rPr>
          <w:rFonts w:ascii="Arial" w:cs="Arial" w:eastAsia="Arial" w:hAnsi="Arial"/>
          <w:sz w:val="17"/>
          <w:szCs w:val="17"/>
          <w:color w:val="auto"/>
        </w:rPr>
        <w:t>Goodwill represents the excess of the preliminary estimated purchase price over the sum of the estimated fair values assigned to assets acquired less liabilities assumed. The $7.18 billion of goodwill recognized is primarily attributable to the benefits the Company expects to derive from deepening the Company’s expertise in non-volatile memory and enabling the Company to vertically integrate into NAND, securing long-term access to solid state technology at a lower cost. None of the goodwill is expected to be deductible for tax purposes.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 and Related Derivatives</w:t>
      </w:r>
    </w:p>
    <w:p>
      <w:pPr>
        <w:spacing w:after="0" w:line="11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the SanDisk Closing Date, SanDisk had outstanding $997 million aggregate principal amount of the 2017 Notes and $1.5 billion aggregate principal amount of the 2020 Notes. Concurrently with the issuance of the SanDisk Notes, SanDisk also purchased call options and sold warrants. The assumed liability for the SanDisk Notes and related derivatives reflects the estimated fair values of the SanDisk Notes and the related call options and warrants. See Note 3 to the consolidated financial statements for additional disclosures related to the SanDisk Notes.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320" w:firstLine="405"/>
        <w:spacing w:after="0" w:line="293" w:lineRule="auto"/>
        <w:rPr>
          <w:sz w:val="20"/>
          <w:szCs w:val="20"/>
          <w:color w:val="auto"/>
        </w:rPr>
      </w:pPr>
      <w:r>
        <w:rPr>
          <w:rFonts w:ascii="Arial" w:cs="Arial" w:eastAsia="Arial" w:hAnsi="Arial"/>
          <w:sz w:val="16"/>
          <w:szCs w:val="16"/>
          <w:color w:val="auto"/>
        </w:rPr>
        <w:t>In connection with the Merger, each outstanding SanDisk option and RSU that was unvested as of the SanDisk Closing Date and each outstanding underwater vested option was converted into equivalent options and RSUs, in each case with respect to shares of the Company’s common stock, using the equity award exchange ratio in accordance with the Merger agreement. The value of these converted awards related to pre-combination expense was $58 million and is included in the aggregate purchase price. The remaining value of the converted awards represents post-combination expense and will be recognized by the Company over the remaining service periods. As of July 1, 2016, the future expense for the assumed SanDisk options and RSUs was $347 million, which will be recognized over a weighted average service period of approximately 2.7 years.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Acquisition-related Expenses</w:t>
      </w:r>
    </w:p>
    <w:p>
      <w:pPr>
        <w:spacing w:after="0" w:line="117"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During 2016, the Company incurred $98 million of transaction expenses related to the Merger, which are included within selling, general and administrative expense in the consolidated statements of income. During 2016, the Company incurred merger-related charges of $30 million associated with the acceleration of certain equity awards in connection with the Merger, of which $24 million was recorded in selling, general and administrative expenses and $6 million was recorded in R&amp;D. The Company also incurred $31 million of other acquisition related expenses, primarily consisting of retention and separation costs in connection with the Merger which are included in selling, general and administrative expenses in 2016.</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SanDisk Results</w:t>
      </w:r>
    </w:p>
    <w:p>
      <w:pPr>
        <w:spacing w:after="0" w:line="117"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Management does not have a practical method for allocating certain costs and tax elements to the SanDisk operations; however, the amount of revenue attributable to SanDisk in the Company’s consolidated statement of income from the acquisition date to July 1, 2016 was $793 million.</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 Forma Financial Information (Unaudited)</w:t>
      </w:r>
    </w:p>
    <w:p>
      <w:pPr>
        <w:spacing w:after="0" w:line="117"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the Company and SanDisk, on a pro forma basis, as though the combination had occurred as of the beginning of fiscal 2015. The pro forma financial information presented includes the effects of adjustments related to the fair value of acquired inventory, amortization charges from acquired intangible assets, depreciation charges from acquired fixed assets, interest expenses from financing the acquisition, share-based compensation expenses from the conversion of unvested equity awards and the elimination of certain expenses directly related to the transaction. The pro forma financial information as presented below is for informational purposes only and is not necessarily indicative of the results of operations that would have been achieved if the acquisition and any borrowings undertaken to finance the acquisition had taken place at the beginning of the earliest period presented, nor does it intend to be a projection of future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23"/>
        </w:trPr>
        <w:tc>
          <w:tcPr>
            <w:tcW w:w="7900" w:type="dxa"/>
            <w:vAlign w:val="bottom"/>
          </w:tcPr>
          <w:p>
            <w:pPr>
              <w:spacing w:after="0"/>
              <w:rPr>
                <w:sz w:val="19"/>
                <w:szCs w:val="19"/>
                <w:color w:val="auto"/>
              </w:rPr>
            </w:pPr>
          </w:p>
        </w:tc>
        <w:tc>
          <w:tcPr>
            <w:tcW w:w="3520" w:type="dxa"/>
            <w:vAlign w:val="bottom"/>
            <w:gridSpan w:val="4"/>
          </w:tcPr>
          <w:p>
            <w:pPr>
              <w:jc w:val="right"/>
              <w:ind w:right="394"/>
              <w:spacing w:after="0"/>
              <w:rPr>
                <w:sz w:val="20"/>
                <w:szCs w:val="20"/>
                <w:color w:val="auto"/>
              </w:rPr>
            </w:pPr>
            <w:r>
              <w:rPr>
                <w:rFonts w:ascii="Arial" w:cs="Arial" w:eastAsia="Arial" w:hAnsi="Arial"/>
                <w:sz w:val="16"/>
                <w:szCs w:val="16"/>
                <w:i w:val="1"/>
                <w:iCs w:val="1"/>
                <w:color w:val="auto"/>
              </w:rPr>
              <w:t>(in millions, except per share amounts)</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17,846</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20,613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762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common share</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Diluted income per common share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5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2.65</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Amplidata</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On March 9, 2015, the Company acquired Amplidata NV (“Amplidata”), a developer of object storage software for public and private cloud data centers. As a result of the acquisition, Amplidata became a wholly owned indirect subsidiary of the Company. The purchase price of the acquisition was $267 million, consisting of $245 million funded with available cash at the time of the acquisition, $19 million related to the fair value of a previously-held cost method investment and $3 million related to the fair value of stock options assumed. The acquisition furthers the Company’s strategy to expand into higher value data storage platforms and systems that address the growth in storage requirements in cloud data centers.</w:t>
      </w:r>
    </w:p>
    <w:p>
      <w:pPr>
        <w:spacing w:after="0" w:line="64"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Company identified and recorded the assets acquired and liabilities assumed at their estimated fair values at the date of acquisition and allocated the remaining value of $215 million to goodwill. The values assigned to the acquired assets and liabilities were finalized prior to March 9, 2016, which was the final date of the 12-month measurement period following the date of the acquisition. The individual tangible and intangible assets acquired as well as the liabilities assumed in the acquisition were immaterial to the Company’s consolidated financial statements.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final purchase price allocation for Amplidata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196"/>
              <w:spacing w:after="0"/>
              <w:rPr>
                <w:sz w:val="20"/>
                <w:szCs w:val="20"/>
                <w:color w:val="auto"/>
              </w:rPr>
            </w:pPr>
            <w:r>
              <w:rPr>
                <w:rFonts w:ascii="Arial" w:cs="Arial" w:eastAsia="Arial" w:hAnsi="Arial"/>
                <w:sz w:val="14"/>
                <w:szCs w:val="14"/>
                <w:b w:val="1"/>
                <w:bCs w:val="1"/>
                <w:color w:val="auto"/>
                <w:w w:val="94"/>
              </w:rPr>
              <w:t>March 9,</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right="196"/>
              <w:spacing w:after="0"/>
              <w:rPr>
                <w:sz w:val="20"/>
                <w:szCs w:val="20"/>
                <w:color w:val="auto"/>
              </w:rPr>
            </w:pPr>
            <w:r>
              <w:rPr>
                <w:rFonts w:ascii="Arial" w:cs="Arial" w:eastAsia="Arial" w:hAnsi="Arial"/>
                <w:sz w:val="16"/>
                <w:szCs w:val="16"/>
                <w:i w:val="1"/>
                <w:iCs w:val="1"/>
                <w:color w:val="auto"/>
                <w:w w:val="96"/>
              </w:rPr>
              <w:t>(in millions)</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Tangible assets acquired and (liabilities) assumed, net</w:t>
            </w:r>
          </w:p>
        </w:tc>
        <w:tc>
          <w:tcPr>
            <w:tcW w:w="5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7"/>
        </w:trPr>
        <w:tc>
          <w:tcPr>
            <w:tcW w:w="4740" w:type="dxa"/>
            <w:vAlign w:val="bottom"/>
          </w:tcPr>
          <w:p>
            <w:pPr>
              <w:ind w:left="280"/>
              <w:spacing w:after="0"/>
              <w:rPr>
                <w:sz w:val="20"/>
                <w:szCs w:val="20"/>
                <w:color w:val="auto"/>
              </w:rPr>
            </w:pPr>
            <w:r>
              <w:rPr>
                <w:rFonts w:ascii="Arial" w:cs="Arial" w:eastAsia="Arial" w:hAnsi="Arial"/>
                <w:sz w:val="18"/>
                <w:szCs w:val="18"/>
                <w:color w:val="auto"/>
              </w:rPr>
              <w:t>Total</w:t>
            </w:r>
          </w:p>
        </w:tc>
        <w:tc>
          <w:tcPr>
            <w:tcW w:w="49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980" w:type="dxa"/>
            <w:vAlign w:val="bottom"/>
            <w:vMerge w:val="restart"/>
          </w:tcPr>
          <w:p>
            <w:pPr>
              <w:jc w:val="right"/>
              <w:ind w:right="3790"/>
              <w:spacing w:after="0"/>
              <w:rPr>
                <w:sz w:val="20"/>
                <w:szCs w:val="20"/>
                <w:color w:val="auto"/>
              </w:rPr>
            </w:pPr>
            <w:r>
              <w:rPr>
                <w:rFonts w:ascii="Arial" w:cs="Arial" w:eastAsia="Arial" w:hAnsi="Arial"/>
                <w:sz w:val="18"/>
                <w:szCs w:val="18"/>
                <w:color w:val="auto"/>
              </w:rPr>
              <w:t>116</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9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4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final purchase price allocation reflects adjustments since the date of acquisition, that consist of an increase of $42 million to goodwill, which primarily related to an adjustment to the value of deferred taxes acquired, an adjustment to the value of intangible assets acquired and an adjustment for the fair value of stock options assumed in the acquisition of Amplidata. The $215 million of goodwill recognized is primarily attributable to the benefits the Company expects to derive from an ability to create HDD storage solutions leveraging the core software acquired and is not expected to be deductible for tax purposes. The impact to revenue and net income attributable to Amplidata was immaterial to the Company’s consolidated financial statements for 2016.</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125" w:right="3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Employee Termination, Asset Impairment and Other Charges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2014</w:t>
            </w:r>
          </w:p>
        </w:tc>
      </w:tr>
      <w:tr>
        <w:trPr>
          <w:trHeight w:val="223"/>
        </w:trPr>
        <w:tc>
          <w:tcPr>
            <w:tcW w:w="6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6"/>
                <w:szCs w:val="16"/>
                <w:i w:val="1"/>
                <w:iCs w:val="1"/>
                <w:color w:val="auto"/>
              </w:rPr>
              <w:t>(in millions)</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termination and other charges:</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Restructuring Plan</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 of Foreign Manufacturing Facility</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Business Realignment</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33</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employee termination and other charges</w:t>
            </w: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33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Plan</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Closure of Foreign Manufacturing Facility</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Business Realignment</w:t>
            </w:r>
          </w:p>
        </w:tc>
        <w:tc>
          <w:tcPr>
            <w:tcW w:w="1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62</w:t>
            </w: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color w:val="auto"/>
              </w:rPr>
              <w:t>Total asset impairment</w:t>
            </w:r>
          </w:p>
        </w:tc>
        <w:tc>
          <w:tcPr>
            <w:tcW w:w="1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62</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employee termination, asset impairment and other charges</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95</w:t>
            </w:r>
          </w:p>
        </w:tc>
      </w:tr>
      <w:tr>
        <w:trPr>
          <w:trHeight w:val="20"/>
        </w:trPr>
        <w:tc>
          <w:tcPr>
            <w:tcW w:w="6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Plan</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2016, the Company initiated a set of actions relating to the restructuring plan associated with the integration of substantial portions of its HGST and WD subsidiaries (the “Restructuring Plan”). The Restructuring Plan consists of asset and footprint reduction, product roadmap consolidation and organization rationalization.</w:t>
      </w:r>
    </w:p>
    <w:p>
      <w:pPr>
        <w:spacing w:after="0" w:line="7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Company expects the Restructuring Plan to be substantially completed by the end of calendar year 2017 and it is expected to result in total pre-tax charges of $400 million. These charges are expected to consist of $185 million in employee termination benefits, $125 million in asset charges and $90 million in other related costs. $275 million of these charges are expected to be cash expenditures. All of the components of the Restructuring Plan are not finalized, and actual costs, cash expenditures and timing may vary from the Company’s estimates due to changes in the scope or assumptions underlying the Restructuring Plan.</w:t>
      </w:r>
    </w:p>
    <w:p>
      <w:pPr>
        <w:spacing w:after="0" w:line="80"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 2016, the Company recognized $82 million of expenses related to the Restructuring Plan, which consisted of $58 million in employee termination benefits, $19 million in contract termination and other charges, and $5 million in asset impairment. In addition, the Company recognized $22 million of accelerated depreciation charges on facility assets in cost of revenue.</w:t>
      </w:r>
    </w:p>
    <w:p>
      <w:pPr>
        <w:spacing w:after="0" w:line="73"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The following table presents an analysis of the components of the restructuring charges, payments and adjustments made against the reserve as of July 1,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Employee Termination</w:t>
            </w:r>
          </w:p>
        </w:tc>
        <w:tc>
          <w:tcPr>
            <w:tcW w:w="140" w:type="dxa"/>
            <w:vAlign w:val="bottom"/>
          </w:tcPr>
          <w:p>
            <w:pPr>
              <w:spacing w:after="0"/>
              <w:rPr>
                <w:sz w:val="14"/>
                <w:szCs w:val="14"/>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 Termination and</w:t>
            </w:r>
          </w:p>
        </w:tc>
        <w:tc>
          <w:tcPr>
            <w:tcW w:w="480" w:type="dxa"/>
            <w:vAlign w:val="bottom"/>
          </w:tcPr>
          <w:p>
            <w:pPr>
              <w:spacing w:after="0"/>
              <w:rPr>
                <w:sz w:val="14"/>
                <w:szCs w:val="14"/>
                <w:color w:val="auto"/>
              </w:rPr>
            </w:pPr>
          </w:p>
        </w:tc>
        <w:tc>
          <w:tcPr>
            <w:tcW w:w="146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i w:val="1"/>
                <w:iCs w:val="1"/>
                <w:color w:val="auto"/>
                <w:w w:val="98"/>
              </w:rPr>
              <w:t>(in millions)</w:t>
            </w: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Accrual balance at July 1,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ind w:right="1416"/>
              <w:spacing w:after="0"/>
              <w:rPr>
                <w:sz w:val="20"/>
                <w:szCs w:val="20"/>
                <w:color w:val="auto"/>
              </w:rPr>
            </w:pPr>
            <w:r>
              <w:rPr>
                <w:rFonts w:ascii="Arial" w:cs="Arial" w:eastAsia="Arial" w:hAnsi="Arial"/>
                <w:sz w:val="18"/>
                <w:szCs w:val="18"/>
                <w:color w:val="auto"/>
                <w:w w:val="93"/>
              </w:rPr>
              <w:t>118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Closure of Foreign Manufacturing Facility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January 2016, the Company announced the closing of its head component front end wafer manufacturing facility in Odawara, Japan, in order to reduce manufacturing costs. In 2016, the Company recognized $152 million of expenses related to the closure of the facility, which consisted of $119 million in employee termination benefits, $24 million in asset impairment and $9 million in contract termination and other charges. In addition, the Company recognized $48 million of accelerated depreciation charges on assets held at the Odawara facility, of which $34 million was recognized in cost of revenue and $14 million was recognized in R&amp;D within the consolidated statements of income. As of July 1, 2016, the Company substantially completed all activities related to the closure of the facility.</w:t>
      </w:r>
    </w:p>
    <w:p>
      <w:pPr>
        <w:spacing w:after="0" w:line="85"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The following table presents an analysis of the components of the restructuring charges, payments and adjustments made against the reserve as of July 1,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Employee Termination</w:t>
            </w:r>
          </w:p>
        </w:tc>
        <w:tc>
          <w:tcPr>
            <w:tcW w:w="140" w:type="dxa"/>
            <w:vAlign w:val="bottom"/>
          </w:tcPr>
          <w:p>
            <w:pPr>
              <w:spacing w:after="0"/>
              <w:rPr>
                <w:sz w:val="14"/>
                <w:szCs w:val="14"/>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 Termination and</w:t>
            </w:r>
          </w:p>
        </w:tc>
        <w:tc>
          <w:tcPr>
            <w:tcW w:w="480" w:type="dxa"/>
            <w:vAlign w:val="bottom"/>
          </w:tcPr>
          <w:p>
            <w:pPr>
              <w:spacing w:after="0"/>
              <w:rPr>
                <w:sz w:val="14"/>
                <w:szCs w:val="14"/>
                <w:color w:val="auto"/>
              </w:rPr>
            </w:pPr>
          </w:p>
        </w:tc>
        <w:tc>
          <w:tcPr>
            <w:tcW w:w="146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i w:val="1"/>
                <w:iCs w:val="1"/>
                <w:color w:val="auto"/>
                <w:w w:val="98"/>
              </w:rPr>
              <w:t>(in millions)</w:t>
            </w: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items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80" w:type="dxa"/>
            <w:vAlign w:val="bottom"/>
          </w:tcPr>
          <w:p>
            <w:pPr>
              <w:ind w:left="280"/>
              <w:spacing w:after="0"/>
              <w:rPr>
                <w:sz w:val="20"/>
                <w:szCs w:val="20"/>
                <w:color w:val="auto"/>
              </w:rPr>
            </w:pPr>
            <w:r>
              <w:rPr>
                <w:rFonts w:ascii="Arial" w:cs="Arial" w:eastAsia="Arial" w:hAnsi="Arial"/>
                <w:sz w:val="18"/>
                <w:szCs w:val="18"/>
                <w:color w:val="auto"/>
              </w:rPr>
              <w:t>Accrual balance at July 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Realignment</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 periodically incurs charges to realign its operations with anticipated market demand. In 2016, the Company recognized $111 million of expenses related to the realignment activities, which consisted of $74 million in employee termination benefits, $8 million in asset impairment and $29 million in contract termination and other charges. In 2015, the Company recognized $176 million of expenses related to the realignment activities, which consisted of $82 million in employee termination benefits, $82 million in asset impairment and $12 million in contract termination and other charges. In 2014, the Company recognized $95 million of expenses related to the realignment activities, which consisted of $27 million in employee termination benefits, $62 million in asset impairment and $6 million in contract termination and other charges.</w:t>
      </w:r>
    </w:p>
    <w:p>
      <w:pPr>
        <w:spacing w:after="0" w:line="70"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The following table presents an analysis of the components of the restructuring charges, payments and adjustments made against the reserve as of July 1,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Employee Termination</w:t>
            </w:r>
          </w:p>
        </w:tc>
        <w:tc>
          <w:tcPr>
            <w:tcW w:w="140" w:type="dxa"/>
            <w:vAlign w:val="bottom"/>
          </w:tcPr>
          <w:p>
            <w:pPr>
              <w:spacing w:after="0"/>
              <w:rPr>
                <w:sz w:val="14"/>
                <w:szCs w:val="14"/>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 Termination and</w:t>
            </w:r>
          </w:p>
        </w:tc>
        <w:tc>
          <w:tcPr>
            <w:tcW w:w="480" w:type="dxa"/>
            <w:vAlign w:val="bottom"/>
          </w:tcPr>
          <w:p>
            <w:pPr>
              <w:spacing w:after="0"/>
              <w:rPr>
                <w:sz w:val="14"/>
                <w:szCs w:val="14"/>
                <w:color w:val="auto"/>
              </w:rPr>
            </w:pPr>
          </w:p>
        </w:tc>
        <w:tc>
          <w:tcPr>
            <w:tcW w:w="146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i w:val="1"/>
                <w:iCs w:val="1"/>
                <w:color w:val="auto"/>
                <w:w w:val="98"/>
              </w:rPr>
              <w:t>(in millions)</w:t>
            </w: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at June 27,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Non-cash items and other</w:t>
            </w:r>
          </w:p>
        </w:tc>
        <w:tc>
          <w:tcPr>
            <w:tcW w:w="16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at July 3, 2015</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Non-cash items and other</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at July 1,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ind w:right="1413"/>
              <w:spacing w:after="0"/>
              <w:rPr>
                <w:sz w:val="20"/>
                <w:szCs w:val="20"/>
                <w:color w:val="auto"/>
              </w:rPr>
            </w:pPr>
            <w:r>
              <w:rPr>
                <w:rFonts w:ascii="Arial" w:cs="Arial" w:eastAsia="Arial" w:hAnsi="Arial"/>
                <w:sz w:val="18"/>
                <w:szCs w:val="18"/>
                <w:color w:val="auto"/>
                <w:w w:val="93"/>
              </w:rPr>
              <w:t>119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Results of Operations (unaudited)</w:t>
      </w:r>
    </w:p>
    <w:p>
      <w:pPr>
        <w:spacing w:after="0" w:line="234" w:lineRule="exact"/>
        <w:rPr>
          <w:sz w:val="20"/>
          <w:szCs w:val="20"/>
          <w:color w:val="auto"/>
        </w:rPr>
      </w:pPr>
    </w:p>
    <w:p>
      <w:pPr>
        <w:ind w:left="5700"/>
        <w:spacing w:after="0"/>
        <w:tabs>
          <w:tab w:leader="none" w:pos="7220" w:val="left"/>
          <w:tab w:leader="none" w:pos="8840" w:val="left"/>
          <w:tab w:leader="none" w:pos="10380" w:val="left"/>
        </w:tabs>
        <w:rPr>
          <w:sz w:val="20"/>
          <w:szCs w:val="20"/>
          <w:color w:val="auto"/>
        </w:rPr>
      </w:pPr>
      <w:r>
        <w:rPr>
          <w:rFonts w:ascii="Arial" w:cs="Arial" w:eastAsia="Arial" w:hAnsi="Arial"/>
          <w:sz w:val="14"/>
          <w:szCs w:val="14"/>
          <w:b w:val="1"/>
          <w:bCs w:val="1"/>
          <w:color w:val="auto"/>
        </w:rPr>
        <w:t xml:space="preserve">First </w:t>
      </w:r>
      <w:r>
        <w:rPr>
          <w:rFonts w:ascii="Arial" w:cs="Arial" w:eastAsia="Arial" w:hAnsi="Arial"/>
          <w:sz w:val="8"/>
          <w:szCs w:val="8"/>
          <w:b w:val="1"/>
          <w:bCs w:val="1"/>
          <w:color w:val="auto"/>
        </w:rPr>
        <w:t>(1)</w:t>
      </w:r>
      <w:r>
        <w:rPr>
          <w:sz w:val="20"/>
          <w:szCs w:val="20"/>
          <w:color w:val="auto"/>
        </w:rPr>
        <w:tab/>
      </w:r>
      <w:r>
        <w:rPr>
          <w:rFonts w:ascii="Arial" w:cs="Arial" w:eastAsia="Arial" w:hAnsi="Arial"/>
          <w:sz w:val="14"/>
          <w:szCs w:val="14"/>
          <w:b w:val="1"/>
          <w:bCs w:val="1"/>
          <w:color w:val="auto"/>
        </w:rPr>
        <w:t xml:space="preserve">Second </w:t>
      </w:r>
      <w:r>
        <w:rPr>
          <w:rFonts w:ascii="Arial" w:cs="Arial" w:eastAsia="Arial" w:hAnsi="Arial"/>
          <w:sz w:val="8"/>
          <w:szCs w:val="8"/>
          <w:b w:val="1"/>
          <w:bCs w:val="1"/>
          <w:color w:val="auto"/>
        </w:rPr>
        <w:t>(2)</w:t>
      </w:r>
      <w:r>
        <w:rPr>
          <w:sz w:val="20"/>
          <w:szCs w:val="20"/>
          <w:color w:val="auto"/>
        </w:rPr>
        <w:tab/>
      </w:r>
      <w:r>
        <w:rPr>
          <w:rFonts w:ascii="Arial" w:cs="Arial" w:eastAsia="Arial" w:hAnsi="Arial"/>
          <w:sz w:val="14"/>
          <w:szCs w:val="14"/>
          <w:b w:val="1"/>
          <w:bCs w:val="1"/>
          <w:color w:val="auto"/>
        </w:rPr>
        <w:t xml:space="preserve">Third </w:t>
      </w:r>
      <w:r>
        <w:rPr>
          <w:rFonts w:ascii="Arial" w:cs="Arial" w:eastAsia="Arial" w:hAnsi="Arial"/>
          <w:sz w:val="8"/>
          <w:szCs w:val="8"/>
          <w:b w:val="1"/>
          <w:bCs w:val="1"/>
          <w:color w:val="auto"/>
        </w:rPr>
        <w:t>(3)</w:t>
      </w:r>
      <w:r>
        <w:rPr>
          <w:sz w:val="20"/>
          <w:szCs w:val="20"/>
          <w:color w:val="auto"/>
        </w:rPr>
        <w:tab/>
      </w:r>
      <w:r>
        <w:rPr>
          <w:rFonts w:ascii="Arial" w:cs="Arial" w:eastAsia="Arial" w:hAnsi="Arial"/>
          <w:sz w:val="13"/>
          <w:szCs w:val="13"/>
          <w:b w:val="1"/>
          <w:bCs w:val="1"/>
          <w:color w:val="auto"/>
        </w:rPr>
        <w:t xml:space="preserve">Fourth </w:t>
      </w:r>
      <w:r>
        <w:rPr>
          <w:rFonts w:ascii="Arial" w:cs="Arial" w:eastAsia="Arial" w:hAnsi="Arial"/>
          <w:sz w:val="8"/>
          <w:szCs w:val="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48" w:lineRule="exact"/>
        <w:rPr>
          <w:sz w:val="20"/>
          <w:szCs w:val="20"/>
          <w:color w:val="auto"/>
        </w:rPr>
      </w:pPr>
    </w:p>
    <w:p>
      <w:pPr>
        <w:ind w:left="7040"/>
        <w:spacing w:after="0"/>
        <w:rPr>
          <w:sz w:val="20"/>
          <w:szCs w:val="20"/>
          <w:color w:val="auto"/>
        </w:rPr>
      </w:pPr>
      <w:r>
        <w:rPr>
          <w:rFonts w:ascii="Arial" w:cs="Arial" w:eastAsia="Arial" w:hAnsi="Arial"/>
          <w:sz w:val="16"/>
          <w:szCs w:val="16"/>
          <w:i w:val="1"/>
          <w:i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2016</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Revenue, net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3,360</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3,495</w:t>
            </w:r>
          </w:p>
        </w:tc>
      </w:tr>
      <w:tr>
        <w:trPr>
          <w:trHeight w:val="27"/>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 income per common share</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67"/>
        </w:trPr>
        <w:tc>
          <w:tcPr>
            <w:tcW w:w="51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56"/>
        </w:trPr>
        <w:tc>
          <w:tcPr>
            <w:tcW w:w="516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Diluted income per common share</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Includes $56 million of employee termination, asset impairment and other charges related to business realignment.</w:t>
      </w:r>
    </w:p>
    <w:p>
      <w:pPr>
        <w:spacing w:after="0" w:line="1" w:lineRule="exact"/>
        <w:rPr>
          <w:rFonts w:ascii="Arial" w:cs="Arial" w:eastAsia="Arial" w:hAnsi="Arial"/>
          <w:sz w:val="25"/>
          <w:szCs w:val="25"/>
          <w:color w:val="auto"/>
          <w:vertAlign w:val="superscript"/>
        </w:rPr>
      </w:pPr>
    </w:p>
    <w:p>
      <w:pPr>
        <w:ind w:left="340" w:right="440" w:hanging="332"/>
        <w:spacing w:after="0" w:line="208"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Includes $27 million of employee termination, asset impairment and other charges related to business realignment, $32 million of charges related to interest on an arbitration award and $27 million of costs related to the acquisition of SanDisk.</w:t>
      </w:r>
    </w:p>
    <w:p>
      <w:pPr>
        <w:spacing w:after="0" w:line="1" w:lineRule="exact"/>
        <w:rPr>
          <w:rFonts w:ascii="Arial" w:cs="Arial" w:eastAsia="Arial" w:hAnsi="Arial"/>
          <w:sz w:val="25"/>
          <w:szCs w:val="25"/>
          <w:color w:val="auto"/>
          <w:vertAlign w:val="superscript"/>
        </w:rPr>
      </w:pPr>
    </w:p>
    <w:p>
      <w:pPr>
        <w:ind w:left="340" w:right="600" w:hanging="332"/>
        <w:spacing w:after="0" w:line="209"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Includes $140 million of employee termination, asset impairment and other charges related to the closure of the Company’s Odawara Facility and business realignment and $16 million of costs related to the acquisition of SanDisk.</w:t>
      </w:r>
    </w:p>
    <w:p>
      <w:pPr>
        <w:spacing w:after="0" w:line="1" w:lineRule="exact"/>
        <w:rPr>
          <w:rFonts w:ascii="Arial" w:cs="Arial" w:eastAsia="Arial" w:hAnsi="Arial"/>
          <w:sz w:val="25"/>
          <w:szCs w:val="25"/>
          <w:color w:val="auto"/>
          <w:vertAlign w:val="superscript"/>
        </w:rPr>
      </w:pPr>
    </w:p>
    <w:p>
      <w:pPr>
        <w:ind w:left="340" w:right="600" w:hanging="332"/>
        <w:spacing w:after="0" w:line="209"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Includes $122 million of employee termination, asset impairment and other charges related to the closure of the Company’s Odawara Facility and Restructuring Plan, and $116 million of costs related to the acquisition of SanDisk.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1020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351" w:lineRule="exact"/>
        <w:rPr>
          <w:sz w:val="20"/>
          <w:szCs w:val="20"/>
          <w:color w:val="auto"/>
        </w:rPr>
      </w:pPr>
    </w:p>
    <w:p>
      <w:pPr>
        <w:ind w:left="5700"/>
        <w:spacing w:after="0"/>
        <w:tabs>
          <w:tab w:leader="none" w:pos="7220" w:val="left"/>
          <w:tab w:leader="none" w:pos="8840" w:val="left"/>
          <w:tab w:leader="none" w:pos="10380" w:val="left"/>
        </w:tabs>
        <w:rPr>
          <w:sz w:val="20"/>
          <w:szCs w:val="20"/>
          <w:color w:val="auto"/>
        </w:rPr>
      </w:pPr>
      <w:r>
        <w:rPr>
          <w:rFonts w:ascii="Arial" w:cs="Arial" w:eastAsia="Arial" w:hAnsi="Arial"/>
          <w:sz w:val="14"/>
          <w:szCs w:val="14"/>
          <w:b w:val="1"/>
          <w:bCs w:val="1"/>
          <w:color w:val="auto"/>
        </w:rPr>
        <w:t xml:space="preserve">First </w:t>
      </w:r>
      <w:r>
        <w:rPr>
          <w:rFonts w:ascii="Arial" w:cs="Arial" w:eastAsia="Arial" w:hAnsi="Arial"/>
          <w:sz w:val="8"/>
          <w:szCs w:val="8"/>
          <w:b w:val="1"/>
          <w:bCs w:val="1"/>
          <w:color w:val="auto"/>
        </w:rPr>
        <w:t>(1)</w:t>
      </w:r>
      <w:r>
        <w:rPr>
          <w:sz w:val="20"/>
          <w:szCs w:val="20"/>
          <w:color w:val="auto"/>
        </w:rPr>
        <w:tab/>
      </w:r>
      <w:r>
        <w:rPr>
          <w:rFonts w:ascii="Arial" w:cs="Arial" w:eastAsia="Arial" w:hAnsi="Arial"/>
          <w:sz w:val="14"/>
          <w:szCs w:val="14"/>
          <w:b w:val="1"/>
          <w:bCs w:val="1"/>
          <w:color w:val="auto"/>
        </w:rPr>
        <w:t xml:space="preserve">Second </w:t>
      </w:r>
      <w:r>
        <w:rPr>
          <w:rFonts w:ascii="Arial" w:cs="Arial" w:eastAsia="Arial" w:hAnsi="Arial"/>
          <w:sz w:val="8"/>
          <w:szCs w:val="8"/>
          <w:b w:val="1"/>
          <w:bCs w:val="1"/>
          <w:color w:val="auto"/>
        </w:rPr>
        <w:t>(2)</w:t>
      </w:r>
      <w:r>
        <w:rPr>
          <w:sz w:val="20"/>
          <w:szCs w:val="20"/>
          <w:color w:val="auto"/>
        </w:rPr>
        <w:tab/>
      </w:r>
      <w:r>
        <w:rPr>
          <w:rFonts w:ascii="Arial" w:cs="Arial" w:eastAsia="Arial" w:hAnsi="Arial"/>
          <w:sz w:val="14"/>
          <w:szCs w:val="14"/>
          <w:b w:val="1"/>
          <w:bCs w:val="1"/>
          <w:color w:val="auto"/>
        </w:rPr>
        <w:t xml:space="preserve">Third </w:t>
      </w:r>
      <w:r>
        <w:rPr>
          <w:rFonts w:ascii="Arial" w:cs="Arial" w:eastAsia="Arial" w:hAnsi="Arial"/>
          <w:sz w:val="8"/>
          <w:szCs w:val="8"/>
          <w:b w:val="1"/>
          <w:bCs w:val="1"/>
          <w:color w:val="auto"/>
        </w:rPr>
        <w:t>(3)</w:t>
      </w:r>
      <w:r>
        <w:rPr>
          <w:sz w:val="20"/>
          <w:szCs w:val="20"/>
          <w:color w:val="auto"/>
        </w:rPr>
        <w:tab/>
      </w:r>
      <w:r>
        <w:rPr>
          <w:rFonts w:ascii="Arial" w:cs="Arial" w:eastAsia="Arial" w:hAnsi="Arial"/>
          <w:sz w:val="13"/>
          <w:szCs w:val="13"/>
          <w:b w:val="1"/>
          <w:bCs w:val="1"/>
          <w:color w:val="auto"/>
        </w:rPr>
        <w:t xml:space="preserve">Fourth </w:t>
      </w:r>
      <w:r>
        <w:rPr>
          <w:rFonts w:ascii="Arial" w:cs="Arial" w:eastAsia="Arial" w:hAnsi="Arial"/>
          <w:sz w:val="8"/>
          <w:szCs w:val="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48" w:lineRule="exact"/>
        <w:rPr>
          <w:sz w:val="20"/>
          <w:szCs w:val="20"/>
          <w:color w:val="auto"/>
        </w:rPr>
      </w:pPr>
    </w:p>
    <w:p>
      <w:pPr>
        <w:ind w:left="7040"/>
        <w:spacing w:after="0"/>
        <w:rPr>
          <w:sz w:val="20"/>
          <w:szCs w:val="20"/>
          <w:color w:val="auto"/>
        </w:rPr>
      </w:pPr>
      <w:r>
        <w:rPr>
          <w:rFonts w:ascii="Arial" w:cs="Arial" w:eastAsia="Arial" w:hAnsi="Arial"/>
          <w:sz w:val="16"/>
          <w:szCs w:val="16"/>
          <w:i w:val="1"/>
          <w:i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Revenue, net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3,943</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3,191</w:t>
            </w:r>
          </w:p>
        </w:tc>
      </w:tr>
      <w:tr>
        <w:trPr>
          <w:trHeight w:val="27"/>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 income per common share</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0.95</w:t>
            </w:r>
          </w:p>
        </w:tc>
      </w:tr>
      <w:tr>
        <w:trPr>
          <w:trHeight w:val="67"/>
        </w:trPr>
        <w:tc>
          <w:tcPr>
            <w:tcW w:w="51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56"/>
        </w:trPr>
        <w:tc>
          <w:tcPr>
            <w:tcW w:w="516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Diluted income per common share</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Includes $9 million of employee termination, asset impairment and other charges and $14 million of charges related to interest on an arbitration award.</w:t>
      </w:r>
    </w:p>
    <w:p>
      <w:pPr>
        <w:spacing w:after="0" w:line="1" w:lineRule="exact"/>
        <w:rPr>
          <w:rFonts w:ascii="Arial" w:cs="Arial" w:eastAsia="Arial" w:hAnsi="Arial"/>
          <w:sz w:val="22"/>
          <w:szCs w:val="22"/>
          <w:color w:val="auto"/>
          <w:vertAlign w:val="superscript"/>
        </w:rPr>
      </w:pPr>
    </w:p>
    <w:p>
      <w:pPr>
        <w:ind w:left="340" w:right="100" w:hanging="332"/>
        <w:spacing w:after="0" w:line="208"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Includes $53 million of employee termination, asset impairment and other charges, $1 million of charges related to interest on an arbitration award and a $37 million gain on flood-related insurance recovery.</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Includes $10 million of employee termination, asset impairment and other charges.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Includes $104 million of employee termination, asset impairment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10204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July 21, 2016, the Company paid in full $3.0 billion aggregate principal amount outstanding of the Additional Bridge Facility, together with accrued interest. For additional information on debt, see Note 3 to the consolidated financial statements.</w:t>
      </w:r>
    </w:p>
    <w:p>
      <w:pPr>
        <w:spacing w:after="0" w:line="6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August 17, 2016 the Company issued a new $3.0 billion U.S. dollar-denominated Term Loan B-1 at an interest rate of LIBOR plus 3.75% or a base rate plus 2.75%. Principal payments of 0.25% are due quarterly beginning September 30, 2016 with the balance due on April 29, 2023. In connection with this transaction, the Company settled the previous U.S. Term Loan B tranche with the proceeds of this new loan and a voluntary cash prepayment of $750 million.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125"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CONSOLIDATED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Allowance for Doubtful</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Accounts</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28, 2013</w:t>
            </w:r>
          </w:p>
        </w:tc>
        <w:tc>
          <w:tcPr>
            <w:tcW w:w="5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780" w:type="dxa"/>
            <w:vAlign w:val="bottom"/>
          </w:tcPr>
          <w:p>
            <w:pPr>
              <w:ind w:left="280"/>
              <w:spacing w:after="0"/>
              <w:rPr>
                <w:sz w:val="20"/>
                <w:szCs w:val="20"/>
                <w:color w:val="auto"/>
              </w:rPr>
            </w:pPr>
            <w:r>
              <w:rPr>
                <w:rFonts w:ascii="Arial" w:cs="Arial" w:eastAsia="Arial" w:hAnsi="Arial"/>
                <w:sz w:val="18"/>
                <w:szCs w:val="18"/>
                <w:color w:val="auto"/>
              </w:rPr>
              <w:t>Additions charges to operations</w:t>
            </w:r>
          </w:p>
        </w:tc>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Deductions</w:t>
            </w:r>
          </w:p>
        </w:tc>
        <w:tc>
          <w:tcPr>
            <w:tcW w:w="4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Balance at June 27, 2014</w:t>
            </w:r>
          </w:p>
        </w:tc>
        <w:tc>
          <w:tcPr>
            <w:tcW w:w="49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Deductions</w:t>
            </w:r>
          </w:p>
        </w:tc>
        <w:tc>
          <w:tcPr>
            <w:tcW w:w="4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Balance at July 3, 2015</w:t>
            </w:r>
          </w:p>
        </w:tc>
        <w:tc>
          <w:tcPr>
            <w:tcW w:w="49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assumed as a result of SanDisk acquisition</w:t>
            </w:r>
          </w:p>
        </w:tc>
        <w:tc>
          <w:tcPr>
            <w:tcW w:w="4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80" w:type="dxa"/>
            <w:vAlign w:val="bottom"/>
          </w:tcPr>
          <w:p>
            <w:pPr>
              <w:ind w:left="280"/>
              <w:spacing w:after="0"/>
              <w:rPr>
                <w:sz w:val="20"/>
                <w:szCs w:val="20"/>
                <w:color w:val="auto"/>
              </w:rPr>
            </w:pPr>
            <w:r>
              <w:rPr>
                <w:rFonts w:ascii="Arial" w:cs="Arial" w:eastAsia="Arial" w:hAnsi="Arial"/>
                <w:sz w:val="18"/>
                <w:szCs w:val="18"/>
                <w:color w:val="auto"/>
              </w:rPr>
              <w:t>Deductions</w:t>
            </w:r>
          </w:p>
        </w:tc>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1, 2016</w:t>
            </w:r>
          </w:p>
        </w:tc>
        <w:tc>
          <w:tcPr>
            <w:tcW w:w="5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jc w:val="right"/>
              <w:ind w:right="3790"/>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required by SEC Rule 13a-15(b)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10-K.</w:t>
      </w:r>
    </w:p>
    <w:p>
      <w:pPr>
        <w:spacing w:after="0" w:line="7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Based on that evaluation, our Chief Executive Officer and Chief Financial Officer concluded that, as of the end of the period covered by this Annual Report on Form 10-K, our disclosure controls and procedures were effective.</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w:t>
      </w:r>
    </w:p>
    <w:p>
      <w:pPr>
        <w:spacing w:after="0" w:line="2" w:lineRule="exact"/>
        <w:rPr>
          <w:sz w:val="20"/>
          <w:szCs w:val="20"/>
          <w:color w:val="auto"/>
        </w:rPr>
      </w:pPr>
    </w:p>
    <w:p>
      <w:pPr>
        <w:jc w:val="both"/>
        <w:ind w:right="300" w:firstLine="8"/>
        <w:spacing w:after="0" w:line="254"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82"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 xml:space="preserve">Our management evaluated the effectiveness of our internal control over financial reporting using the criteria set forth by the Committee of Sponsoring Organizations of the Treadway Commission (COSO)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Based on this evaluation, our management concluded that our internal control over financial reporting was effective as of the end of the period covered by this Annual Report on Form 10-K. KPMG LLP, our independent registered public accounting firm, which audited the consolidated financial statements included in this Annual Report on Form 10-K, has issued an audit report on our internal control over financial reporting. See Report of Independent Registered Public Accounting Firm herein.</w:t>
      </w:r>
    </w:p>
    <w:p>
      <w:pPr>
        <w:spacing w:after="0" w:line="50"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Our evaluation did not include the internal controls over financial reporting of SanDisk Corporation, which was acquired on May 12, 2016. Total assets and total sales related to SanDisk represented 17% and 6%, respectively, of the related consolidated financial statement amounts as of and for the fiscal year ended July 1, 2016.</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fiscal quarter ended July 1, 2016, that has materially affected, or is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Inherent Limitations of Effectiveness of Controls</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121"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2016 Annual Meeting of Stockholders, which will be filed with the SEC no later than 120 days after the close of the fiscal year ended July 1, 2016.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Governance section at www.westerndigital.com. To the extent required by rules adopted by the SEC and The NASDAQ Stock Market LLC, we intend to promptly disclose future amendments to certain provisions of the Code of Business Ethics, or waivers of such provisions granted to executive officers and directors, on our website under the Governance section at www.westerndigital.com.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2016 Annual Meeting of Stockholders, which will be filed with the SEC no later than 120 days after the close of the fiscal year ended July 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2016 Annual Meeting of Stockholders, which will be filed with the SEC no later than 120 days after the close of the fiscal year ended July 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2016 Annual Meeting of Stockholders, which will be filed with the SEC no later than 120 days after the close of the fiscal year ended July 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2016 Annual Meeting of Stockholders, which will be filed with the SEC no later than 120 days after the close of the fiscal year ended July 1, 2016.</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Documents filed as a part of this Annual Report on Form 10-K:</w:t>
      </w:r>
    </w:p>
    <w:p>
      <w:pPr>
        <w:spacing w:after="0" w:line="11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420" w:right="2960"/>
        <w:spacing w:after="0" w:line="277" w:lineRule="auto"/>
        <w:rPr>
          <w:sz w:val="20"/>
          <w:szCs w:val="20"/>
          <w:color w:val="auto"/>
        </w:rPr>
      </w:pPr>
      <w:r>
        <w:rPr>
          <w:rFonts w:ascii="Arial" w:cs="Arial" w:eastAsia="Arial" w:hAnsi="Arial"/>
          <w:sz w:val="18"/>
          <w:szCs w:val="18"/>
          <w:color w:val="auto"/>
        </w:rPr>
        <w:t>The financial statements included in Part II, Item 8 of this document are filed as part of this Annual Report on Form 10-K.</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financial statement schedule included in Part II, Item 8 of this document is filed as part of this Annual Report on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Form 10-K.</w:t>
      </w:r>
    </w:p>
    <w:p>
      <w:pPr>
        <w:spacing w:after="0" w:line="10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or related Notes.</w:t>
      </w:r>
    </w:p>
    <w:p>
      <w:pPr>
        <w:spacing w:after="0" w:line="62"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Separate financial statements have been omitted as we are primarily an operating company and our subsidiaries are wholly or majority owned and do not have minority equity interests and/or indebtedness to any person other than us in amounts which together exceed 5% of the total consolidated assets as shown by the most recent year-end consolidated balance sheet.</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80"/>
          </w:cols>
          <w:pgMar w:left="240" w:top="121" w:right="3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exhibits listed in the Exhibit Index (following the signature page of the Annual Report on Form 10-K) are filed with, or incorporated by reference in, this Annual Report on Form 10-K, as specified in the Exhibit List, from exhibits previously filed with the SEC. Certain 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20"/>
          </w:cols>
          <w:pgMar w:left="240" w:top="121"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30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OLIVIER C.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2016</w:t>
      </w:r>
    </w:p>
    <w:p>
      <w:pPr>
        <w:spacing w:after="0" w:line="171" w:lineRule="exact"/>
        <w:rPr>
          <w:sz w:val="20"/>
          <w:szCs w:val="20"/>
          <w:color w:val="auto"/>
        </w:rPr>
      </w:pPr>
    </w:p>
    <w:p>
      <w:pPr>
        <w:ind w:right="120"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240"/>
          </w:cols>
          <w:pgMar w:left="240" w:top="121" w:right="419" w:bottom="1440" w:gutter="0" w:footer="0" w:header="0"/>
        </w:sect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17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Stephen D. Milligan</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OLIVIER C.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Olivier C. Leonetti</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MATTHEW E. MASSENGILL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3926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Matthew E. Massengill</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MARTIN I.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Martin I. Cole</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KATHLEEN A.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Kathleen A. Cote</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HENRY T. DENERO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Henry T. DeNero</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MICHAEL D.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Michael D. Lambert</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LEN J.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Len J. Lauer</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Sanjay Mehrotra</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PAULA A.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Paula A. Price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Title</w:t>
      </w:r>
    </w:p>
    <w:p>
      <w:pPr>
        <w:spacing w:after="0" w:line="19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(Principal Executive Officer), Director</w:t>
      </w:r>
    </w:p>
    <w:p>
      <w:pPr>
        <w:spacing w:after="0" w:line="238"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Chief Financial Officer (Principal Financial Officer and Principal Accounting Officer)</w:t>
      </w:r>
    </w:p>
    <w:p>
      <w:pPr>
        <w:spacing w:after="0" w:line="30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Date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August 26,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26,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26,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26,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26,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26,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26,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26,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26,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26, 2016</w:t>
      </w:r>
    </w:p>
    <w:p>
      <w:pPr>
        <w:spacing w:after="0" w:line="371" w:lineRule="exact"/>
        <w:rPr>
          <w:sz w:val="20"/>
          <w:szCs w:val="20"/>
          <w:color w:val="auto"/>
        </w:rPr>
      </w:pPr>
    </w:p>
    <w:p>
      <w:pPr>
        <w:sectPr>
          <w:pgSz w:w="11900" w:h="16838" w:orient="portrait"/>
          <w:cols w:equalWidth="0" w:num="3">
            <w:col w:w="3300" w:space="720"/>
            <w:col w:w="5580" w:space="420"/>
            <w:col w:w="1220"/>
          </w:cols>
          <w:pgMar w:left="240" w:top="121" w:right="419" w:bottom="1440" w:gutter="0" w:footer="0" w:header="0"/>
          <w:type w:val="continuous"/>
        </w:sectPr>
      </w:pP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240"/>
          </w:cols>
          <w:pgMar w:left="240" w:top="121" w:right="41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Agreement and Plan of Merger, dated as of October 21, 2015, among Western Digital Corporation, Schrader Acquisition Corporation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SanDisk Corporation (Filed as Exhibit 2.1 to the Company’s Current Report on Form 8-K (File No. 1-08703) with the Securities and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Exchange Commission on October 26, 2015)±</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Amended and Restated Certificate of Incorporation of Western Digital Corporation, as amended to date (Filed as Exhibit 3.1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Company’s Quarterly Report on Form 10-Q (File No. 1-08703) with the Securities and Exchange Commission on February 8, 2006)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Amended and Restated By-Laws of Western Digital Corporation, as amended effective as of November 14, 2013 (Filed as Exhibit 3.1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Company’s Current Report on Form 8-K (File No. 1-08703) with the Securities and Exchange Commission on November 14, 2013)</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Indenture (including Form of 7.375% Senior Secured Notes due 2023), dated as of April 13, 2016, among Western Digital Corporation;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HGST, Inc., WD Media, LLC, Western Digital (Fremont), LLC and Western Digital Technologies, Inc., as guarantors; and U.S. Bank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National Association, as trustee and collateral agent (Filed as Exhibit 4.1 to the Company’s Current Report on Form 8-K (File No. 1-08703)</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with the Securities and Exchange Commission on April 14,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First Supplemental Indenture to the Indenture filed as Exhibit 4.1 hereto, dated as of May 12, 2016, among Western Digital Corporation,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subsidiary guarantors party thereto and U.S. Bank National Association, as trustee and collateral agent (Filed as Exhibit 4.3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Company’s Current Report on Form 8-K (File No. 1-08703) with the Securities and Exchange Commission on May 12,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Indenture (including Form of 10.500% Senior Unsecured Notes due 2024), dated as of April 13, 2016, among Western Digital Corporation;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HGST, Inc., WD Media, LLC, Western Digital (Fremont), LLC and Western Digital Technologies, Inc., as guarantors; and U.S. Bank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National Association, as trustee (Filed as Exhibit 4.2 to the Company’s Current Report on Form 8-K (File No. 1-08703) with the Securities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and Exchange Commission on April 14,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First Supplemental Indenture to the Indenture filed as Exhibit 4.3 hereto, dated as of May 12, 2016, among Western Digital Corporation,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subsidiary guarantors party thereto and U.S. Bank National Association, as trustee (Filed as Exhibit 4.4 to the Company’s Current Report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on Form 8-K (File No. 1-08703) with the Securities and Exchange Commission on May 12,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Indenture (including Form of 1.5% Convertible Senior Notes due 2017), dated as of August 25, 2010, by and between SanDisk Corporation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and The Bank of New York Mellon Trust Company, N.A. (Filed as Exhibit 4.1 to SanDisk Corporation’s Current Report on Form 8-K (File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No. 000-26734) with the Securities and Exchange Commission on August 25, 2010)</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First Supplemental Indenture to the Indenture filed as Exhibit 4.5 hereto, dated as of May 12, 2016, among SanDisk Corporation, The Bank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of New York Mellon Trust Company, N.A., as trustee, and Western Digital Corporation (Filed as Exhibit 4.2 to the Company’s Current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8-K (File No. 1-08703) with the Securities and Exchange Commission on May 12,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9"/>
              </w:rPr>
              <w:t>Indenture (including Form of 0.5% Convertible Senior Notes due 2020), dated as of October 29, 2013, by and between SanDisk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Corporation and The Bank of New York Mellon Trust Company, N.A. (Filed as Exhibit 4.1 to SanDisk Corporation’s Current Report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8-K (File No. 000-26734) with the Securities and Exchange Commission on October 29, 2013)</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First Supplemental Indenture to the Indenture filed as Exhibit 4.7 hereto, dated as of May 12, 2016, among SanDisk Corporation, The Bank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of New York Mellon Trust Company, N.A., as trustee, and Western Digital Corporation (Filed as Exhibit 4.1 to the Company’s Current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8-K (File No. 1-08703) with the Securities and Exchange Commission on May 12,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Registration Rights Agreement, dated as of April 13, 2016, among Western Digital Corporation; HGST, Inc., WD Media, LLC, Western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Digital (Fremont), LLC and Western Digital Technologies, Inc., as guarantors; and Merrill Lynch, Pierce, Fenner &amp; Smith Incorporated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J.P. Morgan Securities LLC, as representatives of the initial purchasers of the 10.500% Senior Unsecured Notes due 2024 (Filed as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4.3 to the Company’s Current Report on Form 8-K (File No. 1-08703) with the Securities and Exchange Commission on April 14,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Western Digital Corporation Amended and Restated 2004 Performance Incentive Plan, amended and restated as of August 5, 2015 (Filed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9"/>
              </w:rPr>
              <w:t>Exhibit 10.1 to the Company’s Current Report on Form 8-K (File No. 1-08703) with the Securities and Exchange Commission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November 5, 2015)*</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Form of Notice of Grant of Stock Option and Option Agreement - Executives, as amended on November 3, 2015, under the Western Digital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Corporation Amended and Restated 2004 Performance Incentive Plan (Filed as Exhibit 10.1.1 to the Company’s Quarterly Report on Form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10-Q (File No. 1-08703) with the Securities and Exchange Commission on February 10, 2016)*</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Form of Notice of Grant of Stock Option and Option Agreement - Non-Executives, as amended on November 3, 2015, under the Western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Digital Corporation Amended and Restated 2004 Performance Incentive Plan (Filed as Exhibit 10.1.2 to the Company’s Quarterly Report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on Form 10-Q (File No. 1-08703) with the Securities and Exchange Commission on February 10,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Form of Notice of Grant of Stock Units and Stock Unit Award Agreement - Executives, as amended on November 3, 2015, under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Western Digital Corporation Amended and Restated 2004 Performance Incentive Plan (Filed as Exhibit 10.1.3 to the Company’s Quarterly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(File No. 1-08703) with the Securities and Exchange Commission on February 10,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Form of Notice of Grant of Stock Units and Stock Unit Award Agreement, as amended on November 3, 2015, under the Western Digital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Corporation Amended and Restated 2004 Performance Incentive Plan (Filed as Exhibit 10.1.4 to the Company’s Quarterly Report on Form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10-Q (File No. 1-08703) with the Securities and Exchange Commission on February 10,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Form of Notice of Grant of Performance Stock Units and Performance Stock Unit Award Agreement - Executives, as amended 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November 3, 2015, under the Western Digital Corporation Amended and Restated 2004 Performance Incentive Plan (Filed as Exhibit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10.1.5 to the Company’s Quarterly Report on Form 10-Q (File No. 1-08703) with the Securities and Exchange Commission on February 10,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Form of Notice of Grant of Performance Stock Units and Performance Stock Unit Award Agreement for Mark Long, dated September 17,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2015, under the Western Digital Corporation Amended and Restated 2004 Performance Incentive Plan (Filed as Exhibit 10.2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Company’s Quarterly Report on Form 10-Q (File No. 1-08703) with the Securities and Exchange Commission on November 10, 2015)*</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Form of Notice of Grant of Performance Stock Units and Performance Stock Unit Award Agreement (revised March 2016) under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Western Digital Corporation Amended and Restated 2004 Performance Incentive Plan (Filed as Exhibit 10.1 to the Company’s Quarterly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(File No. 1-08703) with the Securities and Exchange Commission on May 9,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Western Digital Corporation Amended and Restated 2004 Performance Incentive Plan Non-Employee Director Option Grant Program,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amended September 6, 2012, and Form of Notice of Grant of Stock Option and Option Agreement - Non-Employee Directors (Filed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Exhibit 10.5 to the Company’s Quarterly Report on Form 10-Q (File No. 1-08703) with the Securities and Exchange Commission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November 2, 2012)*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Western Digital Corporation Amended and Restated 2004 Performance Incentive Plan Non-Employee Director Restricted Stock Unit Grant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Program, as amended September 6, 2012 (Filed as Exhibit 10.6 to the Company’s Quarterly Report on Form 10-Q (File No. 1-08703) with</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the Securities and Exchange Commission on November 2, 2012)*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10.1.10</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Western Digital Corporation Incentive Compensation Plan, as Amended and Restated August 5, 2015 (Filed as Exhibit 10.1.8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Company’s Annual Report on Form 10-K (File No. 1-08703) with the Securities and Exchange Commission on August 21, 2015)*</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Western Digital Corporation 2005 Employee Stock Purchase Plan, as amended August 5, 2015 (Filed as Exhibit 4.2 to the Company’s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Registration Statement on Form S-8 (File No. 333-207842) with the Securities and Exchange Commission on November 5, 2015)*</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SanDisk Corporation 2013 Incentive Plan (Filed as Exhibit 4.2 to the Company’s Registration Statement on Form S-8 (File No. 333-</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211420) with the Securities and Exchange Commission on May 17, 2016)*</w:t>
            </w:r>
          </w:p>
        </w:tc>
        <w:tc>
          <w:tcPr>
            <w:tcW w:w="0" w:type="dxa"/>
            <w:vAlign w:val="bottom"/>
          </w:tcPr>
          <w:p>
            <w:pPr>
              <w:spacing w:after="0"/>
              <w:rPr>
                <w:sz w:val="1"/>
                <w:szCs w:val="1"/>
                <w:color w:val="auto"/>
              </w:rPr>
            </w:pP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Western Digital Corporation Summary of Compensation Arrangements for Named Executive Officers and Directors†*</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Amended and Restated Deferred Compensation Plan, amended and restated effective January 1, 2013 (Filed as Exhibit 10.4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Company’s Annual Report on Form 10-Q (File No. 1-08703) with the Securities and Exchange Commission on November 2, 2012)*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Amended and Restated Employment Agreement, dated as of September 6, 2012, between Western Digital Corporation and Stephen 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Milligan (Filed as Exhibit 10.2 to the Company’s Quarterly Report on Form 10-Q (File No. 1-08703) with the Securities and Exchange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Commission on November 2, 2012)*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Offer Letter, dated August 14, 2014, to Olivier C. Leonetti (Filed as Exhibit 10.2 to the Company's Quarterly Report on Form 10-Q (File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No. 1-08703) with the Securities and Exchange Commission on November 4, 2014)*</w:t>
            </w:r>
          </w:p>
        </w:tc>
        <w:tc>
          <w:tcPr>
            <w:tcW w:w="0" w:type="dxa"/>
            <w:vAlign w:val="bottom"/>
          </w:tcPr>
          <w:p>
            <w:pPr>
              <w:spacing w:after="0"/>
              <w:rPr>
                <w:sz w:val="1"/>
                <w:szCs w:val="1"/>
                <w:color w:val="auto"/>
              </w:rPr>
            </w:pP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Separation and General Release Agreement, dated August 3, 2016, between Western Digital Technologies, Inc. and Olivier C. Leonetti†*</w:t>
            </w:r>
          </w:p>
        </w:tc>
        <w:tc>
          <w:tcPr>
            <w:tcW w:w="0" w:type="dxa"/>
            <w:vAlign w:val="bottom"/>
          </w:tcPr>
          <w:p>
            <w:pPr>
              <w:spacing w:after="0"/>
              <w:rPr>
                <w:sz w:val="1"/>
                <w:szCs w:val="1"/>
                <w:color w:val="auto"/>
              </w:rPr>
            </w:pP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Separation and General Release Agreement, dated June 28, 2016, between Western Digital Technologies, Inc. and James J. Murphy†*</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Western Digital Corporation Amended and Restated Change of Control Severance Plan, amended and restated as of November 3, 2015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(Filed as Exhibit 10.2 to the Company’s Current Report on Form 8-K (File No. 1-08703) with the Securities and Exchange Commission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November 5, 2015)*</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jc w:val="right"/>
              <w:ind w:right="632"/>
              <w:spacing w:after="0"/>
              <w:rPr>
                <w:sz w:val="20"/>
                <w:szCs w:val="20"/>
                <w:color w:val="auto"/>
              </w:rPr>
            </w:pPr>
            <w:r>
              <w:rPr>
                <w:rFonts w:ascii="Arial" w:cs="Arial" w:eastAsia="Arial" w:hAnsi="Arial"/>
                <w:sz w:val="18"/>
                <w:szCs w:val="18"/>
                <w:color w:val="auto"/>
                <w:w w:val="93"/>
              </w:rPr>
              <w:t>10.11</w:t>
            </w:r>
          </w:p>
        </w:tc>
        <w:tc>
          <w:tcPr>
            <w:tcW w:w="100" w:type="dxa"/>
            <w:vAlign w:val="bottom"/>
          </w:tcPr>
          <w:p>
            <w:pPr>
              <w:spacing w:after="0"/>
              <w:rPr>
                <w:sz w:val="19"/>
                <w:szCs w:val="19"/>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7"/>
              </w:rPr>
              <w:t>Western Digital Corporation Executive Severance Plan, amended and restated as of February 4, 2015 (Filed as Exhibit 10.1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Company’s Quarterly Report on Form 10-Q (File No. 1-08703) with the Securities and Exchange Commission on February 10, 2015)*</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10.12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Form of Indemnity Agreement for Directors of Western Digital Corporation (Filed as Exhibit 10.4 to the Company’s Quarterly Report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10-Q (File No. 1-08703) with the Securities and Exchange Commission on November 8, 2002)*</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10.13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Form of Indemnity Agreement for Officers of Western Digital Corporation (Filed as Exhibit 10.5 to the Company’s Quarterly Report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10-Q (File No. 1-08703) with the Securities and Exchange Commission on November 8, 2002)*</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10.14</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Form of Indemnification Agreement entered into between SanDisk Corporation and its directors and officers (Filed as Exhibit 3.2 to</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SanDisk Corporation’s Registration Statement on Form S-1 (File No. 33-96298) with the Securities and Exchange Commission on August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29, 1995)*</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10.15</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Change of Control Executive Benefits Agreement, effective as of January 1, 2015, by and between SanDisk Corporation and Sanjay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Mehrotra (Filed as Exhibit 10.4 to SanDisk Corporation’s Annual Report on Form 10-K (File No. 000-26734) with the Securities and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Exchange Commission on February 10, 2015)*</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10.16</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Letter Agreement Clarifying Change of Control Executive Benefits, by and between Western Digital Corporation, SanDisk Corporation and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Sanjay Mehrotra, dated as of May 12, 2016†*</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10.17</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Escrow Agreement, dated as of April 13, 2016, among Western Digital Corporation, U.S. Bank National Association, as trustee under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7.375% Senior Secured Notes due 2023 Indenture, and SunTrust Bank, as escrow agent and securities intermediary (Filed as Exhibit 10.1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the Company’s Current Report on Form 8-K (File No. 1-08703) with the Securities and Exchange Commission on April 14, 2016)</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10.18</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Escrow Agreement, dated as of April 13, 2016, among Western Digital Corporation, U.S. Bank National Association, as trustee under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10.500% Senior Unsecured Notes due 2024 Indenture, and SunTrust Bank, as escrow agent (Filed as Exhibit 10.2 to the Company’s Current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8-K (File No. 1-08703) with the Securities and Exchange Commission on April 14, 2016)</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10.19</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Loan Agreement, dated as of April 29, 2016, by and among Western Digital Corporation, JPMorgan Chase Bank, N.A., as administrative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agent and collateral agent, and the lenders and financial institutions from time to time party thereto (Filed as Exhibit 10.4 to the Company’s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Quarterly Report on Form 10-Q (File No. 1-08703) with the Securities and Exchange Commission on May 9, 2016)</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10.20</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Amendment No. 1, dated as of August 17, 2016, to the Loan Agreement dated as of April 29, 2016, by and among Western Digital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Corporation, JPMorgan Chase Bank, N.A., as administrative agent and collateral agent, the lenders party thereto and the other loan parties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thereto (Filed as Exhibit 10.1 to the Company’s Current Report on Form 8-K (File No. 1-08703) with the Securities and Exchange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Commission on August 18, 2016)</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10.21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Guaranty Agreement, dated as of April 29, 2016, by and among Western Digital Corporation, the subsidiary guarantors party thereto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JPMorgan Chase Bank, N.A., as administrative agent for the guaranteed creditors (Filed as Exhibit 10.2 to the Company’s Current Report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on Form 8-K (File No.1-08703) with the Securities and Exchange Commission on April 29, 2016)</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10.22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Escrow Agreement, dated as of April 29, 2016, by and among Western Digital Corporation, JPMorgan Chase Bank, N.A., as administrative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agent and collateral agent, and SunTrust Bank, as escrow agent and securities intermediary (Filed as Exhibit 10.3 to the Company’s Current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8-K (File No.1-08703) with the Securities and Exchange Commission on April 29, 2016)</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10.23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Security Agreement, dated as of May 12, 2016, by and among Western Digital Corporation, the subsidiary guarantors party thereto and U.S.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Bank National Association, as trustee and collateral agent (Filed as Exhibit 10.1 to the Company’s Current Report on Form 8-K (File No. 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08703) with the Securities and Exchange Commission on May 12, 2016)</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10.24</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Security Agreement, dated as of May 12, 2016, by and among the debtors (as defined therein) party thereto and JPMorgan Chase Bank,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N.A., as collateral agent (Filed as Exhibit 10.2 to the Company’s Current Report on Form 8-K (File No. 1-08703) with the Securities and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Exchange Commission on May 12, 2016)</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10.25</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Assumption and Supplement to Guaranty Agreement, dated as of May 12, 2016, by and among the new guarantor (as defined therein)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JPMorgan Chase Bank, N.A. as administrative agent (Filed as Exhibit 10.3 to the Company’s Current Report on Form 8-K (File No. 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08703) with the Securities and Exchange Commission on May 12, 206)</w:t>
            </w:r>
          </w:p>
        </w:tc>
        <w:tc>
          <w:tcPr>
            <w:tcW w:w="0" w:type="dxa"/>
            <w:vAlign w:val="bottom"/>
          </w:tcPr>
          <w:p>
            <w:pPr>
              <w:spacing w:after="0"/>
              <w:rPr>
                <w:sz w:val="1"/>
                <w:szCs w:val="1"/>
                <w:color w:val="auto"/>
              </w:rPr>
            </w:pPr>
          </w:p>
        </w:tc>
      </w:tr>
      <w:tr>
        <w:trPr>
          <w:trHeight w:val="256"/>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10.26</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Bridge Loan Agreement, dated as of May 12, 2016, by and among Western Digital Technologies, Inc., Western Digital Corporation,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JPMorgan Chase Bank, N.A., as administrative agent and collateral agent, and the lenders and financial institutions from time to time party</w:t>
            </w:r>
          </w:p>
        </w:tc>
        <w:tc>
          <w:tcPr>
            <w:tcW w:w="0" w:type="dxa"/>
            <w:vAlign w:val="bottom"/>
          </w:tcPr>
          <w:p>
            <w:pPr>
              <w:spacing w:after="0"/>
              <w:rPr>
                <w:sz w:val="1"/>
                <w:szCs w:val="1"/>
                <w:color w:val="auto"/>
              </w:rPr>
            </w:pPr>
          </w:p>
        </w:tc>
      </w:tr>
    </w:tbl>
    <w:p>
      <w:pPr>
        <w:ind w:left="1300" w:right="760"/>
        <w:spacing w:after="0" w:line="261" w:lineRule="auto"/>
        <w:rPr>
          <w:sz w:val="20"/>
          <w:szCs w:val="20"/>
          <w:color w:val="auto"/>
        </w:rPr>
      </w:pPr>
      <w:r>
        <w:rPr>
          <w:rFonts w:ascii="Arial" w:cs="Arial" w:eastAsia="Arial" w:hAnsi="Arial"/>
          <w:sz w:val="18"/>
          <w:szCs w:val="18"/>
          <w:color w:val="auto"/>
        </w:rPr>
        <w:t>thereto (Filed as Exhibit 10.4 to the Company’s Current Report on Form 8-K (File No. 1-08703) with the Securities and Exchange Commission on May 12, 206)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Amendment No. 1 to Bridge Loan Agreement, dated as of June 9, 2016, by and among Western Digital Technologies, Inc., Western Digital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Corporation, JPMorgan Chase Bank, N.A., as administrative agent, the lenders party thereto and the other loan parties party thereto (Filed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as Exhibit 10.1 to the Company’s Current Report on Form 8-K (File No. 1-08703) with the Securities and Exchange Commission on June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10, 206)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Bridge Guaranty Agreement, dated as of May 12, 2016, by and among Western Digital Technologies, Inc., Western Digital Corporation,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other guarantors party thereto and JPMorgan Chase Bank, N.A., as administrative agent for the guaranteed creditors (Filed as Exhibit 10.5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to the Company’s Current Report on Form 8-K (File No. 1-08703) with the Securities and Exchange Commission on May 12, 206)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Assumption and Supplement to Bridge Guaranty Agreement, dated as of May 12, 2016, by and among the new guarantor (as defined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therein) and JPMorgan Chase Bank, N.A., as administrative agent (Filed as Exhibit 10.6 to the Company’s Current Report on Form 8-K</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(File No. 1-08703) with the Securities and Exchange Commission on May 12, 206)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Bridge Security Agreement, dated as of May 12, 2016, by and among the Debtors (as defined therein) party thereto and JPMorgan Chase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Bank, N.A., as collateral agent (Filed as Exhibit 10.7 to the Company’s Current Report on Form 8-K (File No. 1-08703) with the Securities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and Exchange Commission on May 12, 206)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Flash Alliance Master Agreement, dated as of July 7, 2006, by and among SanDisk Corporation, Toshiba Corporation and SanDisk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(Ireland) Limited (Filed as Exhibit 10.1 to SanDisk Corporation’s Quarterly Report on Form 10-Q (File No. 000-26734) with the Securities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and Exchange Commission on November 8, 2006)#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Operating Agreement of Flash Alliance, Ltd., dated as of July 7, 2006, by and between Toshiba Corporation and SanDisk (Ireland) Limited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(Filed as Exhibit 10.2 to SanDisk Corporation’s Quarterly Report on Form 10-Q (File No. 000-26734) with the Securities and Exchange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Commission on November 8, 2006)#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Joint Venture Restructure Agreement, dated as of January 29, 2009, by and among SanDisk Corporation, SanDisk (Ireland) Limited,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SanDisk (Cayman) Limited, Toshiba Corporation, Flash Partners Limited and Flash Alliance Limited (Filed as Exhibit 10.1 to SanDisk</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Corporation’s Quarterly Report on Form 10-Q (File No. 000-26734) with the Securities and Exchange Commission on May 7, 2009)#</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New Y2 Facility Agreement, dated October 20, 2015, by and among SanDisk Corporation, SanDisk (Ireland) Limited, SanDisk (Cayman)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Limited, SanDisk Flash B.V., Toshiba Corporation, Flash Partners Limited, Flash Alliance Limited and Flash Forward Limited (Filed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Exhibit 10.37 to SanDisk Corporation’s Annual Report on Form 10-K (File No. 000-26734) with the Securities and Exchange Commission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on February 12, 2016)#</w:t>
            </w:r>
          </w:p>
        </w:tc>
        <w:tc>
          <w:tcPr>
            <w:tcW w:w="0" w:type="dxa"/>
            <w:vAlign w:val="bottom"/>
          </w:tcPr>
          <w:p>
            <w:pPr>
              <w:spacing w:after="0"/>
              <w:rPr>
                <w:sz w:val="1"/>
                <w:szCs w:val="1"/>
                <w:color w:val="auto"/>
              </w:rPr>
            </w:pP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Subsidiaries of Western Digital Corporation†</w:t>
            </w:r>
          </w:p>
        </w:tc>
        <w:tc>
          <w:tcPr>
            <w:tcW w:w="0" w:type="dxa"/>
            <w:vAlign w:val="bottom"/>
          </w:tcPr>
          <w:p>
            <w:pPr>
              <w:spacing w:after="0"/>
              <w:rPr>
                <w:sz w:val="1"/>
                <w:szCs w:val="1"/>
                <w:color w:val="auto"/>
              </w:rPr>
            </w:pP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3"/>
                <w:szCs w:val="23"/>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70"/>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10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ind w:left="340" w:right="340" w:hanging="332"/>
        <w:spacing w:after="0" w:line="250" w:lineRule="auto"/>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supplementally copies of any of the omitted schedules upon request by the Securities and Exchange Commission.</w:t>
      </w:r>
    </w:p>
    <w:p>
      <w:pPr>
        <w:spacing w:after="0" w:line="1" w:lineRule="exact"/>
        <w:rPr>
          <w:sz w:val="20"/>
          <w:szCs w:val="20"/>
          <w:color w:val="auto"/>
        </w:rPr>
      </w:pPr>
    </w:p>
    <w:p>
      <w:pPr>
        <w:ind w:left="340" w:right="380" w:hanging="332"/>
        <w:spacing w:after="0" w:line="323"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Pursuant to a request for confidential treatment, certain portions of this exhibit have been redacted from the publicly filed document and have been furnished separately to the Securities and Exchange Commission as required by Rule 24b-2 under the Securities Exchange Act of 1933, as amended.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Compensation Arrangements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Named Executive Officers and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August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25"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The current annual base salaries for the executive officers of Western Digital Corporation (the “Company”) who were named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Compensation Table in the Company’s Proxy Statement that was filed with the Securities and Exchange Commission in connection with the Company’s 2015 Annual Meeting of Stockholders (the “Named Executive Officers”)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vMerge w:val="restart"/>
          </w:tcPr>
          <w:p>
            <w:pPr>
              <w:spacing w:after="0"/>
              <w:rPr>
                <w:sz w:val="14"/>
                <w:szCs w:val="14"/>
                <w:color w:val="auto"/>
              </w:rPr>
            </w:pPr>
          </w:p>
        </w:tc>
        <w:tc>
          <w:tcPr>
            <w:tcW w:w="6860" w:type="dxa"/>
            <w:vAlign w:val="bottom"/>
            <w:vMerge w:val="restart"/>
          </w:tcPr>
          <w:p>
            <w:pPr>
              <w:ind w:left="3280"/>
              <w:spacing w:after="0"/>
              <w:rPr>
                <w:sz w:val="20"/>
                <w:szCs w:val="20"/>
                <w:color w:val="auto"/>
              </w:rPr>
            </w:pPr>
            <w:r>
              <w:rPr>
                <w:rFonts w:ascii="Arial" w:cs="Arial" w:eastAsia="Arial" w:hAnsi="Arial"/>
                <w:sz w:val="14"/>
                <w:szCs w:val="14"/>
                <w:b w:val="1"/>
                <w:bCs w:val="1"/>
                <w:color w:val="auto"/>
              </w:rPr>
              <w:t>Title</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455"/>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Stephen D. Milligan</w:t>
            </w: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1,150,000</w:t>
            </w:r>
          </w:p>
        </w:tc>
        <w:tc>
          <w:tcPr>
            <w:tcW w:w="0" w:type="dxa"/>
            <w:vAlign w:val="bottom"/>
          </w:tcPr>
          <w:p>
            <w:pPr>
              <w:spacing w:after="0"/>
              <w:rPr>
                <w:sz w:val="1"/>
                <w:szCs w:val="1"/>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Michael D. Cordano</w:t>
            </w: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31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Olivier C. Leonetti</w:t>
            </w:r>
            <w:r>
              <w:rPr>
                <w:rFonts w:ascii="Arial" w:cs="Arial" w:eastAsia="Arial" w:hAnsi="Arial"/>
                <w:sz w:val="25"/>
                <w:szCs w:val="25"/>
                <w:color w:val="auto"/>
                <w:vertAlign w:val="superscript"/>
              </w:rPr>
              <w:t>(1)</w:t>
            </w: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0"/>
        </w:trPr>
        <w:tc>
          <w:tcPr>
            <w:tcW w:w="28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Mark P. Long</w:t>
            </w:r>
            <w:r>
              <w:rPr>
                <w:rFonts w:ascii="Arial" w:cs="Arial" w:eastAsia="Arial" w:hAnsi="Arial"/>
                <w:sz w:val="25"/>
                <w:szCs w:val="25"/>
                <w:color w:val="auto"/>
                <w:vertAlign w:val="superscript"/>
              </w:rPr>
              <w:t>(1)</w:t>
            </w: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Finance and Chief Strategy Officer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James J. Murphy</w:t>
            </w: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40" w:hanging="328"/>
        <w:spacing w:after="0" w:line="252" w:lineRule="auto"/>
        <w:tabs>
          <w:tab w:leader="none" w:pos="66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Effective as of September 1, 2016, Mr. Long will become Executive Vice President, Chief Financial Officer and Chief Strategy Officer, and Mr. Leonetti will leave the role of Chief Financial Officer and serve in an advisory capacity until his departure from the Company on October 1, 2016.</w:t>
      </w:r>
    </w:p>
    <w:p>
      <w:pPr>
        <w:spacing w:after="0" w:line="3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Semi-Annual Bonuses</w:t>
      </w:r>
      <w:r>
        <w:rPr>
          <w:rFonts w:ascii="Arial" w:cs="Arial" w:eastAsia="Arial" w:hAnsi="Arial"/>
          <w:sz w:val="18"/>
          <w:szCs w:val="18"/>
          <w:color w:val="auto"/>
        </w:rPr>
        <w:t>. Under the Company’s Amended and Restated 2004 Performance Incentive Plan, the Named Executive Officers are also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cash bonus awards pursuant to the short-term incentive program (“STI”) under the Company’s Incentive Compensation Plan. The cash bonus awards are determined based on the Company’s achievement of performance goals pre-established by the Compensation Committee (the “Committee”) of the Company’s Board of Directors as well as other factors.</w:t>
      </w:r>
    </w:p>
    <w:p>
      <w:pPr>
        <w:spacing w:after="0" w:line="18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For Messrs. Milligan, Cordano, Leonetti and Long for both the first and second halves of fiscal 2016, and for Mr. Murphy for the second half of fiscal 2016 only, these STI opportunities were earned based on achievement against pre-established adjusted earnings per share goals. For Mr. Murphy, no STI bonus opportunity was established for the first quarter of fiscal 2016, and his STI bonus opportunity for the second quarter of fiscal 2016 was earned based on achievement of pre-established adjusted operating income and operating expense reduction goals for the Company’s WD subsidiary.</w:t>
      </w:r>
    </w:p>
    <w:p>
      <w:pPr>
        <w:spacing w:after="0" w:line="15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i w:val="1"/>
          <w:iCs w:val="1"/>
          <w:color w:val="auto"/>
        </w:rPr>
        <w:t>Additional Compensation</w:t>
      </w:r>
      <w:r>
        <w:rPr>
          <w:rFonts w:ascii="Arial" w:cs="Arial" w:eastAsia="Arial" w:hAnsi="Arial"/>
          <w:sz w:val="18"/>
          <w:szCs w:val="18"/>
          <w:color w:val="auto"/>
        </w:rPr>
        <w:t>. The Named Executive Officers are also eligible to receive equity-based incentives as determined by the Committee,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participate in various Company plans, and for Mr. Milligan, subject to an employment agreement, in each case as set forth in exhibits to the Company’s filings with the Securities and Exchange Commission. In addition, the Named Executive Officers may be eligible to receive perquisites and other personal benefits as disclosed in the Company’s Proxy Statement filed with the Securities and Exchange Commission in connection with the Company’s 2015 Annual Meeting of Stockholders.</w:t>
      </w:r>
    </w:p>
    <w:p>
      <w:pPr>
        <w:sectPr>
          <w:pgSz w:w="11900" w:h="16838" w:orient="portrait"/>
          <w:cols w:equalWidth="0" w:num="1">
            <w:col w:w="11420"/>
          </w:cols>
          <w:pgMar w:left="240" w:top="580"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i w:val="1"/>
          <w:iCs w:val="1"/>
          <w:color w:val="auto"/>
        </w:rPr>
        <w:t xml:space="preserve">Annual Retainer and Committee Retainer Fees. </w:t>
      </w:r>
      <w:r>
        <w:rPr>
          <w:rFonts w:ascii="Arial" w:cs="Arial" w:eastAsia="Arial" w:hAnsi="Arial"/>
          <w:sz w:val="18"/>
          <w:szCs w:val="18"/>
          <w:color w:val="auto"/>
        </w:rPr>
        <w:t>The following table sets forth the current annual retainer and committee membership fees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Company’s non-employee directors: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Fee</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433"/>
              <w:spacing w:after="0"/>
              <w:rPr>
                <w:sz w:val="20"/>
                <w:szCs w:val="20"/>
                <w:color w:val="auto"/>
              </w:rPr>
            </w:pPr>
            <w:r>
              <w:rPr>
                <w:rFonts w:ascii="Arial" w:cs="Arial" w:eastAsia="Arial" w:hAnsi="Arial"/>
                <w:sz w:val="14"/>
                <w:szCs w:val="14"/>
                <w:b w:val="1"/>
                <w:bCs w:val="1"/>
                <w:color w:val="auto"/>
              </w:rPr>
              <w:t>Current Annual</w:t>
            </w:r>
          </w:p>
        </w:tc>
        <w:tc>
          <w:tcPr>
            <w:tcW w:w="0" w:type="dxa"/>
            <w:vAlign w:val="bottom"/>
          </w:tcPr>
          <w:p>
            <w:pPr>
              <w:spacing w:after="0"/>
              <w:rPr>
                <w:sz w:val="1"/>
                <w:szCs w:val="1"/>
                <w:color w:val="auto"/>
              </w:rPr>
            </w:pPr>
          </w:p>
        </w:tc>
      </w:tr>
      <w:tr>
        <w:trPr>
          <w:trHeight w:val="192"/>
        </w:trPr>
        <w:tc>
          <w:tcPr>
            <w:tcW w:w="9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Retainer Fees</w:t>
            </w:r>
          </w:p>
        </w:tc>
        <w:tc>
          <w:tcPr>
            <w:tcW w:w="0" w:type="dxa"/>
            <w:vAlign w:val="bottom"/>
          </w:tcPr>
          <w:p>
            <w:pPr>
              <w:spacing w:after="0"/>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 Retainer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Additional Lead Independent Director Retainer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Non-Executive Chairman of Board Retainer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Additional Committee Retainers</w:t>
            </w: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Audit Committee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3"/>
        </w:trPr>
        <w:tc>
          <w:tcPr>
            <w:tcW w:w="9380" w:type="dxa"/>
            <w:vAlign w:val="bottom"/>
            <w:gridSpan w:val="2"/>
          </w:tcPr>
          <w:p>
            <w:pPr>
              <w:ind w:left="260"/>
              <w:spacing w:after="0"/>
              <w:rPr>
                <w:sz w:val="20"/>
                <w:szCs w:val="20"/>
                <w:color w:val="auto"/>
              </w:rPr>
            </w:pPr>
            <w:r>
              <w:rPr>
                <w:rFonts w:ascii="Arial" w:cs="Arial" w:eastAsia="Arial" w:hAnsi="Arial"/>
                <w:sz w:val="18"/>
                <w:szCs w:val="18"/>
                <w:color w:val="auto"/>
              </w:rPr>
              <w:t>Compensation Committee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Governance Committee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Additional Committee Chairman Retainers</w:t>
            </w: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Audit Committee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3"/>
        </w:trPr>
        <w:tc>
          <w:tcPr>
            <w:tcW w:w="9380" w:type="dxa"/>
            <w:vAlign w:val="bottom"/>
            <w:gridSpan w:val="2"/>
          </w:tcPr>
          <w:p>
            <w:pPr>
              <w:ind w:left="260"/>
              <w:spacing w:after="0"/>
              <w:rPr>
                <w:sz w:val="20"/>
                <w:szCs w:val="20"/>
                <w:color w:val="auto"/>
              </w:rPr>
            </w:pPr>
            <w:r>
              <w:rPr>
                <w:rFonts w:ascii="Arial" w:cs="Arial" w:eastAsia="Arial" w:hAnsi="Arial"/>
                <w:sz w:val="18"/>
                <w:szCs w:val="18"/>
                <w:color w:val="auto"/>
              </w:rPr>
              <w:t>Compensation Committee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Governance Committee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9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annual retainer fees are paid immediately following the Annual Meeting of Stockholders. Non-employee directors do not receive a separate fee for each Board of Directors or committee meeting they attend. However, the Company reimburses all non-employee directors for reasonable out-of-pocket expenses incurred to attend each Board of Directors or committee meeting. Mr. Milligan, who is an employee of the Company, does not receive any compensation for his service on the Board or any Board committee.</w:t>
      </w:r>
    </w:p>
    <w:p>
      <w:pPr>
        <w:spacing w:after="0" w:line="187"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i w:val="1"/>
          <w:iCs w:val="1"/>
          <w:color w:val="auto"/>
        </w:rPr>
        <w:t>Additional Director Compensation</w:t>
      </w:r>
      <w:r>
        <w:rPr>
          <w:rFonts w:ascii="Arial" w:cs="Arial" w:eastAsia="Arial" w:hAnsi="Arial"/>
          <w:sz w:val="17"/>
          <w:szCs w:val="17"/>
          <w:color w:val="auto"/>
        </w:rPr>
        <w:t>. The Company’s non-employee directors are also entitled to participate in the following other Company plans as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in exhibits to the Company’s filings with the Securities and Exchange Commission: Non-Employee Director Restricted Stock Unit Grant Program, as adopted under the Company’s Amended and Restated 2004 Performance Incentive Plan; and Deferred Compensation Plan.</w:t>
      </w:r>
    </w:p>
    <w:p>
      <w:pPr>
        <w:sectPr>
          <w:pgSz w:w="11900" w:h="16838" w:orient="portrait"/>
          <w:cols w:equalWidth="0" w:num="1">
            <w:col w:w="11420"/>
          </w:cols>
          <w:pgMar w:left="240" w:top="584"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10.8</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SEPARATION AND GENERAL RELEASE AGREEMENT</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consideration of the covenants undertaken and releases contained in this Separation and General Release Agreement, including any exhibits hereto (this “Agreement”), Olivier C. Leonetti (“Executive”) and Western Digital Technologies, Inc., a Delaware corporation, including its parent company and any related entities and subsidiaries (collectively referred to as “Western Digital”), agree as follows:</w:t>
      </w:r>
    </w:p>
    <w:p>
      <w:pPr>
        <w:spacing w:after="0" w:line="188" w:lineRule="exact"/>
        <w:rPr>
          <w:sz w:val="20"/>
          <w:szCs w:val="20"/>
          <w:color w:val="auto"/>
        </w:rPr>
      </w:pPr>
    </w:p>
    <w:p>
      <w:pPr>
        <w:jc w:val="both"/>
        <w:ind w:firstLine="656"/>
        <w:spacing w:after="0" w:line="285" w:lineRule="auto"/>
        <w:tabs>
          <w:tab w:leader="none" w:pos="1459"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Separation from and Termination of Employment</w:t>
      </w:r>
      <w:r>
        <w:rPr>
          <w:rFonts w:ascii="Arial" w:cs="Arial" w:eastAsia="Arial" w:hAnsi="Arial"/>
          <w:sz w:val="19"/>
          <w:szCs w:val="19"/>
          <w:color w:val="auto"/>
        </w:rPr>
        <w:t>. Conditioned upon the terms of this Agreement, Executive’s employment with Western Digital and its affiliated and subsidiary businesses in any other capacity, will terminate for all purposes effective October 1, 2016, unless terminated earlier upon two weeks’ written notice from Executive (such date, the “Severance Date”), provided, that in no event shall the Severance Date be earlier than September 1, 2016. Executive further agrees to continue employment with Western Digital in a transitional role as Chief Financial Officer through September 1, 2016, and as a special advisor thereafter through the Severance Date, and to perform such duties as may be requested by the Chief Executive Officer of Western Digital Corporation through the Severance Date, including continuing in the role of principal accounting officer through September 1, 2016. Executive hereby resigns his positions with Western Digital and any of its affiliates and subsidiaries, effective as of the Severance Date unless provided for sooner in a separate written agreement by Executive. All salary, compensation, benefits and perquisites of employment will cease as of the Severance Date. Executive will continue to vest in outstanding equity grants through the Severance Date (subject to his continued employment through the applicable vesting date). Executive shall submit his final expense report, if any, by the Severance Date, which Western Digital shall reimburse in the ordinary course of business. Within sixty (60) days following the Severance Date, Executive shall receive payment in an amount equal to (a) all final amounts owed to Executive for Executive’s regular and usual base salary (if any), and (b) all final amounts owed to Executive for Executive’s earned and accrued but unpaid bonuses (if any), in accordance with the terms of the applicable bonus plan. Executive is not required to sign this Agreement in order to receive the compensation, vesting and expense reimbursement described in this Section 1. All payments due to Executive from Western Digital after the Severance Date shall be determined under this Agreement. For the avoidance of doubt, Executive shall not be required to repay to Western Digital the signing bonus set forth in Executive’s offer letter dated August 14, 2014.</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firstLine="656"/>
        <w:spacing w:after="0" w:line="246" w:lineRule="auto"/>
        <w:tabs>
          <w:tab w:leader="none" w:pos="1459"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Separation Benefits</w:t>
      </w:r>
      <w:r>
        <w:rPr>
          <w:rFonts w:ascii="Arial" w:cs="Arial" w:eastAsia="Arial" w:hAnsi="Arial"/>
          <w:sz w:val="22"/>
          <w:szCs w:val="22"/>
          <w:color w:val="auto"/>
        </w:rPr>
        <w:t>. The benefits (“Separation Benefits”) provided under Section 2 of this Agreement are intended to be consistent with the Western Digital Corporation Executive Severance Plan. Provided that Executive (a) executes and delivers this Agreement to Western Digital and does not revoke this Agreement within the seven (7) day revocation period following the date Executive signs this Agreement, and (b) executes and delivers to Western Digital a general release of claims substantially in the form attached hereto as Exhibit A (the “Separation Release”) on the Severance Date (and no earlier) and does not revoke the Separation Release within the seven (7) day revocation period following the date Executive signs the Separation Release, Western Digital shall provide Executive with the following Separation Benefits during the thirty-day period commencing on the Severance Date:</w:t>
      </w:r>
    </w:p>
    <w:p>
      <w:pPr>
        <w:spacing w:after="0" w:line="229" w:lineRule="exact"/>
        <w:rPr>
          <w:rFonts w:ascii="Arial" w:cs="Arial" w:eastAsia="Arial" w:hAnsi="Arial"/>
          <w:sz w:val="22"/>
          <w:szCs w:val="22"/>
          <w:color w:val="auto"/>
        </w:rPr>
      </w:pPr>
    </w:p>
    <w:p>
      <w:pPr>
        <w:jc w:val="both"/>
        <w:ind w:left="1300" w:hanging="320"/>
        <w:spacing w:after="0" w:line="256" w:lineRule="auto"/>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Salary Payment</w:t>
      </w:r>
      <w:r>
        <w:rPr>
          <w:rFonts w:ascii="Arial" w:cs="Arial" w:eastAsia="Arial" w:hAnsi="Arial"/>
          <w:sz w:val="22"/>
          <w:szCs w:val="22"/>
          <w:b w:val="1"/>
          <w:bCs w:val="1"/>
          <w:color w:val="auto"/>
        </w:rPr>
        <w:t>.</w:t>
      </w:r>
      <w:r>
        <w:rPr>
          <w:rFonts w:ascii="Arial" w:cs="Arial" w:eastAsia="Arial" w:hAnsi="Arial"/>
          <w:sz w:val="22"/>
          <w:szCs w:val="22"/>
          <w:color w:val="auto"/>
        </w:rPr>
        <w:t xml:space="preserve"> Subject to the terms and conditions of this Agreement, Executive will receive a payment of One Million Dollars ($1,000,000), less standard withholdings and authorized deductions, which represents a payment equal to twenty-four (24) months of Executive’s salary (“Salary Payment”).</w:t>
      </w:r>
    </w:p>
    <w:p>
      <w:pPr>
        <w:sectPr>
          <w:pgSz w:w="11900" w:h="16838" w:orient="portrait"/>
          <w:cols w:equalWidth="0" w:num="1">
            <w:col w:w="11420"/>
          </w:cols>
          <w:pgMar w:left="240" w:top="580" w:right="239" w:bottom="1440" w:gutter="0" w:footer="0" w:header="0"/>
        </w:sectPr>
      </w:pPr>
    </w:p>
    <w:bookmarkStart w:id="135" w:name="page136"/>
    <w:bookmarkEnd w:id="135"/>
    <w:p>
      <w:pPr>
        <w:jc w:val="both"/>
        <w:ind w:left="320" w:hanging="320"/>
        <w:spacing w:after="0" w:line="288" w:lineRule="auto"/>
        <w:tabs>
          <w:tab w:leader="none" w:pos="32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COBRA Payment</w:t>
      </w:r>
      <w:r>
        <w:rPr>
          <w:rFonts w:ascii="Arial" w:cs="Arial" w:eastAsia="Arial" w:hAnsi="Arial"/>
          <w:sz w:val="19"/>
          <w:szCs w:val="19"/>
          <w:color w:val="auto"/>
        </w:rPr>
        <w:t>. Executive shall receive a cash lump sum payment of Twenty-Eight Thousand, Six Hundred Forty-Three Dollars and Seventy-Six Cents ($28,643.76), which represents a payment equal to the equivalent of eighteen (18) months’ payment for health care continuation costs under the Consolidated Omnibus Budget Reconciliation Act of 1985 (“COBRA”) (“COBRA Payment”) (presently estimated at $1,591.32 per month), less required tax withholdings and authorized deductions. Executive understands that Executive remains responsible for working with Western Digital’s outside benefits administrator to elect COBRA benefits and must timely elect coverage in order to be eligible for COBRA benefits, should Executive elect COBRA. A COBRA election form and enrollment package will be mailed to Executive’s home address approximately two weeks after the end of the month in which Executive’s Severance Date occurs. Enrollment is not automatic. Executive understands that Executive must apply within sixty (60) days after the Severance Date or the date of Executive’s notification letter, whichever is later, or Executive will forfeit Executive’s right to COBRA coverage.</w:t>
      </w:r>
    </w:p>
    <w:p>
      <w:pPr>
        <w:spacing w:after="0" w:line="195" w:lineRule="exact"/>
        <w:rPr>
          <w:rFonts w:ascii="Arial" w:cs="Arial" w:eastAsia="Arial" w:hAnsi="Arial"/>
          <w:sz w:val="19"/>
          <w:szCs w:val="19"/>
          <w:color w:val="auto"/>
        </w:rPr>
      </w:pPr>
    </w:p>
    <w:p>
      <w:pPr>
        <w:jc w:val="both"/>
        <w:ind w:left="320" w:hanging="320"/>
        <w:spacing w:after="0" w:line="286" w:lineRule="auto"/>
        <w:tabs>
          <w:tab w:leader="none" w:pos="32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STI Bonus</w:t>
      </w:r>
      <w:r>
        <w:rPr>
          <w:rFonts w:ascii="Arial" w:cs="Arial" w:eastAsia="Arial" w:hAnsi="Arial"/>
          <w:sz w:val="19"/>
          <w:szCs w:val="19"/>
          <w:color w:val="auto"/>
        </w:rPr>
        <w:t>. Other than as set forth in this Section 2.C., Executive acknowledges and agrees that he has been paid all bonuses he is owed by Western Digital through the Severance Date. Western Digital acknowledges and agrees that the bonus payment (if any) under the short-term incentive program (“STI”) of the Incentive Compensation Plan for the Second Half of Fiscal Year 2016 shall be paid in the ordinary course and no later than the Severance Date. Assuming a Severance Date of October 1, 2016, for the bonus cycle comprising the First Half of Fiscal Year 2017 (the period of July 2, 2016 - December 30, 2016), Executive shall receive a payment in the amount of One Hundred Twenty-Six Thousand, Twenty-Seven Dollars ($126,027), less standard withholding and authorized deductions, which represents a payment equal to Executive’s prorated bonus opportunity under the STI for the bonus cycle for the First Half of Fiscal Year 2017, assuming 100% of the performance targets are met regardless of the actual funding by Western Digital. In the event the Severance Date occurs earlier than October 1, 2016, the payment under this Section 2.C. shall be an amount equal to Executive’s prorated bonus opportunity under the STI for the bonus cycle in which the Severance Date occurs, assuming 100% of the performance targets are met regardless of actual funding by Western Digital, prorated based on the number of days from the beginning of the bonus cycle through the Severance Date, as determined by Western Digital. Executive will not be entitled to additional payments under the STI.</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left="320" w:hanging="320"/>
        <w:spacing w:after="0" w:line="259" w:lineRule="auto"/>
        <w:tabs>
          <w:tab w:leader="none" w:pos="32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Transition Bonus</w:t>
      </w:r>
      <w:r>
        <w:rPr>
          <w:rFonts w:ascii="Arial" w:cs="Arial" w:eastAsia="Arial" w:hAnsi="Arial"/>
          <w:sz w:val="21"/>
          <w:szCs w:val="21"/>
          <w:color w:val="auto"/>
        </w:rPr>
        <w:t>. In order to facilitate a smooth transition through the Severance Date, Western Digital agrees to pay Executive a transition bonus (the “Transition Bonus”) of Three Hundred Fifty Thousand Dollars ($350,000), less standard withholding and authorized deductions, subject to Executive’s continued employment through the Severance Date and reasonable satisfactory performance of such duties as may be requested by the Chief Executive Officer of Western Digital Corporation through such date, in accordance with Section 1; provided, that in the event the Chief Executive Officer determines that Executive’s performance of such duties is not satisfactory, Executive shall be entitled to notice of such determination and an opportunity to cure within seven (7) business days following receipt of such notification.</w:t>
      </w:r>
    </w:p>
    <w:p>
      <w:pPr>
        <w:sectPr>
          <w:pgSz w:w="11900" w:h="16838" w:orient="portrait"/>
          <w:cols w:equalWidth="0" w:num="1">
            <w:col w:w="10440"/>
          </w:cols>
          <w:pgMar w:left="1220" w:top="591" w:right="239" w:bottom="1440" w:gutter="0" w:footer="0" w:header="0"/>
        </w:sectPr>
      </w:pPr>
    </w:p>
    <w:bookmarkStart w:id="136" w:name="page137"/>
    <w:bookmarkEnd w:id="136"/>
    <w:p>
      <w:pPr>
        <w:jc w:val="both"/>
        <w:ind w:left="320" w:hanging="320"/>
        <w:spacing w:after="0" w:line="286" w:lineRule="auto"/>
        <w:tabs>
          <w:tab w:leader="none" w:pos="32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Options</w:t>
      </w:r>
      <w:r>
        <w:rPr>
          <w:rFonts w:ascii="Arial" w:cs="Arial" w:eastAsia="Arial" w:hAnsi="Arial"/>
          <w:sz w:val="19"/>
          <w:szCs w:val="19"/>
          <w:color w:val="auto"/>
        </w:rPr>
        <w:t>. Executive’s then outstanding stock options will vest and become exercisable as to any such stock options that would have vested if Executive had remained employed with Western Digital through the Severance Date (assuming a Severance Date of October 1, 2016, such date would be April 1, 2017). Notwithstanding anything to the contrary herein, the exercisability of Executive’s outstanding stock options shall continue to be governed by the stock incentive plans and stock option agreements applicable to such options. To the extent that any stock option is exercisable by the Executive on the Executive’s Severance Date, it may be exercised by the Executive at any time within three months following the Executive’s Severance Date (subject to earlier termination at the end of the option term or in connection with a change in control of Western Digital as provided in the applicable option documentation). Any stock option, to the extent it is exercisable for the three-month period following the Executive’s Severance Date and not exercised during such period, shall terminate at the close of business on the last day of the three-month period. Notwithstanding anything to the contrary herein, Executive shall not be entitled to any further continued vesting under any stock option award following the Severance Date, and the Severance Date shall be deemed to be Executive’s “Severance Date” for purposes of any outstanding stock option award agreements.</w:t>
      </w:r>
    </w:p>
    <w:p>
      <w:pPr>
        <w:spacing w:after="0" w:line="207" w:lineRule="exact"/>
        <w:rPr>
          <w:rFonts w:ascii="Arial" w:cs="Arial" w:eastAsia="Arial" w:hAnsi="Arial"/>
          <w:sz w:val="19"/>
          <w:szCs w:val="19"/>
          <w:color w:val="auto"/>
        </w:rPr>
      </w:pPr>
    </w:p>
    <w:p>
      <w:pPr>
        <w:jc w:val="both"/>
        <w:ind w:left="320" w:hanging="320"/>
        <w:spacing w:after="0" w:line="292" w:lineRule="auto"/>
        <w:tabs>
          <w:tab w:leader="none" w:pos="32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Time-Vested Restricted Stock Units</w:t>
      </w:r>
      <w:r>
        <w:rPr>
          <w:rFonts w:ascii="Arial" w:cs="Arial" w:eastAsia="Arial" w:hAnsi="Arial"/>
          <w:sz w:val="19"/>
          <w:szCs w:val="19"/>
          <w:color w:val="auto"/>
        </w:rPr>
        <w:t>. Executive’s then outstanding and unvested restricted stock units will vest and become payable as to any such units that would have vested if Executive had remained employed with Western Digital through the Severance Date (assuming a Severance Date of October 1, 2016, such date would be April 1, 2017). Executive will be subject to any applicable tax withholdings on this income. Notwithstanding anything to the contrary herein, Executive shall not be entitled to any further continued vesting under any restricted stock unit award following the Severance Date, and the Severance Date shall be deemed to be Executive’s “Severance Date” for purposes of any outstanding restricted stock unit award agreements.</w:t>
      </w:r>
    </w:p>
    <w:p>
      <w:pPr>
        <w:spacing w:after="0" w:line="192" w:lineRule="exact"/>
        <w:rPr>
          <w:rFonts w:ascii="Arial" w:cs="Arial" w:eastAsia="Arial" w:hAnsi="Arial"/>
          <w:sz w:val="19"/>
          <w:szCs w:val="19"/>
          <w:color w:val="auto"/>
        </w:rPr>
      </w:pPr>
    </w:p>
    <w:p>
      <w:pPr>
        <w:jc w:val="both"/>
        <w:ind w:left="320" w:hanging="320"/>
        <w:spacing w:after="0" w:line="288" w:lineRule="auto"/>
        <w:tabs>
          <w:tab w:leader="none" w:pos="32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Performance-Based Restricted Stock Units (“PSUs”)</w:t>
      </w:r>
      <w:r>
        <w:rPr>
          <w:rFonts w:ascii="Arial" w:cs="Arial" w:eastAsia="Arial" w:hAnsi="Arial"/>
          <w:sz w:val="19"/>
          <w:szCs w:val="19"/>
          <w:color w:val="auto"/>
        </w:rPr>
        <w:t>. Executive’s then outstanding and unvested PSUs granted on August 4, 2015 shall become fully vested and payable at the target number of stock units (11,990 PSUs, as well as any accrued dividend equivalents to the extent applicable), in accordance with Section 8(b) of the Notice of Grant of Stock Units and Stock Unit Award Agreement - Executives and Standard Terms and Conditions for Performance Stock Unit Awards - Executives applicable to such award. Executive will be subject to any applicable tax withholdings on this income. For the avoidance of doubt, (i) the PSUs granted to Executive on September 11, 2014 shall vest and become payable as determined by the Compensation Committee of the Board of Directors of Western Digital Corporation in the ordinary course, and (ii) on the Severance Date, Executive’s then outstanding and unvested PSUs granted to Executive on March 7, 2016 will forfeit and terminate without any further vesting or payment thereof in accordance with Section 8(b) of the Notice of Grant of Stock Units and Standard Terms and Conditions for Performance Stock Unit Awards, dated as of March 7, 2016.</w:t>
      </w:r>
    </w:p>
    <w:p>
      <w:pPr>
        <w:sectPr>
          <w:pgSz w:w="11900" w:h="16838" w:orient="portrait"/>
          <w:cols w:equalWidth="0" w:num="1">
            <w:col w:w="10440"/>
          </w:cols>
          <w:pgMar w:left="1220" w:top="591" w:right="239" w:bottom="1440" w:gutter="0" w:footer="0" w:header="0"/>
        </w:sectPr>
      </w:pPr>
    </w:p>
    <w:bookmarkStart w:id="137" w:name="page138"/>
    <w:bookmarkEnd w:id="137"/>
    <w:p>
      <w:pPr>
        <w:jc w:val="both"/>
        <w:ind w:left="1300" w:hanging="320"/>
        <w:spacing w:after="0" w:line="247"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A maximum of Fourteen Thousand, Nine Hundred Dollars ($14,900) for a maximum of twelve (12) months in outplacement services provided by a vendor selected by Executive and approved by Western Digital for the use of Executive only, provided, that Executive notify Western Digital of such vendor selection no later than November 1, 2016 (“Outplacement Services”). These services are not transferable or assignable to any other person. Executive is not entitled to the cash value of these services, which must be commenced within 30 days of the Severance Date.</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By signing this Agreement and the Separation Release, Executive acknowledges and agrees that Executive shall not accrue or be entitled to any payments or benefits beyond the Severance Date except for the Separation Benefits listed in this Section 2 of the Agreement. Executive acknowledges that the Separation Benefits are an additional benefit beyond that to which Executive is entitled to, and given in consideration for Executive’s promises in this Agreement and the Separation Release, and that such Separation Benefits are contingent upon Executive’s execution of this Agreement and the Separation Release. The Separation Benefits are inclusive of any and all of Executive’s incurred or alleged fees, expenses, and/or costs which relate in any way to Western Digital, including attorney’s fees.</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amount of the Salary Payment, COBRA Payment, STI bonus payment and Transition Bonus will be reported on Executive’s Form W-2 as income. In addition, amounts relating to the vesting of restricted stock units and exercises of certain stock options will be reported on Executive’s Form W-2 as income as applicable.</w:t>
      </w:r>
    </w:p>
    <w:p>
      <w:pPr>
        <w:spacing w:after="0" w:line="186" w:lineRule="exact"/>
        <w:rPr>
          <w:sz w:val="20"/>
          <w:szCs w:val="20"/>
          <w:color w:val="auto"/>
        </w:rPr>
      </w:pPr>
    </w:p>
    <w:p>
      <w:pPr>
        <w:ind w:left="1460" w:hanging="804"/>
        <w:spacing w:after="0"/>
        <w:tabs>
          <w:tab w:leader="none" w:pos="146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General Release By Executive</w:t>
      </w:r>
    </w:p>
    <w:p>
      <w:pPr>
        <w:spacing w:after="0" w:line="260" w:lineRule="exact"/>
        <w:rPr>
          <w:rFonts w:ascii="Arial" w:cs="Arial" w:eastAsia="Arial" w:hAnsi="Arial"/>
          <w:sz w:val="22"/>
          <w:szCs w:val="22"/>
          <w:color w:val="auto"/>
        </w:rPr>
      </w:pPr>
    </w:p>
    <w:p>
      <w:pPr>
        <w:jc w:val="both"/>
        <w:ind w:left="1300" w:hanging="320"/>
        <w:spacing w:after="0" w:line="285" w:lineRule="auto"/>
        <w:tabs>
          <w:tab w:leader="none" w:pos="13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Executive understands and agrees that, by signing this Agreement, in exchange for the Separation Benefits that Executive will receive under Section 2 above, Executive is waiving, releasing and discharging, and promising not to sue, Western Digital Corporation and each and all of its divisions, subsidiaries, parents, predecessors, successors, assigns, and affiliated or related corporations and entities, past and present, including but not limited to Western Digital Technologies, Inc., Western Digital (Fremont), LLC, WD Media, LLC, and HGST, Inc., as well as each and all of its and their owners, trustees, officers, directors, managers, shareholders, members, partners, administrators, fiduciaries, representatives, attorneys, assignees, successors, insurers, benefit plans, agents and employees, past and present, and each of them (collectively, “Released Parties”), from and with respect to any and all claims, wages, demands, actions, class actions, rights, liens, agreements, contracts, covenants, suits, causes of action, charges, grievances, obligations, debts, costs, expenses, penalties, attorneys’ fees, damages, judgments, orders and liabilities of any kind, known or unknown, suspected or unsuspected, and whether or not concealed or hidden, arising out of or in any way connected with Executive’s employment relationship with, or the termination of Executive’s employment with, any of the Released Parties, including but in no way limited to, any act or omission committed or omitted prior to the date of execution of this Agreement. This general release of claims includes, but is in no way limited to, any and all wage and hour claims, claims for wrongful discharge, breach of contract, violation of public policy, tort, or violation of any statute, constitution or regulation, including but not limited to any claim under Title VII of the Civil Rights Act of 1964, the Age Discrimination in Employment Act of 1967, as amended (“ADEA”), the Employee Retirement Income Security Act of 1974 (“ERISA”), the Americans with Disabilities Act of 1990, the Older Workers Benefits Protection Act (“OWBPA”), the Fair Labor Standards Act (“FLSA”), the federal </w:t>
      </w:r>
      <w:r>
        <w:rPr>
          <w:rFonts w:ascii="Arial" w:cs="Arial" w:eastAsia="Arial" w:hAnsi="Arial"/>
          <w:sz w:val="19"/>
          <w:szCs w:val="19"/>
          <w:i w:val="1"/>
          <w:iCs w:val="1"/>
          <w:color w:val="auto"/>
        </w:rPr>
        <w:t>Consolidated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Omnibus Budget Reconciliation Act of 1985 </w:t>
      </w:r>
      <w:r>
        <w:rPr>
          <w:rFonts w:ascii="Arial" w:cs="Arial" w:eastAsia="Arial" w:hAnsi="Arial"/>
          <w:sz w:val="19"/>
          <w:szCs w:val="19"/>
          <w:color w:val="auto"/>
        </w:rPr>
        <w:t>(“</w:t>
      </w:r>
      <w:r>
        <w:rPr>
          <w:rFonts w:ascii="Arial" w:cs="Arial" w:eastAsia="Arial" w:hAnsi="Arial"/>
          <w:sz w:val="19"/>
          <w:szCs w:val="19"/>
          <w:i w:val="1"/>
          <w:iCs w:val="1"/>
          <w:color w:val="auto"/>
        </w:rPr>
        <w:t>COBRA”</w:t>
      </w:r>
      <w:r>
        <w:rPr>
          <w:rFonts w:ascii="Arial" w:cs="Arial" w:eastAsia="Arial" w:hAnsi="Arial"/>
          <w:sz w:val="19"/>
          <w:szCs w:val="19"/>
          <w:color w:val="auto"/>
        </w:rPr>
        <w:t>) and Cal-COBRA, the Immigration and Nationality Act</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1324a,</w:t>
      </w:r>
    </w:p>
    <w:p>
      <w:pPr>
        <w:sectPr>
          <w:pgSz w:w="11900" w:h="16838" w:orient="portrait"/>
          <w:cols w:equalWidth="0" w:num="1">
            <w:col w:w="11420"/>
          </w:cols>
          <w:pgMar w:left="240" w:top="591" w:right="239" w:bottom="1440" w:gutter="0" w:footer="0" w:header="0"/>
        </w:sectPr>
      </w:pPr>
    </w:p>
    <w:bookmarkStart w:id="138" w:name="page139"/>
    <w:bookmarkEnd w:id="138"/>
    <w:p>
      <w:pPr>
        <w:jc w:val="both"/>
        <w:ind w:left="320"/>
        <w:spacing w:after="0" w:line="260" w:lineRule="auto"/>
        <w:rPr>
          <w:sz w:val="20"/>
          <w:szCs w:val="20"/>
          <w:color w:val="auto"/>
        </w:rPr>
      </w:pPr>
      <w:r>
        <w:rPr>
          <w:rFonts w:ascii="Arial" w:cs="Arial" w:eastAsia="Arial" w:hAnsi="Arial"/>
          <w:sz w:val="21"/>
          <w:szCs w:val="21"/>
          <w:color w:val="auto"/>
        </w:rPr>
        <w:t xml:space="preserve">the federal Worker Adjustment and Retraining Notification Act (“WARN”), California WARN Labor Code Sections 1400 </w:t>
      </w:r>
      <w:r>
        <w:rPr>
          <w:rFonts w:ascii="Arial" w:cs="Arial" w:eastAsia="Arial" w:hAnsi="Arial"/>
          <w:sz w:val="21"/>
          <w:szCs w:val="21"/>
          <w:i w:val="1"/>
          <w:iCs w:val="1"/>
          <w:color w:val="auto"/>
        </w:rPr>
        <w:t>et seq</w:t>
      </w:r>
      <w:r>
        <w:rPr>
          <w:rFonts w:ascii="Arial" w:cs="Arial" w:eastAsia="Arial" w:hAnsi="Arial"/>
          <w:sz w:val="21"/>
          <w:szCs w:val="21"/>
          <w:color w:val="auto"/>
        </w:rPr>
        <w:t>., the California Fair Employment and Housing Act (“FEHA”), the Family and Medical Leave Act of 1993 (“FMLA”), the California Family Rights Act (“CFRA”), the California Labor Code and Industrial Welfare Commission Wage Orders, or any other federal, state or local laws, regulations or ordinances, and any claim for severance pay, bonus, sick leave, holiday pay, vacation pay, life insurance, health or medical insurance or any other fringe benefit, or disability, and every type of relief (legal, equitable and otherwise) available to Executive, from the beginning of time to the date Executive signs this Agreement.</w:t>
      </w:r>
    </w:p>
    <w:p>
      <w:pPr>
        <w:spacing w:after="0" w:line="222" w:lineRule="exact"/>
        <w:rPr>
          <w:sz w:val="20"/>
          <w:szCs w:val="20"/>
          <w:color w:val="auto"/>
        </w:rPr>
      </w:pPr>
    </w:p>
    <w:p>
      <w:pPr>
        <w:jc w:val="both"/>
        <w:ind w:left="320" w:hanging="320"/>
        <w:spacing w:after="0" w:line="286" w:lineRule="auto"/>
        <w:tabs>
          <w:tab w:leader="none" w:pos="3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foregoing release does not extend to Executive’s right to receive (i) any vested rights or benefits under the terms of any “employee benefit plan,” as defined in Section 3(3) of ERISA or any Western Digital nonqualified deferred compensation plan; (ii) Executive’s vested rights, if any, under any stock option grant or stock award pursuant to the terms of such grant agreement or applicable equity award plan; (iii) indemnification under California Labor Code § 2802 California Corporations Code §317, Western Digital’s by-laws, any indemnification agreement between Western Digital and Executive, or any other federal or state statute, law, regulation or provision that confers upon Executive a right to defense or indemnification arising out of the services he performed for Western Digital or any of the Releasees; (iv) claims under the ADEA that may arise after the date Executive signs this Agreement; or (v) any other rights or claims under applicable federal, state or local law that cannot be waived or released by private agreement as a matter of law. Executive understands that nothing in the release shall preclude Executive from filing a claim for unemployment or workers compensation insurance. Executive understands that nothing in this release or agreement shall preclude Executive from filing a charge or complaint with any state or federal government agency or to participate or cooperate in such a matter; Executive agrees, however, to waive and release any right to seek or receive monetary damages resulting from any such charge or complaint or any action or proceeding brought by such government agency.</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left="320" w:hanging="320"/>
        <w:spacing w:after="0" w:line="250" w:lineRule="auto"/>
        <w:tabs>
          <w:tab w:leader="none" w:pos="3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This general release applies to claims or rights that Executive may possess either individually or as a class member, and Executive waives and releases any right to participate in or receive money or benefits from any class action settlement or judgment after the date this Agreement is signed that relates in any way to Executive’s employment with Western Digital.</w:t>
      </w:r>
    </w:p>
    <w:p>
      <w:pPr>
        <w:spacing w:after="0" w:line="228" w:lineRule="exact"/>
        <w:rPr>
          <w:rFonts w:ascii="Arial" w:cs="Arial" w:eastAsia="Arial" w:hAnsi="Arial"/>
          <w:sz w:val="22"/>
          <w:szCs w:val="22"/>
          <w:color w:val="auto"/>
        </w:rPr>
      </w:pPr>
    </w:p>
    <w:p>
      <w:pPr>
        <w:ind w:left="320" w:hanging="320"/>
        <w:spacing w:after="0" w:line="263" w:lineRule="auto"/>
        <w:tabs>
          <w:tab w:leader="none" w:pos="3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This general release is binding on Executive’s heirs, family members, dependents, beneficiaries, executors, administrators, successors and assigns.</w:t>
      </w:r>
    </w:p>
    <w:p>
      <w:pPr>
        <w:spacing w:after="0" w:line="215" w:lineRule="exact"/>
        <w:rPr>
          <w:rFonts w:ascii="Arial" w:cs="Arial" w:eastAsia="Arial" w:hAnsi="Arial"/>
          <w:sz w:val="22"/>
          <w:szCs w:val="22"/>
          <w:color w:val="auto"/>
        </w:rPr>
      </w:pPr>
    </w:p>
    <w:p>
      <w:pPr>
        <w:jc w:val="both"/>
        <w:ind w:left="320" w:hanging="320"/>
        <w:spacing w:after="0" w:line="292" w:lineRule="auto"/>
        <w:tabs>
          <w:tab w:leader="none" w:pos="3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obligations stated in this general release are intended as full and complete satisfaction of any and all claims the Executive has now, or has had in the past. By signing this general release, Executive specifically represents that Executive has made reasonable effort to become fully apprised of the nature and consequences of this general release, and that Executive understands that if any facts with respect to any matter covered by this release are found to be different from the facts Executive now believes to be true, Executive accepts and assumes that risk and agrees that this general release shall be effective notwithstanding such differences. Executive expressly agrees that this release shall extend and apply to all unknown, unsuspected and unanticipated injuries and damages.</w:t>
      </w:r>
    </w:p>
    <w:p>
      <w:pPr>
        <w:spacing w:after="0" w:line="192" w:lineRule="exact"/>
        <w:rPr>
          <w:rFonts w:ascii="Arial" w:cs="Arial" w:eastAsia="Arial" w:hAnsi="Arial"/>
          <w:sz w:val="19"/>
          <w:szCs w:val="19"/>
          <w:color w:val="auto"/>
        </w:rPr>
      </w:pPr>
    </w:p>
    <w:p>
      <w:pPr>
        <w:ind w:left="320" w:hanging="320"/>
        <w:spacing w:after="0" w:line="263" w:lineRule="auto"/>
        <w:tabs>
          <w:tab w:leader="none" w:pos="3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Executive represents and warrants that neither Medicare nor Medicaid has made any payment for medical services or items pursuant to 42 U.S.C. § 1395y and the corresponding regulations,</w:t>
      </w:r>
    </w:p>
    <w:p>
      <w:pPr>
        <w:sectPr>
          <w:pgSz w:w="11900" w:h="16838" w:orient="portrait"/>
          <w:cols w:equalWidth="0" w:num="1">
            <w:col w:w="10440"/>
          </w:cols>
          <w:pgMar w:left="1220" w:top="591" w:right="239" w:bottom="1440" w:gutter="0" w:footer="0" w:header="0"/>
        </w:sectPr>
      </w:pPr>
    </w:p>
    <w:bookmarkStart w:id="139" w:name="page140"/>
    <w:bookmarkEnd w:id="139"/>
    <w:p>
      <w:pPr>
        <w:jc w:val="both"/>
        <w:ind w:left="644"/>
        <w:spacing w:after="0" w:line="287" w:lineRule="auto"/>
        <w:rPr>
          <w:sz w:val="20"/>
          <w:szCs w:val="20"/>
          <w:color w:val="auto"/>
        </w:rPr>
      </w:pPr>
      <w:r>
        <w:rPr>
          <w:rFonts w:ascii="Arial" w:cs="Arial" w:eastAsia="Arial" w:hAnsi="Arial"/>
          <w:sz w:val="19"/>
          <w:szCs w:val="19"/>
          <w:color w:val="auto"/>
        </w:rPr>
        <w:t>or otherwise, relating to the Released Matter. “Released Matter” means any released accident, occurrence, injury, illness, disease, loss, claim, demand, damages, or matter that is subject to this Agreement and the releases herein. Executive acknowledges and agrees that neither Western Digital nor any of the Released Parties has any obligation or responsibility to reimburse Medicare, Medicaid, the Centers for Medicare and Medicaid Services, or any other entity or person for any past or future injury related medical expenses that have arisen or may hereafter arise out or relate in any way to the Released Matters. Executive acknowledges and agrees that it is Executive’s responsibility alone to reimburse such entities for any payments made on their behalf for such past or future medical expenses, if any, and Executive agrees to indemnify and hold harmless Western Digital and the Released Parties from any and all claims, demands, liens, subrogated interests and/or causes of action of any nature or character that have been or may in the future be asserted by Medicare and/or Medicaid and/or persons acting on behalf of Medicare and/or Medicaid concerning medical, hospital, or other expenses arising of the Released Matters, or concerning any claim based on inaccurate or inadequate information provided by Executive concerning Executive’s status as a Medicare or Medicaid beneficiary.</w:t>
      </w:r>
    </w:p>
    <w:p>
      <w:pPr>
        <w:spacing w:after="0" w:line="200" w:lineRule="exact"/>
        <w:rPr>
          <w:sz w:val="20"/>
          <w:szCs w:val="20"/>
          <w:color w:val="auto"/>
        </w:rPr>
      </w:pPr>
    </w:p>
    <w:p>
      <w:pPr>
        <w:spacing w:after="0" w:line="257" w:lineRule="exact"/>
        <w:rPr>
          <w:sz w:val="20"/>
          <w:szCs w:val="20"/>
          <w:color w:val="auto"/>
        </w:rPr>
      </w:pPr>
    </w:p>
    <w:p>
      <w:pPr>
        <w:jc w:val="both"/>
        <w:ind w:left="644" w:hanging="320"/>
        <w:spacing w:after="0" w:line="257" w:lineRule="auto"/>
        <w:tabs>
          <w:tab w:leader="none" w:pos="644" w:val="left"/>
        </w:tabs>
        <w:numPr>
          <w:ilvl w:val="1"/>
          <w:numId w:val="50"/>
        </w:numPr>
        <w:rPr>
          <w:rFonts w:ascii="Arial" w:cs="Arial" w:eastAsia="Arial" w:hAnsi="Arial"/>
          <w:sz w:val="21"/>
          <w:szCs w:val="21"/>
          <w:color w:val="auto"/>
        </w:rPr>
      </w:pPr>
      <w:r>
        <w:rPr>
          <w:rFonts w:ascii="Arial" w:cs="Arial" w:eastAsia="Arial" w:hAnsi="Arial"/>
          <w:sz w:val="21"/>
          <w:szCs w:val="21"/>
          <w:color w:val="auto"/>
        </w:rPr>
        <w:t>Executive promises not to pursue any claim that Executive has settled by this release. If Executive breaks this promise, Executive agrees to pay all of Western Digital’s costs and expenses (including reasonable attorneys’ fees) related to the defense of any claims. Executive understands that nothing in this Agreement shall be deemed to preclude Executive from challenging the knowing and voluntary nature of this release before a court or the Equal Employment Opportunity Commission (“EEOC”), or from filing a charge with the EEOC, the National Labor Relations Board, or any other federal, state or local agency charged with the enforcement of any employment laws. Executive understands, however, that, by signing this release, Executive is waiving the right to monetary recovery based on claims asserted in such a charge or complaint. Executive further understands that nothing in this Agreement prohibits Executive from reporting possible legal or regulatory violations to any governmental or regulatory agency or entity, including but not limited to the Department of Justice, the Securities and Exchange Commission, and any agency Inspector General, or making other reports or disclosures that are protected under federal or state law or regulation. Executive further understands that Executive does not need authorization from Western Digital to make any such reports or disclosures, and Executive is not required to notify Western Digital if Executive does so.</w:t>
      </w:r>
    </w:p>
    <w:p>
      <w:pPr>
        <w:spacing w:after="0" w:line="228" w:lineRule="exact"/>
        <w:rPr>
          <w:rFonts w:ascii="Arial" w:cs="Arial" w:eastAsia="Arial" w:hAnsi="Arial"/>
          <w:sz w:val="21"/>
          <w:szCs w:val="21"/>
          <w:color w:val="auto"/>
        </w:rPr>
      </w:pPr>
    </w:p>
    <w:p>
      <w:pPr>
        <w:jc w:val="both"/>
        <w:ind w:left="-656" w:firstLine="656"/>
        <w:spacing w:after="0" w:line="294" w:lineRule="auto"/>
        <w:tabs>
          <w:tab w:leader="none" w:pos="80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1542 Waiver</w:t>
      </w:r>
      <w:r>
        <w:rPr>
          <w:rFonts w:ascii="Arial" w:cs="Arial" w:eastAsia="Arial" w:hAnsi="Arial"/>
          <w:sz w:val="19"/>
          <w:szCs w:val="19"/>
          <w:color w:val="auto"/>
        </w:rPr>
        <w:t>. It is Executive’s intention in signing this Agreement that the general release of claims should be effective as a bar to each and every claim, demand and cause of action stated above. In furtherance of this intention, Executive hereby expressly waives any and all rights and benefits conferred upon Executive by the provisions of SECTION 1542 OF THE CALIFORNIA CIVIL CODE and expressly consents that this Agreement shall be given full force and effect according to each and all of its express terms and provisions, including those relating to unknown and unsuspected claims, demands and causes of action, if any, as well as those relating to any other claims, demands and causes of action referred to above. SECTION 1542 provides:</w:t>
      </w:r>
    </w:p>
    <w:p>
      <w:pPr>
        <w:spacing w:after="0" w:line="190" w:lineRule="exact"/>
        <w:rPr>
          <w:sz w:val="20"/>
          <w:szCs w:val="20"/>
          <w:color w:val="auto"/>
        </w:rPr>
      </w:pPr>
    </w:p>
    <w:p>
      <w:pPr>
        <w:jc w:val="both"/>
        <w:ind w:left="4"/>
        <w:spacing w:after="0" w:line="312"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ectPr>
          <w:pgSz w:w="11900" w:h="16838" w:orient="portrait"/>
          <w:cols w:equalWidth="0" w:num="1">
            <w:col w:w="10764"/>
          </w:cols>
          <w:pgMar w:left="896" w:top="591" w:right="239" w:bottom="1440" w:gutter="0" w:footer="0" w:header="0"/>
        </w:sectPr>
      </w:pPr>
    </w:p>
    <w:bookmarkStart w:id="140" w:name="page141"/>
    <w:bookmarkEnd w:id="140"/>
    <w:p>
      <w:pPr>
        <w:spacing w:after="0" w:line="263" w:lineRule="auto"/>
        <w:rPr>
          <w:sz w:val="20"/>
          <w:szCs w:val="20"/>
          <w:color w:val="auto"/>
        </w:rPr>
      </w:pPr>
      <w:r>
        <w:rPr>
          <w:rFonts w:ascii="Arial" w:cs="Arial" w:eastAsia="Arial" w:hAnsi="Arial"/>
          <w:sz w:val="22"/>
          <w:szCs w:val="22"/>
          <w:color w:val="auto"/>
        </w:rPr>
        <w:t>Executive acknowledges and understands the significance and consequence of such release and such specific waiver of SECTION 1542</w:t>
      </w:r>
    </w:p>
    <w:p>
      <w:pPr>
        <w:spacing w:after="0" w:line="175" w:lineRule="exact"/>
        <w:rPr>
          <w:sz w:val="20"/>
          <w:szCs w:val="20"/>
          <w:color w:val="auto"/>
        </w:rPr>
      </w:pPr>
    </w:p>
    <w:p>
      <w:pPr>
        <w:jc w:val="both"/>
        <w:ind w:left="80" w:firstLine="644"/>
        <w:spacing w:after="0" w:line="260" w:lineRule="auto"/>
        <w:tabs>
          <w:tab w:leader="none" w:pos="1458"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Acknowledgements</w:t>
      </w:r>
      <w:r>
        <w:rPr>
          <w:rFonts w:ascii="Arial" w:cs="Arial" w:eastAsia="Arial" w:hAnsi="Arial"/>
          <w:sz w:val="21"/>
          <w:szCs w:val="21"/>
          <w:color w:val="auto"/>
        </w:rPr>
        <w:t>. Executive acknowledges and agrees that Executive has not suffered any on-the-job injury for which Executive has not already filed a claim, that Executive has been properly provided any leave of absence due to Executive or a family member’s health condition, and that Executive has not been subjected to any improper treatment, conduct or actions due to or related to any request by Executive for or taking of any leave of absence because of Executive’s own or a family member’s health condition, nor has Executive been denied any leave requested under the Family and Medical Leave Act or the California Family Rights Act. Executive has not been retaliated against for reporting any allegations of wrongdoing by Western Digital or its officers, including any allegations of corporate fraud.</w:t>
      </w:r>
    </w:p>
    <w:p>
      <w:pPr>
        <w:spacing w:after="0" w:line="221" w:lineRule="exact"/>
        <w:rPr>
          <w:rFonts w:ascii="Arial" w:cs="Arial" w:eastAsia="Arial" w:hAnsi="Arial"/>
          <w:sz w:val="21"/>
          <w:szCs w:val="21"/>
          <w:color w:val="auto"/>
        </w:rPr>
      </w:pPr>
    </w:p>
    <w:p>
      <w:pPr>
        <w:jc w:val="both"/>
        <w:ind w:left="80" w:firstLine="644"/>
        <w:spacing w:after="0" w:line="259" w:lineRule="auto"/>
        <w:tabs>
          <w:tab w:leader="none" w:pos="1458"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Acceptance and Revocation Rights</w:t>
      </w:r>
      <w:r>
        <w:rPr>
          <w:rFonts w:ascii="Arial" w:cs="Arial" w:eastAsia="Arial" w:hAnsi="Arial"/>
          <w:sz w:val="21"/>
          <w:szCs w:val="21"/>
          <w:color w:val="auto"/>
        </w:rPr>
        <w:t>. Executive is hereby advised (a) to consult with an attorney if Executive desires prior to signing this Agreement, (b) that this Agreement does not waive rights or claims that may arise after it is executed by Executive, and (c) that Executive has twenty-one (21) days in which to consider and accept this Agreement by signing and returning this Agreement to Western Digital. In addition, Executive has a period of seven (7) days following Executive’s execution of this Agreement in which Executive may revoke the Agreement. This Agreement will not become effective or enforceable until the seven (7) day revocation period has passed without revocation. If Executive does not advise Western Digital (by communicating such revocation to the Executive Vice President and Chief Human Resources Officer within such seven (7) day period) of Executive’s intent to revoke the Agreement, Executive has waived the right to revoke the Agreement, and it will become effective and enforceable.</w:t>
      </w:r>
    </w:p>
    <w:p>
      <w:pPr>
        <w:spacing w:after="0" w:line="220" w:lineRule="exact"/>
        <w:rPr>
          <w:rFonts w:ascii="Arial" w:cs="Arial" w:eastAsia="Arial" w:hAnsi="Arial"/>
          <w:sz w:val="21"/>
          <w:szCs w:val="21"/>
          <w:color w:val="auto"/>
        </w:rPr>
      </w:pPr>
    </w:p>
    <w:p>
      <w:pPr>
        <w:jc w:val="both"/>
        <w:ind w:left="80" w:firstLine="644"/>
        <w:spacing w:after="0" w:line="302" w:lineRule="auto"/>
        <w:tabs>
          <w:tab w:leader="none" w:pos="1458"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Denial of Liability</w:t>
      </w:r>
      <w:r>
        <w:rPr>
          <w:rFonts w:ascii="Arial" w:cs="Arial" w:eastAsia="Arial" w:hAnsi="Arial"/>
          <w:sz w:val="19"/>
          <w:szCs w:val="19"/>
          <w:color w:val="auto"/>
        </w:rPr>
        <w:t>. This Agreement does not constitute an admission by Western Digital of any violation of federal, state or local law, ordinance or regulation or of any liability or wrongdoing whatsoever. Neither this Agreement nor anything in this Agreement shall be construed to be or shall be admissible in any proceeding as evidence of liability or wrongdoing by Western Digital. This Agreement may be introduced, however, in any proceeding to enforce the Agreement.</w:t>
      </w:r>
    </w:p>
    <w:p>
      <w:pPr>
        <w:spacing w:after="0" w:line="183" w:lineRule="exact"/>
        <w:rPr>
          <w:rFonts w:ascii="Arial" w:cs="Arial" w:eastAsia="Arial" w:hAnsi="Arial"/>
          <w:sz w:val="19"/>
          <w:szCs w:val="19"/>
          <w:color w:val="auto"/>
        </w:rPr>
      </w:pPr>
    </w:p>
    <w:p>
      <w:pPr>
        <w:jc w:val="both"/>
        <w:ind w:left="80" w:firstLine="644"/>
        <w:spacing w:after="0" w:line="286" w:lineRule="auto"/>
        <w:tabs>
          <w:tab w:leader="none" w:pos="1458"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Executive acknowledges that by reason of Executive’s position with Western Digital, Executive has been given access to confidential, trade secret, proprietary or private materials or information regarding Western Digital’s business. Executive represents that Executive has held all such information confidential and will continue to do so, and that Executive will not use such information without the prior written consent of Western Digital. Executive may continue to receive and be entrusted with confidential material through the Severance Date. In addition, Executive agrees that Executive’s obligations under the Employee Invention and Confidentiality Agreement, if Executive is subject to one, or any other similar Western Digital or Released Party agreement or policy relating to confidential information, employee inventions, nonsolicitation, noncompetition, or similar matters to which Executive is now subject (“Surviving Agreements”) continue in effect per the terms of those agreements. Executive represents that Executive has returned all confidential, proprietary and trade secret information within Executive’s possession or control to Western Digital or will make best efforts to do so on or before the Severance Date</w:t>
      </w:r>
      <w:r>
        <w:rPr>
          <w:rFonts w:ascii="Arial" w:cs="Arial" w:eastAsia="Arial" w:hAnsi="Arial"/>
          <w:sz w:val="19"/>
          <w:szCs w:val="19"/>
          <w:i w:val="1"/>
          <w:iCs w:val="1"/>
          <w:color w:val="auto"/>
        </w:rPr>
        <w:t>.</w:t>
      </w:r>
      <w:r>
        <w:rPr>
          <w:rFonts w:ascii="Arial" w:cs="Arial" w:eastAsia="Arial" w:hAnsi="Arial"/>
          <w:sz w:val="19"/>
          <w:szCs w:val="19"/>
          <w:color w:val="auto"/>
        </w:rPr>
        <w:t xml:space="preserve"> Executive understands that confidential trade secrets, proprietary information and confidential business information of Western Digital affects the successful conduct of Western Digital’s business and its goodwill. Executive hereby acknowledges that the sale or unauthorized use or disclosure of any confidential, trade secret, proprietary or private materials or information regarding Western Digital’s business by any means whatsoever shall constitute “Unfair Competition.” Executive agrees that Executive shall not engage in Unfair Competition at any time.</w:t>
      </w:r>
    </w:p>
    <w:p>
      <w:pPr>
        <w:sectPr>
          <w:pgSz w:w="11900" w:h="16838" w:orient="portrait"/>
          <w:cols w:equalWidth="0" w:num="1">
            <w:col w:w="11420"/>
          </w:cols>
          <w:pgMar w:left="240" w:top="591" w:right="239" w:bottom="1440" w:gutter="0" w:footer="0" w:header="0"/>
        </w:sectPr>
      </w:pPr>
    </w:p>
    <w:bookmarkStart w:id="141" w:name="page142"/>
    <w:bookmarkEnd w:id="141"/>
    <w:p>
      <w:pPr>
        <w:jc w:val="both"/>
        <w:ind w:left="-644" w:firstLine="644"/>
        <w:spacing w:after="0" w:line="292" w:lineRule="auto"/>
        <w:tabs>
          <w:tab w:leader="none" w:pos="734"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Executive warrants and represents that Executive will return all company equipment, including, but not limited to, keys or means of access to Western Digital’s facilities or parking structures, computers, cell phones, personal data assistants, and notebooks within Executive’s possession or control, and not previously delivered to Western Digital, on or before Executive’s Severance Date. Executive will also return all information, materials, documents, memoranda, reports, files, samples, books, correspondence, lists, programs, documentation, and/or other related materials produced as a result of Executive’s employment with Western Digital (including copies) within Executive’s possession or control, and not previously delivered to Western Digital, no later than Executive’s Severance Date.</w:t>
      </w:r>
    </w:p>
    <w:p>
      <w:pPr>
        <w:spacing w:after="0" w:line="192" w:lineRule="exact"/>
        <w:rPr>
          <w:rFonts w:ascii="Arial" w:cs="Arial" w:eastAsia="Arial" w:hAnsi="Arial"/>
          <w:sz w:val="19"/>
          <w:szCs w:val="19"/>
          <w:color w:val="auto"/>
        </w:rPr>
      </w:pPr>
    </w:p>
    <w:p>
      <w:pPr>
        <w:jc w:val="both"/>
        <w:ind w:left="-644" w:firstLine="644"/>
        <w:spacing w:after="0" w:line="253" w:lineRule="auto"/>
        <w:tabs>
          <w:tab w:leader="none" w:pos="84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Soliciting Employees.</w:t>
      </w:r>
      <w:r>
        <w:rPr>
          <w:rFonts w:ascii="Arial" w:cs="Arial" w:eastAsia="Arial" w:hAnsi="Arial"/>
          <w:sz w:val="22"/>
          <w:szCs w:val="22"/>
          <w:color w:val="auto"/>
        </w:rPr>
        <w:t xml:space="preserve"> Executive promises and agrees that he will not, during the twenty-four (24) months following the Severance Date, directly or indirectly solicit any employee of Western Digital to work for any business, individual, partnership, firm, or corporation.</w:t>
      </w:r>
    </w:p>
    <w:p>
      <w:pPr>
        <w:spacing w:after="0" w:line="226" w:lineRule="exact"/>
        <w:rPr>
          <w:rFonts w:ascii="Arial" w:cs="Arial" w:eastAsia="Arial" w:hAnsi="Arial"/>
          <w:sz w:val="22"/>
          <w:szCs w:val="22"/>
          <w:color w:val="auto"/>
        </w:rPr>
      </w:pPr>
    </w:p>
    <w:p>
      <w:pPr>
        <w:jc w:val="both"/>
        <w:ind w:left="-644" w:firstLine="644"/>
        <w:spacing w:after="0" w:line="286" w:lineRule="auto"/>
        <w:tabs>
          <w:tab w:leader="none" w:pos="834"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Litigation and Investigation Cooperation</w:t>
      </w:r>
      <w:r>
        <w:rPr>
          <w:rFonts w:ascii="Arial" w:cs="Arial" w:eastAsia="Arial" w:hAnsi="Arial"/>
          <w:sz w:val="19"/>
          <w:szCs w:val="19"/>
          <w:color w:val="auto"/>
        </w:rPr>
        <w:t>. Executive agrees to reasonably cooperate with Western Digital regarding any threatened, pending or subsequently filed litigation, claims, or other disputes, or in any investigation or proceeding by any governmental agency or body, involving Western Digital that relate to matters within Executive’s knowledge or responsibility during Executive’s employment with Western Digital. Executive has disclosed to Western Digital’s General Counsel all information within Executive’s knowledge as of the date of this Agreement related to any pending or threated legal matter with which Executive has had any direct or indirect involvement. Furthermore, Executive agrees to cooperate in the prosecution of any claims and lawsuits brought by Western Digital that are currently outstanding or that may in the future be brought relating to matters which occurred during or prior to the term of Executive’s employment with Western Digital. Without limiting the foregoing, Executive agrees (a) to meet with Western Digital representatives, its counsel, or other designees at mutually convenient times and places with respect to any items with the scope of this provision; (b) to provide truthful testimony regarding same to any court, agency, or other adjudicatory body; and (c) to provide Western Digital with notice of contact by any adverse party or such adverse party’s representative, except as may be required by law. Western Digital will reimburse Executive for all reasonable expenses in connection with the assistance and cooperation described in this paragraph.</w:t>
      </w:r>
    </w:p>
    <w:p>
      <w:pPr>
        <w:spacing w:after="0" w:line="207" w:lineRule="exact"/>
        <w:rPr>
          <w:rFonts w:ascii="Arial" w:cs="Arial" w:eastAsia="Arial" w:hAnsi="Arial"/>
          <w:sz w:val="19"/>
          <w:szCs w:val="19"/>
          <w:color w:val="auto"/>
        </w:rPr>
      </w:pPr>
    </w:p>
    <w:p>
      <w:pPr>
        <w:jc w:val="both"/>
        <w:ind w:left="-644" w:firstLine="644"/>
        <w:spacing w:after="0" w:line="289" w:lineRule="auto"/>
        <w:tabs>
          <w:tab w:leader="none" w:pos="84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Intellectual Property Assistance</w:t>
      </w:r>
      <w:r>
        <w:rPr>
          <w:rFonts w:ascii="Arial" w:cs="Arial" w:eastAsia="Arial" w:hAnsi="Arial"/>
          <w:sz w:val="19"/>
          <w:szCs w:val="19"/>
          <w:color w:val="auto"/>
        </w:rPr>
        <w:t>. Executive agrees to execute every lawful document that Western Digital requests him to execute (whether or not during Executive’s employment with Western Digital) in connection with the protection of Western Digital’s intellectual property rights. Such lawful documents include, but are not limited to, declarations and assignments including declarations of inventorship for filing and prosecuting patent applications on inventions, assignments to show title to such inventions and patent applications in Western Digital or Western Digital’s designee, and assignments to show title to works of authorship and applications for copyright registration. Executive agrees that Executive shall give such further assistance, including but not limited to information and testimony pursuant to Western Digital’s request (whether or not after Executive’s Severance Date) in connection with its defense, assertion, or protection of Western Digital’s intellectual property rights. Western Digital shall reimburse Executive for all reasonable out of pocket expenses incurred in providing assistance pursuant to this provision.</w:t>
      </w:r>
    </w:p>
    <w:p>
      <w:pPr>
        <w:spacing w:after="0" w:line="198" w:lineRule="exact"/>
        <w:rPr>
          <w:rFonts w:ascii="Arial" w:cs="Arial" w:eastAsia="Arial" w:hAnsi="Arial"/>
          <w:sz w:val="19"/>
          <w:szCs w:val="19"/>
          <w:color w:val="auto"/>
        </w:rPr>
      </w:pPr>
    </w:p>
    <w:p>
      <w:pPr>
        <w:jc w:val="both"/>
        <w:ind w:left="-644" w:firstLine="644"/>
        <w:spacing w:after="0" w:line="294" w:lineRule="auto"/>
        <w:tabs>
          <w:tab w:leader="none" w:pos="84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that Executive shall not (a) directly or indirectly, make or ratify any statement, public or private, oral or written, to any person that disparages, either professionally or personally, Western Digital, as well as its directors, officers, and employees, past and present, and each of them, in each such case in his or her capacity as a service provider to Western Digital, or (b) make any statement or engage in any conduct that has the purpose of materially disrupting the business of Western Digital. Western Digital shall advise the following executives: Stephen Milligan, Mike Cordano, Jackie DeMaria, Mark Long and Michael Ray not to knowingly make any oral or written disparaging statement</w:t>
      </w:r>
    </w:p>
    <w:p>
      <w:pPr>
        <w:sectPr>
          <w:pgSz w:w="11900" w:h="16838" w:orient="portrait"/>
          <w:cols w:equalWidth="0" w:num="1">
            <w:col w:w="10696"/>
          </w:cols>
          <w:pgMar w:left="964" w:top="591" w:right="239" w:bottom="1440" w:gutter="0" w:footer="0" w:header="0"/>
        </w:sectPr>
      </w:pPr>
    </w:p>
    <w:bookmarkStart w:id="142" w:name="page143"/>
    <w:bookmarkEnd w:id="142"/>
    <w:p>
      <w:pPr>
        <w:jc w:val="both"/>
        <w:spacing w:after="0" w:line="288" w:lineRule="auto"/>
        <w:rPr>
          <w:sz w:val="20"/>
          <w:szCs w:val="20"/>
          <w:color w:val="auto"/>
        </w:rPr>
      </w:pPr>
      <w:r>
        <w:rPr>
          <w:rFonts w:ascii="Arial" w:cs="Arial" w:eastAsia="Arial" w:hAnsi="Arial"/>
          <w:sz w:val="19"/>
          <w:szCs w:val="19"/>
          <w:color w:val="auto"/>
        </w:rPr>
        <w:t>regarding Executive’s employment for so long as they remain employed by Western Digital. Western Digital agrees that Stephen Milligan, the Chief Executive Officer, and Henry DeNero, the Chairman of the Audit Committee of the Board of Directors of Western Digital Corporation, (collectively referred to as “Designated Executives”) will provide a reasonable reference regarding Executive’s employment in accordance with the talking points set forth in Exhibit B as may be reasonable under the circumstances upon Executive’s reasonable request for so long as they remain in the same role at Western Digital. Notwithstanding the preceding sentence, in the event Western Digital receives inquiries from potential employers regarding Executive that are not directed to the Designated Executives, Western Digital will provide only Executive’s dates of employment, position history, and compensation, and Executive agrees that Executive will direct all reference inquiries to Western Digital’s third-party verification service, The Work Number. Nothing herein shall in any way prohibit Executive or Western Digital from disclosing such information as may be required by law, or by judicial or administrative process or order or the rules of any securities exchange or similar self-regulatory organization applicable to Executive or Western Digital.</w:t>
      </w:r>
    </w:p>
    <w:p>
      <w:pPr>
        <w:spacing w:after="0" w:line="195" w:lineRule="exact"/>
        <w:rPr>
          <w:sz w:val="20"/>
          <w:szCs w:val="20"/>
          <w:color w:val="auto"/>
        </w:rPr>
      </w:pPr>
    </w:p>
    <w:p>
      <w:pPr>
        <w:jc w:val="both"/>
        <w:ind w:firstLine="644"/>
        <w:spacing w:after="0" w:line="247" w:lineRule="auto"/>
        <w:tabs>
          <w:tab w:leader="none" w:pos="1486"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Repayment Provision Upon Re-employment.</w:t>
      </w:r>
      <w:r>
        <w:rPr>
          <w:rFonts w:ascii="Arial" w:cs="Arial" w:eastAsia="Arial" w:hAnsi="Arial"/>
          <w:sz w:val="22"/>
          <w:szCs w:val="22"/>
          <w:color w:val="auto"/>
        </w:rPr>
        <w:t xml:space="preserve"> Executive agrees to repay Western Digital a pro rata portion of the Separation Benefits paid to Executive under Section 2 of this Agreement if Executive obtains re-employment with Western Digital, including any of its related entities, within the period of time after execution of the Agreement as set forth in Section 2 for which Western Digital contemplates paying Executive Separation Benefits. For example, if Executive is paid two weeks of Separation Benefits, but is reemployed by Western Digital one week after Executive’s Severance Date, Executive must repay one week of Separation Benefits to Western Digital.</w:t>
      </w:r>
    </w:p>
    <w:p>
      <w:pPr>
        <w:spacing w:after="0" w:line="234" w:lineRule="exact"/>
        <w:rPr>
          <w:rFonts w:ascii="Arial" w:cs="Arial" w:eastAsia="Arial" w:hAnsi="Arial"/>
          <w:sz w:val="22"/>
          <w:szCs w:val="22"/>
          <w:color w:val="auto"/>
        </w:rPr>
      </w:pPr>
    </w:p>
    <w:p>
      <w:pPr>
        <w:jc w:val="both"/>
        <w:ind w:firstLine="644"/>
        <w:spacing w:after="0" w:line="248" w:lineRule="auto"/>
        <w:tabs>
          <w:tab w:leader="none" w:pos="1486"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Warranty Regarding Non-Assignment</w:t>
      </w:r>
      <w:r>
        <w:rPr>
          <w:rFonts w:ascii="Arial" w:cs="Arial" w:eastAsia="Arial" w:hAnsi="Arial"/>
          <w:sz w:val="22"/>
          <w:szCs w:val="22"/>
          <w:color w:val="auto"/>
        </w:rPr>
        <w:t>. Executive warrants and represents that Executive has not heretofore assigned or transferred to any person not a party to this Agreement any released matter or any part or portion thereof and Executive shall defend, indemnify and hold harmless Western Digital from and against any claim (including the payment of attorneys’ fees and costs actually incurred whether or not litigation is commenced) based on or in connection with or arising out of any such assignment or transfer made, purported or claimed.</w:t>
      </w:r>
    </w:p>
    <w:p>
      <w:pPr>
        <w:spacing w:after="0" w:line="232" w:lineRule="exact"/>
        <w:rPr>
          <w:rFonts w:ascii="Arial" w:cs="Arial" w:eastAsia="Arial" w:hAnsi="Arial"/>
          <w:sz w:val="22"/>
          <w:szCs w:val="22"/>
          <w:color w:val="auto"/>
        </w:rPr>
      </w:pPr>
    </w:p>
    <w:p>
      <w:pPr>
        <w:jc w:val="both"/>
        <w:ind w:firstLine="644"/>
        <w:spacing w:after="0" w:line="312" w:lineRule="auto"/>
        <w:tabs>
          <w:tab w:leader="none" w:pos="148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Termination of Relationship</w:t>
      </w:r>
      <w:r>
        <w:rPr>
          <w:rFonts w:ascii="Arial" w:cs="Arial" w:eastAsia="Arial" w:hAnsi="Arial"/>
          <w:sz w:val="19"/>
          <w:szCs w:val="19"/>
          <w:color w:val="auto"/>
        </w:rPr>
        <w:t>. Executive and Western Digital acknowledge that any employment or contractual relationship between them shall terminate on the Severance Date, and that they have no further employment or contractual relationship except as may arise out of this Agreement and Executive’s continued obligations under the Surviving Agreements.</w:t>
      </w:r>
    </w:p>
    <w:p>
      <w:pPr>
        <w:spacing w:after="0" w:line="174" w:lineRule="exact"/>
        <w:rPr>
          <w:rFonts w:ascii="Arial" w:cs="Arial" w:eastAsia="Arial" w:hAnsi="Arial"/>
          <w:sz w:val="19"/>
          <w:szCs w:val="19"/>
          <w:color w:val="auto"/>
        </w:rPr>
      </w:pPr>
    </w:p>
    <w:p>
      <w:pPr>
        <w:jc w:val="both"/>
        <w:ind w:firstLine="644"/>
        <w:spacing w:after="0" w:line="286" w:lineRule="auto"/>
        <w:tabs>
          <w:tab w:leader="none" w:pos="148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Warranty Regarding Taxes</w:t>
      </w:r>
      <w:r>
        <w:rPr>
          <w:rFonts w:ascii="Arial" w:cs="Arial" w:eastAsia="Arial" w:hAnsi="Arial"/>
          <w:sz w:val="19"/>
          <w:szCs w:val="19"/>
          <w:color w:val="auto"/>
        </w:rPr>
        <w:t>. Executive agrees that Executive shall be exclusively and fully liable for the payment of any and all federal, state, and local taxes which may be due, and tax consequences, including interest and penalties, if any, as the result of the consideration received as set forth herein. Executive agrees to indemnify Western Digital for, and to hold Western Digital harmless from, any obligation, liability, taxes, penalties, costs or attorney’s fees (collectively, the “Tax Liability”) it may incur in connection with the failure to withhold any tax, social security, FICA, or any other amounts associated with the above-referenced payment, except to the extent such Tax Liability directly results from Western Digital’s gross negligence in connection with the failure to properly withhold or report any tax, social security, FICA or other amounts associated with the above-referenced payment. Executive has not relied upon any advice from Western Digital as to the taxability of any payments hereunder, whether pursuant to federal, state or local income tax statutes or otherwise. Executive acknowledges that Western Digital does not make and has not made any representations regarding the taxability of the payment to Executive, and Executive has not relied upon any representation or advice by Western Digital on that subject. It is intended that the terms of this Agreement will not result in the imposition of any tax liability pursuant to Section 409A of the Internal Revenue Code of 1986, as amended. This Agreement shall be construed and interpreted consistent with that</w:t>
      </w:r>
    </w:p>
    <w:p>
      <w:pPr>
        <w:sectPr>
          <w:pgSz w:w="11900" w:h="16838" w:orient="portrait"/>
          <w:cols w:equalWidth="0" w:num="1">
            <w:col w:w="11340"/>
          </w:cols>
          <w:pgMar w:left="320" w:top="591" w:right="239" w:bottom="1440" w:gutter="0" w:footer="0" w:header="0"/>
        </w:sectPr>
      </w:pPr>
    </w:p>
    <w:bookmarkStart w:id="143" w:name="page144"/>
    <w:bookmarkEnd w:id="143"/>
    <w:p>
      <w:pPr>
        <w:ind w:right="20"/>
        <w:spacing w:after="0" w:line="263" w:lineRule="auto"/>
        <w:rPr>
          <w:sz w:val="20"/>
          <w:szCs w:val="20"/>
          <w:color w:val="auto"/>
        </w:rPr>
      </w:pPr>
      <w:r>
        <w:rPr>
          <w:rFonts w:ascii="Arial" w:cs="Arial" w:eastAsia="Arial" w:hAnsi="Arial"/>
          <w:sz w:val="22"/>
          <w:szCs w:val="22"/>
          <w:color w:val="auto"/>
        </w:rPr>
        <w:t>intent so as to avoid the imputation of any additional tax, penalty or interest under Section 409A of the Internal Revenue Code yet preserve (to the nearest extent possible) the intended benefit payable to the Executive.</w:t>
      </w:r>
    </w:p>
    <w:p>
      <w:pPr>
        <w:spacing w:after="0" w:line="215" w:lineRule="exact"/>
        <w:rPr>
          <w:sz w:val="20"/>
          <w:szCs w:val="20"/>
          <w:color w:val="auto"/>
        </w:rPr>
      </w:pPr>
    </w:p>
    <w:p>
      <w:pPr>
        <w:jc w:val="both"/>
        <w:ind w:firstLine="644"/>
        <w:spacing w:after="0" w:line="263" w:lineRule="auto"/>
        <w:tabs>
          <w:tab w:leader="none" w:pos="1486"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Severability and Enforceability</w:t>
      </w:r>
      <w:r>
        <w:rPr>
          <w:rFonts w:ascii="Arial" w:cs="Arial" w:eastAsia="Arial" w:hAnsi="Arial"/>
          <w:sz w:val="21"/>
          <w:szCs w:val="21"/>
          <w:color w:val="auto"/>
        </w:rPr>
        <w:t>. If any provision of this Agreement or its application is held invalid, the invalidity shall not affect other provisions or applications of the Agreement which can be given effect without the invalid provision or application and, therefore, the provisions of this Agreement are declared to be severable. The parties agree that a waiver of a breach by the other party shall not operate or be construed as a waiver by that party of any subsequent breach of like or similar kind. No waiver shall be binding unless in writing and signed by the party waiving the breach.</w:t>
      </w:r>
    </w:p>
    <w:p>
      <w:pPr>
        <w:spacing w:after="0" w:line="216" w:lineRule="exact"/>
        <w:rPr>
          <w:rFonts w:ascii="Arial" w:cs="Arial" w:eastAsia="Arial" w:hAnsi="Arial"/>
          <w:sz w:val="21"/>
          <w:szCs w:val="21"/>
          <w:color w:val="auto"/>
        </w:rPr>
      </w:pPr>
    </w:p>
    <w:p>
      <w:pPr>
        <w:jc w:val="both"/>
        <w:ind w:firstLine="644"/>
        <w:spacing w:after="0" w:line="289" w:lineRule="auto"/>
        <w:tabs>
          <w:tab w:leader="none" w:pos="148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Integration Clause</w:t>
      </w:r>
      <w:r>
        <w:rPr>
          <w:rFonts w:ascii="Arial" w:cs="Arial" w:eastAsia="Arial" w:hAnsi="Arial"/>
          <w:sz w:val="19"/>
          <w:szCs w:val="19"/>
          <w:color w:val="auto"/>
        </w:rPr>
        <w:t>. This Agreement, the Separation Release, the Surviving Agreements, the Indemnity Agreement between Executive and Western Digital in existence as of the date of this Agreement, and the applicable equity award plans and award agreements governing outstanding equity awards (collectively, the “Integrated Agreements”) constitute and contain the entire agreement and understanding concerning Executive’s employment and the other matters addressed herein. The parties intend the Integrated Agreements to be a complete and exclusive statement of the terms of their agreement. The parties represent and acknowledge that they do not rely and have not relied upon any representation or statement not set forth in this Agreement. The Integrated Agreements supersede and replace all prior negotiations and agreements, proposed or otherwise, whether written or oral, between the parties concerning the subject matters contained herein. This is a fully integrated document. This Agreement may be modified only with a written instrument executed by both parties.</w:t>
      </w:r>
    </w:p>
    <w:p>
      <w:pPr>
        <w:spacing w:after="0" w:line="198" w:lineRule="exact"/>
        <w:rPr>
          <w:rFonts w:ascii="Arial" w:cs="Arial" w:eastAsia="Arial" w:hAnsi="Arial"/>
          <w:sz w:val="19"/>
          <w:szCs w:val="19"/>
          <w:color w:val="auto"/>
        </w:rPr>
      </w:pPr>
    </w:p>
    <w:p>
      <w:pPr>
        <w:jc w:val="both"/>
        <w:ind w:firstLine="644"/>
        <w:spacing w:after="0" w:line="253" w:lineRule="auto"/>
        <w:tabs>
          <w:tab w:leader="none" w:pos="148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and each counterpart, when executed, shall have the efficacy of a signed original. Photographic and facsimile copies of such signed counterparts may be used in lieu of the originals for any purpose.</w:t>
      </w:r>
    </w:p>
    <w:p>
      <w:pPr>
        <w:spacing w:after="0" w:line="226" w:lineRule="exact"/>
        <w:rPr>
          <w:rFonts w:ascii="Arial" w:cs="Arial" w:eastAsia="Arial" w:hAnsi="Arial"/>
          <w:sz w:val="22"/>
          <w:szCs w:val="22"/>
          <w:color w:val="auto"/>
        </w:rPr>
      </w:pPr>
    </w:p>
    <w:p>
      <w:pPr>
        <w:ind w:firstLine="644"/>
        <w:spacing w:after="0" w:line="263" w:lineRule="auto"/>
        <w:tabs>
          <w:tab w:leader="none" w:pos="148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Advice of Counsel</w:t>
      </w:r>
      <w:r>
        <w:rPr>
          <w:rFonts w:ascii="Arial" w:cs="Arial" w:eastAsia="Arial" w:hAnsi="Arial"/>
          <w:sz w:val="22"/>
          <w:szCs w:val="22"/>
          <w:color w:val="auto"/>
        </w:rPr>
        <w:t>. In entering this Agreement, the parties represent that they have had the opportunity to seek the advice of counsel of their choosing prior to executing this Agreement.</w:t>
      </w:r>
    </w:p>
    <w:p>
      <w:pPr>
        <w:spacing w:after="0" w:line="215" w:lineRule="exact"/>
        <w:rPr>
          <w:rFonts w:ascii="Arial" w:cs="Arial" w:eastAsia="Arial" w:hAnsi="Arial"/>
          <w:sz w:val="22"/>
          <w:szCs w:val="22"/>
          <w:color w:val="auto"/>
        </w:rPr>
      </w:pPr>
    </w:p>
    <w:p>
      <w:pPr>
        <w:jc w:val="both"/>
        <w:ind w:firstLine="644"/>
        <w:spacing w:after="0" w:line="263" w:lineRule="auto"/>
        <w:tabs>
          <w:tab w:leader="none" w:pos="1486"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Attorney’s Fees</w:t>
      </w:r>
      <w:r>
        <w:rPr>
          <w:rFonts w:ascii="Arial" w:cs="Arial" w:eastAsia="Arial" w:hAnsi="Arial"/>
          <w:sz w:val="21"/>
          <w:szCs w:val="21"/>
          <w:color w:val="auto"/>
        </w:rPr>
        <w:t>. The parties agree that each side shall bear their own costs and any attorney’s fees incurred in connection with this Agreement, other than as may be set forth in Section 2 above or in this Section 21. If a suit, action, arbitration or other proceeding of any nature whatsoever is instituted in connection with an alleged breach under this Agreement, the prevailing party shall be entitled to recover from the non-prevailing party all reasonable attorneys’ fees and related costs incurred in connection with such legal dispute over the breach of the Agreement.</w:t>
      </w:r>
    </w:p>
    <w:p>
      <w:pPr>
        <w:spacing w:after="0" w:line="216" w:lineRule="exact"/>
        <w:rPr>
          <w:rFonts w:ascii="Arial" w:cs="Arial" w:eastAsia="Arial" w:hAnsi="Arial"/>
          <w:sz w:val="21"/>
          <w:szCs w:val="21"/>
          <w:color w:val="auto"/>
        </w:rPr>
      </w:pPr>
    </w:p>
    <w:p>
      <w:pPr>
        <w:jc w:val="both"/>
        <w:ind w:right="20" w:firstLine="644"/>
        <w:spacing w:after="0" w:line="253" w:lineRule="auto"/>
        <w:tabs>
          <w:tab w:leader="none" w:pos="148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Supplementary Documents</w:t>
      </w:r>
      <w:r>
        <w:rPr>
          <w:rFonts w:ascii="Arial" w:cs="Arial" w:eastAsia="Arial" w:hAnsi="Arial"/>
          <w:sz w:val="22"/>
          <w:szCs w:val="22"/>
          <w:color w:val="auto"/>
        </w:rPr>
        <w:t>. All parties agree to cooperate fully and to execute any and all supplementary documents and to take all additional actions that may be necessary or appropriate to give full force to the basic terms and intent of this Agreement and which are not inconsistent with its terms.</w:t>
      </w:r>
    </w:p>
    <w:p>
      <w:pPr>
        <w:spacing w:after="0" w:line="226" w:lineRule="exact"/>
        <w:rPr>
          <w:rFonts w:ascii="Arial" w:cs="Arial" w:eastAsia="Arial" w:hAnsi="Arial"/>
          <w:sz w:val="22"/>
          <w:szCs w:val="22"/>
          <w:color w:val="auto"/>
        </w:rPr>
      </w:pPr>
    </w:p>
    <w:p>
      <w:pPr>
        <w:jc w:val="both"/>
        <w:ind w:firstLine="644"/>
        <w:spacing w:after="0" w:line="253" w:lineRule="auto"/>
        <w:tabs>
          <w:tab w:leader="none" w:pos="148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Cooperation in Drafting</w:t>
      </w:r>
      <w:r>
        <w:rPr>
          <w:rFonts w:ascii="Arial" w:cs="Arial" w:eastAsia="Arial" w:hAnsi="Arial"/>
          <w:sz w:val="22"/>
          <w:szCs w:val="22"/>
          <w:color w:val="auto"/>
        </w:rPr>
        <w:t>. Executive and Western Digital have cooperated in the drafting and preparation of this Agreement. Hence, in any construction to be made of this Agreement, the same shall not be construed against any party on the basis that the party was the drafter.</w:t>
      </w:r>
    </w:p>
    <w:p>
      <w:pPr>
        <w:spacing w:after="0" w:line="226" w:lineRule="exact"/>
        <w:rPr>
          <w:rFonts w:ascii="Arial" w:cs="Arial" w:eastAsia="Arial" w:hAnsi="Arial"/>
          <w:sz w:val="22"/>
          <w:szCs w:val="22"/>
          <w:color w:val="auto"/>
        </w:rPr>
      </w:pPr>
    </w:p>
    <w:p>
      <w:pPr>
        <w:ind w:firstLine="644"/>
        <w:spacing w:after="0" w:line="263" w:lineRule="auto"/>
        <w:tabs>
          <w:tab w:leader="none" w:pos="148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contained in this Agreement are inserted for convenience only and shall not affect in any way the meaning or interpretation of this Agreement.</w:t>
      </w:r>
    </w:p>
    <w:p>
      <w:pPr>
        <w:sectPr>
          <w:pgSz w:w="11900" w:h="16838" w:orient="portrait"/>
          <w:cols w:equalWidth="0" w:num="1">
            <w:col w:w="11340"/>
          </w:cols>
          <w:pgMar w:left="320" w:top="591" w:right="239" w:bottom="1440" w:gutter="0" w:footer="0" w:header="0"/>
        </w:sectPr>
      </w:pPr>
    </w:p>
    <w:bookmarkStart w:id="144" w:name="page145"/>
    <w:bookmarkEnd w:id="144"/>
    <w:p>
      <w:pPr>
        <w:ind w:left="-576" w:firstLine="644"/>
        <w:spacing w:after="0" w:line="343" w:lineRule="auto"/>
        <w:tabs>
          <w:tab w:leader="none" w:pos="909"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Arbitration and Governing Law</w:t>
      </w:r>
      <w:r>
        <w:rPr>
          <w:rFonts w:ascii="Arial" w:cs="Arial" w:eastAsia="Arial" w:hAnsi="Arial"/>
          <w:sz w:val="19"/>
          <w:szCs w:val="19"/>
          <w:color w:val="auto"/>
        </w:rPr>
        <w:t>. This Agreement is made and entered into in the State of California and shall in all respects be interpreted, enforced and governed under the laws of said State without regard to principles of conflict of laws.</w:t>
      </w:r>
    </w:p>
    <w:p>
      <w:pPr>
        <w:spacing w:after="0" w:line="145" w:lineRule="exact"/>
        <w:rPr>
          <w:rFonts w:ascii="Arial" w:cs="Arial" w:eastAsia="Arial" w:hAnsi="Arial"/>
          <w:sz w:val="19"/>
          <w:szCs w:val="19"/>
          <w:color w:val="auto"/>
        </w:rPr>
      </w:pPr>
    </w:p>
    <w:p>
      <w:pPr>
        <w:jc w:val="both"/>
        <w:ind w:left="644" w:hanging="320"/>
        <w:spacing w:after="0" w:line="247" w:lineRule="auto"/>
        <w:tabs>
          <w:tab w:leader="none" w:pos="644" w:val="left"/>
        </w:tabs>
        <w:numPr>
          <w:ilvl w:val="2"/>
          <w:numId w:val="56"/>
        </w:numPr>
        <w:rPr>
          <w:rFonts w:ascii="Arial" w:cs="Arial" w:eastAsia="Arial" w:hAnsi="Arial"/>
          <w:sz w:val="22"/>
          <w:szCs w:val="22"/>
          <w:color w:val="auto"/>
        </w:rPr>
      </w:pPr>
      <w:r>
        <w:rPr>
          <w:rFonts w:ascii="Arial" w:cs="Arial" w:eastAsia="Arial" w:hAnsi="Arial"/>
          <w:sz w:val="22"/>
          <w:szCs w:val="22"/>
          <w:color w:val="auto"/>
        </w:rPr>
        <w:t>Provided that Executive has exhausted the claims and appeals procedure of the Plan with respect to any claim for benefits or for breach of fiduciary duty, any dispute regarding Executive’s employment with Western Digital or termination of such employment, and any aspect of this Agreement (including but not limited to the enforceability, unconscionability, interpretation, construction, or breach of this Agreement), shall be governed by the Western Digital Dispute Resolution Agreement, in the event an enforceable one exists between Executive and Western Digital.</w:t>
      </w:r>
    </w:p>
    <w:p>
      <w:pPr>
        <w:spacing w:after="0" w:line="234" w:lineRule="exact"/>
        <w:rPr>
          <w:rFonts w:ascii="Arial" w:cs="Arial" w:eastAsia="Arial" w:hAnsi="Arial"/>
          <w:sz w:val="22"/>
          <w:szCs w:val="22"/>
          <w:color w:val="auto"/>
        </w:rPr>
      </w:pPr>
    </w:p>
    <w:p>
      <w:pPr>
        <w:jc w:val="both"/>
        <w:ind w:left="644" w:hanging="320"/>
        <w:spacing w:after="0" w:line="285" w:lineRule="auto"/>
        <w:tabs>
          <w:tab w:leader="none" w:pos="644" w:val="left"/>
        </w:tabs>
        <w:numPr>
          <w:ilvl w:val="2"/>
          <w:numId w:val="56"/>
        </w:numPr>
        <w:rPr>
          <w:rFonts w:ascii="Arial" w:cs="Arial" w:eastAsia="Arial" w:hAnsi="Arial"/>
          <w:sz w:val="19"/>
          <w:szCs w:val="19"/>
          <w:color w:val="auto"/>
        </w:rPr>
      </w:pPr>
      <w:r>
        <w:rPr>
          <w:rFonts w:ascii="Arial" w:cs="Arial" w:eastAsia="Arial" w:hAnsi="Arial"/>
          <w:sz w:val="19"/>
          <w:szCs w:val="19"/>
          <w:color w:val="auto"/>
        </w:rPr>
        <w:t xml:space="preserve">In the event that an enforceable Western Digital Dispute Resolution Agreement between Executive and Western Digital does not exist, and provided that Executive has exhausted the claims and appeals procedure previously mentioned in this paragraph, the following shall apply: Any dispute regarding Executive’s employment with Western Digital or its termination, and any aspect of this Agreement (including but not limited to the enforceability, unconscionability, interpretation, construction, or breach of this Agreement, except as expressly provided otherwise herein) shall be settled by final and binding arbitration before a single arbitrator in the county in which Executive worked in accordance with the JAMS Employment Arbitration Rules and Procedures (“Rules”) as the exclusive remedy for such dispute, and judgment upon the award rendered by the arbitrator may be entered in any court having jurisdiction thereof. A copy of the Rules can be found at: </w:t>
      </w:r>
      <w:r>
        <w:rPr>
          <w:rFonts w:ascii="Arial" w:cs="Arial" w:eastAsia="Arial" w:hAnsi="Arial"/>
          <w:sz w:val="19"/>
          <w:szCs w:val="19"/>
          <w:u w:val="single" w:color="auto"/>
          <w:color w:val="0000FF"/>
        </w:rPr>
        <w:t>http://www.jamsadr.com/rules-employment-arbitration</w:t>
      </w:r>
      <w:r>
        <w:rPr>
          <w:rFonts w:ascii="Arial" w:cs="Arial" w:eastAsia="Arial" w:hAnsi="Arial"/>
          <w:sz w:val="19"/>
          <w:szCs w:val="19"/>
          <w:color w:val="000000"/>
        </w:rPr>
        <w:t>. The arbitration proceedings do not provide for jury trials, but for a hearing before one independent,</w:t>
      </w:r>
      <w:r>
        <w:rPr>
          <w:rFonts w:ascii="Arial" w:cs="Arial" w:eastAsia="Arial" w:hAnsi="Arial"/>
          <w:sz w:val="19"/>
          <w:szCs w:val="19"/>
          <w:color w:val="0000FF"/>
        </w:rPr>
        <w:t xml:space="preserve"> </w:t>
      </w:r>
      <w:r>
        <w:rPr>
          <w:rFonts w:ascii="Arial" w:cs="Arial" w:eastAsia="Arial" w:hAnsi="Arial"/>
          <w:sz w:val="19"/>
          <w:szCs w:val="19"/>
          <w:color w:val="000000"/>
        </w:rPr>
        <w:t>neutral arbitrator. Therefore, in agreeing to arbitrate claims, both Executive and Western Digital and its affiliates are waiving a trial or hearing before a jury. Any claim shall be brought in the parties’ individual capacity, and not as a plaintiff or class member in any purported or actual class or collective action proceeding, and accordingly Executive waives all purported and actual class and collective action claims, unless applicable law prohibits such waiver, which itself, notwithstanding the foregoing, shall be a question for a court of competent jurisdiction to resolve. In the event of (1) a California Private Attorney General Action claim; (2) a purported or actual class or collective action claim determined to be non-waivable pursuant to applicable law; or (3) any claim determined to be non-arbitrable pursuant to applicable law, such claim(s) shall be brought as a civil action and shall be stayed pending resolution of all arbitrable claims in arbitration.</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left="644" w:right="20" w:hanging="320"/>
        <w:spacing w:after="0" w:line="263" w:lineRule="auto"/>
        <w:tabs>
          <w:tab w:leader="none" w:pos="644" w:val="left"/>
        </w:tabs>
        <w:numPr>
          <w:ilvl w:val="2"/>
          <w:numId w:val="56"/>
        </w:numPr>
        <w:rPr>
          <w:rFonts w:ascii="Arial" w:cs="Arial" w:eastAsia="Arial" w:hAnsi="Arial"/>
          <w:sz w:val="22"/>
          <w:szCs w:val="22"/>
          <w:color w:val="auto"/>
        </w:rPr>
      </w:pPr>
      <w:r>
        <w:rPr>
          <w:rFonts w:ascii="Arial" w:cs="Arial" w:eastAsia="Arial" w:hAnsi="Arial"/>
          <w:sz w:val="22"/>
          <w:szCs w:val="22"/>
          <w:color w:val="auto"/>
        </w:rPr>
        <w:t>This arbitration provision shall be viewed as a post-employment agreement, with both Executive and Western Digital splitting equally any fees of the arbitrator and JAMS.</w:t>
      </w:r>
    </w:p>
    <w:p>
      <w:pPr>
        <w:spacing w:after="0" w:line="215" w:lineRule="exact"/>
        <w:rPr>
          <w:rFonts w:ascii="Arial" w:cs="Arial" w:eastAsia="Arial" w:hAnsi="Arial"/>
          <w:sz w:val="22"/>
          <w:szCs w:val="22"/>
          <w:color w:val="auto"/>
        </w:rPr>
      </w:pPr>
    </w:p>
    <w:p>
      <w:pPr>
        <w:jc w:val="both"/>
        <w:ind w:left="-656" w:firstLine="656"/>
        <w:spacing w:after="0" w:line="259" w:lineRule="auto"/>
        <w:tabs>
          <w:tab w:leader="none" w:pos="91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Injunctive Relief</w:t>
      </w:r>
      <w:r>
        <w:rPr>
          <w:rFonts w:ascii="Arial" w:cs="Arial" w:eastAsia="Arial" w:hAnsi="Arial"/>
          <w:sz w:val="21"/>
          <w:szCs w:val="21"/>
          <w:color w:val="auto"/>
        </w:rPr>
        <w:t>. It is expressly agreed by all parties that Western Digital will or would suffer irreparable injury if Executive were to breach Section 8 of this Agreement. Therefore, notwithstanding the provisions of the preceding Section 25, Western Digital shall have the immediate right to seek a preliminary order or injunction enforcing the foregoing obligations during the pendency of, or outside of, all arbitration or other proceedings. Thus, Western Digital shall be entitled to bring an action in any court of competent jurisdiction for injunctive or other extraordinary relief, without the necessity of posting any bond (and if bond shall nevertheless be required by a court of competent jurisdiction, the parties agree that the sum of $100 shall be sufficient bond), as Western Digital deems necessary or appropriate to obtain an injunction prohibiting Executive from any breach or threatened breach of Section 8 of this Agreement, or similar order</w:t>
      </w:r>
    </w:p>
    <w:p>
      <w:pPr>
        <w:sectPr>
          <w:pgSz w:w="11900" w:h="16838" w:orient="portrait"/>
          <w:cols w:equalWidth="0" w:num="1">
            <w:col w:w="10764"/>
          </w:cols>
          <w:pgMar w:left="896" w:top="591" w:right="239" w:bottom="1440" w:gutter="0" w:footer="0" w:header="0"/>
        </w:sectPr>
      </w:pPr>
    </w:p>
    <w:bookmarkStart w:id="145" w:name="page146"/>
    <w:bookmarkEnd w:id="145"/>
    <w:p>
      <w:pPr>
        <w:spacing w:after="0" w:line="263" w:lineRule="auto"/>
        <w:rPr>
          <w:sz w:val="20"/>
          <w:szCs w:val="20"/>
          <w:color w:val="auto"/>
        </w:rPr>
      </w:pPr>
      <w:r>
        <w:rPr>
          <w:rFonts w:ascii="Arial" w:cs="Arial" w:eastAsia="Arial" w:hAnsi="Arial"/>
          <w:sz w:val="22"/>
          <w:szCs w:val="22"/>
          <w:color w:val="auto"/>
        </w:rPr>
        <w:t>or extraordinary remedy regarding such breach or threatened breach. This covenant shall be independent, severable and enforceable notwithstanding any other rights or remedies which Western Digital may have.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NEXT PAGE]</w:t>
      </w:r>
    </w:p>
    <w:p>
      <w:pPr>
        <w:sectPr>
          <w:pgSz w:w="11900" w:h="16838" w:orient="portrait"/>
          <w:cols w:equalWidth="0" w:num="1">
            <w:col w:w="11400"/>
          </w:cols>
          <w:pgMar w:left="240" w:top="591" w:right="259" w:bottom="1440" w:gutter="0" w:footer="0" w:header="0"/>
        </w:sectPr>
      </w:pPr>
    </w:p>
    <w:bookmarkStart w:id="146" w:name="page147"/>
    <w:bookmarkEnd w:id="146"/>
    <w:p>
      <w:pPr>
        <w:jc w:val="both"/>
        <w:ind w:firstLine="648"/>
        <w:spacing w:after="0" w:line="253" w:lineRule="auto"/>
        <w:rPr>
          <w:sz w:val="20"/>
          <w:szCs w:val="20"/>
          <w:color w:val="auto"/>
        </w:rPr>
      </w:pPr>
      <w:r>
        <w:rPr>
          <w:rFonts w:ascii="Arial" w:cs="Arial" w:eastAsia="Arial" w:hAnsi="Arial"/>
          <w:sz w:val="22"/>
          <w:szCs w:val="22"/>
          <w:color w:val="auto"/>
        </w:rPr>
        <w:t>IN WITNESS WHEREOF, the undersigned have read and understand the consequences of this Agreement and voluntarily sign it. The undersigned declare under penalty of perjury under the laws of the State of California that the foregoing is true and correct.</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EXECUTED this 3rd day of August 2016.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“EXECUTIVE”</w:t>
      </w:r>
    </w:p>
    <w:p>
      <w:pPr>
        <w:spacing w:after="0" w:line="220"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Print Name: Olivier C. Leonetti</w:t>
      </w:r>
    </w:p>
    <w:p>
      <w:pPr>
        <w:spacing w:after="0" w:line="220"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Signature: /s/ Olivier C. Leonetti</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EXECUTED this 3rd day of August 2016.</w:t>
      </w:r>
    </w:p>
    <w:p>
      <w:pPr>
        <w:spacing w:after="0" w:line="220"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“WESTERN DIGITAL”</w:t>
      </w:r>
    </w:p>
    <w:p>
      <w:pPr>
        <w:spacing w:after="0" w:line="125"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 xml:space="preserve">Print Name: </w:t>
      </w:r>
      <w:r>
        <w:rPr>
          <w:rFonts w:ascii="Arial" w:cs="Arial" w:eastAsia="Arial" w:hAnsi="Arial"/>
          <w:sz w:val="22"/>
          <w:szCs w:val="22"/>
          <w:u w:val="single" w:color="auto"/>
          <w:color w:val="auto"/>
        </w:rPr>
        <w:t>Jacqueline DeMaria</w:t>
      </w:r>
    </w:p>
    <w:p>
      <w:pPr>
        <w:spacing w:after="0" w:line="247" w:lineRule="exact"/>
        <w:rPr>
          <w:sz w:val="20"/>
          <w:szCs w:val="20"/>
          <w:color w:val="auto"/>
        </w:rPr>
      </w:pPr>
    </w:p>
    <w:p>
      <w:pPr>
        <w:ind w:left="382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u w:val="single" w:color="auto"/>
          <w:color w:val="auto"/>
        </w:rPr>
        <w:t>EVP and Chief Human Resources Officer</w:t>
      </w:r>
    </w:p>
    <w:p>
      <w:pPr>
        <w:spacing w:after="0" w:line="247"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Jacqueline DeMaria</w:t>
      </w:r>
    </w:p>
    <w:p>
      <w:pPr>
        <w:sectPr>
          <w:pgSz w:w="11900" w:h="16838" w:orient="portrait"/>
          <w:cols w:equalWidth="0" w:num="1">
            <w:col w:w="11340"/>
          </w:cols>
          <w:pgMar w:left="320" w:top="847"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b w:val="1"/>
          <w:bCs w:val="1"/>
          <w:color w:val="auto"/>
        </w:rPr>
        <w:t>EXHIBIT 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RELEASE OF CLAIMS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GENERAL RELEASE OF CLAIMS (“Release”) is entered into as of this _____ day of ______ 2016,</w:t>
      </w:r>
    </w:p>
    <w:p>
      <w:pPr>
        <w:spacing w:after="0" w:line="33" w:lineRule="exact"/>
        <w:rPr>
          <w:sz w:val="20"/>
          <w:szCs w:val="20"/>
          <w:color w:val="auto"/>
        </w:rPr>
      </w:pPr>
    </w:p>
    <w:p>
      <w:pPr>
        <w:ind w:right="360"/>
        <w:spacing w:after="0" w:line="270" w:lineRule="auto"/>
        <w:rPr>
          <w:sz w:val="20"/>
          <w:szCs w:val="20"/>
          <w:color w:val="auto"/>
        </w:rPr>
      </w:pPr>
      <w:r>
        <w:rPr>
          <w:rFonts w:ascii="Arial" w:cs="Arial" w:eastAsia="Arial" w:hAnsi="Arial"/>
          <w:sz w:val="21"/>
          <w:szCs w:val="21"/>
          <w:color w:val="auto"/>
        </w:rPr>
        <w:t>between Olivier C. Leonetti (“Executive”), and Western Digital Technologies, Inc., a Delaware corporation, including its parent company and any related entities and subsidiaries (collectively referred to as “Western Digital”).</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Executive and Western Digital are parties to that certain Separation Agreement dated as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 2016 (the “Agreement”);</w:t>
      </w:r>
    </w:p>
    <w:p>
      <w:pPr>
        <w:spacing w:after="0" w:line="242" w:lineRule="exact"/>
        <w:rPr>
          <w:sz w:val="20"/>
          <w:szCs w:val="20"/>
          <w:color w:val="auto"/>
        </w:rPr>
      </w:pPr>
    </w:p>
    <w:p>
      <w:pPr>
        <w:ind w:right="320" w:firstLine="1297"/>
        <w:spacing w:after="0" w:line="253" w:lineRule="auto"/>
        <w:rPr>
          <w:sz w:val="20"/>
          <w:szCs w:val="20"/>
          <w:color w:val="auto"/>
        </w:rPr>
      </w:pPr>
      <w:r>
        <w:rPr>
          <w:rFonts w:ascii="Arial" w:cs="Arial" w:eastAsia="Arial" w:hAnsi="Arial"/>
          <w:sz w:val="22"/>
          <w:szCs w:val="22"/>
          <w:color w:val="auto"/>
        </w:rPr>
        <w:t>WHEREAS, the parties hereto agree that Executive is entitled to certain severance benefits under the Agreement, subject to Executive’s execution of this Release, which execution shall occur no earlier than the Severance Date set forth in the Agreement; and</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parties now wish to fully and finally to resolve all matters between them.</w:t>
      </w:r>
    </w:p>
    <w:p>
      <w:pPr>
        <w:spacing w:after="0" w:line="260" w:lineRule="exact"/>
        <w:rPr>
          <w:sz w:val="20"/>
          <w:szCs w:val="20"/>
          <w:color w:val="auto"/>
        </w:rPr>
      </w:pPr>
    </w:p>
    <w:p>
      <w:pPr>
        <w:ind w:right="80" w:firstLine="1297"/>
        <w:spacing w:after="0" w:line="312" w:lineRule="auto"/>
        <w:rPr>
          <w:sz w:val="20"/>
          <w:szCs w:val="20"/>
          <w:color w:val="auto"/>
        </w:rPr>
      </w:pPr>
      <w:r>
        <w:rPr>
          <w:rFonts w:ascii="Arial" w:cs="Arial" w:eastAsia="Arial" w:hAnsi="Arial"/>
          <w:sz w:val="19"/>
          <w:szCs w:val="19"/>
          <w:color w:val="auto"/>
        </w:rPr>
        <w:t>NOW, THEREFORE, in consideration of, and subject to, the severance benefits payable to Executive pursuant to Section 2 of the Agreement, the adequacy of which is hereby acknowledged by Executive, and which Executive acknowledges that she would not otherwise be entitled to receive, Executive and Western Digital hereby agree as follows:</w:t>
      </w:r>
    </w:p>
    <w:p>
      <w:pPr>
        <w:spacing w:after="0" w:line="17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General Release By Executive</w:t>
      </w:r>
    </w:p>
    <w:p>
      <w:pPr>
        <w:spacing w:after="0" w:line="260" w:lineRule="exact"/>
        <w:rPr>
          <w:rFonts w:ascii="Arial" w:cs="Arial" w:eastAsia="Arial" w:hAnsi="Arial"/>
          <w:sz w:val="22"/>
          <w:szCs w:val="22"/>
          <w:color w:val="auto"/>
        </w:rPr>
      </w:pPr>
    </w:p>
    <w:p>
      <w:pPr>
        <w:jc w:val="both"/>
        <w:ind w:left="1300" w:hanging="320"/>
        <w:spacing w:after="0" w:line="285" w:lineRule="auto"/>
        <w:tabs>
          <w:tab w:leader="none" w:pos="13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Executive understands and agrees that, by signing this Release, in exchange for the Separation Benefits that Executive will receive under Section 2 of the Agreement, Executive is waiving, releasing and discharging, and promising not to sue, Western Digital Corporation and each and all of its divisions, subsidiaries, parents, predecessors, successors, assigns, and affiliated or related corporations and entities, past and present, including but not limited to Western Digital Technologies, Inc., Western Digital (Fremont), LLC, WD Media, LLC, and HGST, Inc., as well as each and all of its and their owners, trustees, officers, directors, managers, shareholders, members, partners, administrators, fiduciaries, representatives, attorneys, assignees, successors, insurers, benefit plans, agents and employees, past and present, and each of them (collectively, “Released Parties”), from and with respect to any and all claims, wages, demands, actions, class actions, rights, liens, agreements, contracts, covenants, suits, causes of action, charges, grievances, obligations, debts, costs, expenses, penalties, attorneys’ fees, damages, judgments, orders and liabilities of any kind, known or unknown, suspected or unsuspected, and whether or not concealed or hidden, arising out of or in any way connected with Executive’s employment relationship with, or the ending of Executive’s employment with, any of the Released Parties, including but in no way limited to, any act or omission committed or omitted prior to the date of execution of this Release. This general release of claims includes, but is in no way limited to, any and all wage and hour claims, claims for wrongful discharge, breach of contract, violation of public policy, tort, or violation of any statute, constitution or regulation, including but not limited to any claim under Title VII of the Civil Rights Act of 1964, the Age Discrimination in Employment Act of 1967, as amended (“ADEA”), the Employee Retirement Income Security Act of 1974 (“ERISA”), the Americans with Disabilities Act of 1990, the Older Workers Benefits Protection Act (“OWBPA”), the Fair Labor Standards Act (“FLSA”), the federal </w:t>
      </w:r>
      <w:r>
        <w:rPr>
          <w:rFonts w:ascii="Arial" w:cs="Arial" w:eastAsia="Arial" w:hAnsi="Arial"/>
          <w:sz w:val="19"/>
          <w:szCs w:val="19"/>
          <w:i w:val="1"/>
          <w:iCs w:val="1"/>
          <w:color w:val="auto"/>
        </w:rPr>
        <w:t>Consolidated Omnibus Budget Reconciliation</w:t>
      </w:r>
    </w:p>
    <w:p>
      <w:pPr>
        <w:sectPr>
          <w:pgSz w:w="11900" w:h="16838" w:orient="portrait"/>
          <w:cols w:equalWidth="0" w:num="1">
            <w:col w:w="11420"/>
          </w:cols>
          <w:pgMar w:left="240" w:top="706" w:right="239" w:bottom="1440" w:gutter="0" w:footer="0" w:header="0"/>
        </w:sectPr>
      </w:pPr>
    </w:p>
    <w:bookmarkStart w:id="148" w:name="page149"/>
    <w:bookmarkEnd w:id="148"/>
    <w:p>
      <w:pPr>
        <w:jc w:val="both"/>
        <w:ind w:left="320"/>
        <w:spacing w:after="0" w:line="259" w:lineRule="auto"/>
        <w:rPr>
          <w:sz w:val="20"/>
          <w:szCs w:val="20"/>
          <w:color w:val="auto"/>
        </w:rPr>
      </w:pPr>
      <w:r>
        <w:rPr>
          <w:rFonts w:ascii="Arial" w:cs="Arial" w:eastAsia="Arial" w:hAnsi="Arial"/>
          <w:sz w:val="21"/>
          <w:szCs w:val="21"/>
          <w:i w:val="1"/>
          <w:iCs w:val="1"/>
          <w:color w:val="auto"/>
        </w:rPr>
        <w:t xml:space="preserve">Act of 1985 </w:t>
      </w:r>
      <w:r>
        <w:rPr>
          <w:rFonts w:ascii="Arial" w:cs="Arial" w:eastAsia="Arial" w:hAnsi="Arial"/>
          <w:sz w:val="21"/>
          <w:szCs w:val="21"/>
          <w:color w:val="auto"/>
        </w:rPr>
        <w:t>(“</w:t>
      </w:r>
      <w:r>
        <w:rPr>
          <w:rFonts w:ascii="Arial" w:cs="Arial" w:eastAsia="Arial" w:hAnsi="Arial"/>
          <w:sz w:val="21"/>
          <w:szCs w:val="21"/>
          <w:i w:val="1"/>
          <w:iCs w:val="1"/>
          <w:color w:val="auto"/>
        </w:rPr>
        <w:t>COBRA”</w:t>
      </w:r>
      <w:r>
        <w:rPr>
          <w:rFonts w:ascii="Arial" w:cs="Arial" w:eastAsia="Arial" w:hAnsi="Arial"/>
          <w:sz w:val="21"/>
          <w:szCs w:val="21"/>
          <w:color w:val="auto"/>
        </w:rPr>
        <w:t>) and Cal-COBRA, the Immigration and Nationality Act Section 1324a, the federal Worker</w:t>
      </w:r>
      <w:r>
        <w:rPr>
          <w:rFonts w:ascii="Arial" w:cs="Arial" w:eastAsia="Arial" w:hAnsi="Arial"/>
          <w:sz w:val="21"/>
          <w:szCs w:val="21"/>
          <w:i w:val="1"/>
          <w:iCs w:val="1"/>
          <w:color w:val="auto"/>
        </w:rPr>
        <w:t xml:space="preserve"> </w:t>
      </w:r>
      <w:r>
        <w:rPr>
          <w:rFonts w:ascii="Arial" w:cs="Arial" w:eastAsia="Arial" w:hAnsi="Arial"/>
          <w:sz w:val="21"/>
          <w:szCs w:val="21"/>
          <w:color w:val="auto"/>
        </w:rPr>
        <w:t>Adjustment and Retraining Notification Act (“WARN”), California WARN Labor Code Sections 1400 et seq., the California Fair Employment and Housing Act (“FEHA”), the Family and Medical Leave Act of 1993 (“FMLA”) , the California Family Rights Act (“CFRA”), the California Labor Code and Industrial Welfare Commission Wage Orders, or any other federal, state or local laws, regulations or ordinances, and any claim for severance pay, bonus, sick leave, holiday pay, vacation pay, life insurance, health or medical insurance or any other fringe benefit, or disability, and every type of relief (legal, equitable and otherwise) available to Executive, from the beginning of time to the date Executive signs this Release.</w:t>
      </w:r>
    </w:p>
    <w:p>
      <w:pPr>
        <w:spacing w:after="0" w:line="225" w:lineRule="exact"/>
        <w:rPr>
          <w:sz w:val="20"/>
          <w:szCs w:val="20"/>
          <w:color w:val="auto"/>
        </w:rPr>
      </w:pPr>
    </w:p>
    <w:p>
      <w:pPr>
        <w:jc w:val="both"/>
        <w:ind w:left="320" w:hanging="320"/>
        <w:spacing w:after="0" w:line="286" w:lineRule="auto"/>
        <w:tabs>
          <w:tab w:leader="none" w:pos="3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foregoing release of claims does not extend to Executive’s right to receive (i) any vested rights or benefits under the terms of any “employee benefit plan,” as defined in Section 3(3) of ERISA or any Western Digital nonqualified deferred compensation plan; (ii) Executive’s vested rights, if any, under any stock option grant or stock award pursuant to the terms of such grant agreement or applicable equity award plan; (iii) indemnification under California Labor Code § 2802 California Corporations Code §317, Western Digital’s by-laws, any indemnification agreement between Western Digital and Executive, or any other federal or state statute, law, regulation or provision that confers upon Executive a right to defense or indemnification arising out of the services he performed for Western Digital or any of the Releasees; (iv) claims under the ADEA that may arise after the date Executive signs this Release; or (v) any other rights or claims under applicable federal, state or local law that cannot be waived or released by private agreement as a matter of law. Executive understands that nothing in the Release shall preclude Executive from filing a claim for unemployment or workers compensation insurance. Executive understands that nothing in this Release or the Agreement shall preclude Executive from filing a charge or complaint with any state or federal government agency or to participate or cooperate in such a matter; Executive agrees, however, to waive and release any right to seek or receive monetary damages resulting from any such charge or complaint or any action or proceeding brought by such government agency.</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left="320" w:hanging="320"/>
        <w:spacing w:after="0" w:line="250" w:lineRule="auto"/>
        <w:tabs>
          <w:tab w:leader="none" w:pos="3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This Release applies to claims or rights that Executive may possess either individually or as a class member, and Executive waives and releases any right to participate in or receive money or benefits from any class action settlement or judgment after the date this Release is signed that relates in any way to Executive’s employment with Western Digital.</w:t>
      </w:r>
    </w:p>
    <w:p>
      <w:pPr>
        <w:spacing w:after="0" w:line="228" w:lineRule="exact"/>
        <w:rPr>
          <w:rFonts w:ascii="Arial" w:cs="Arial" w:eastAsia="Arial" w:hAnsi="Arial"/>
          <w:sz w:val="22"/>
          <w:szCs w:val="22"/>
          <w:color w:val="auto"/>
        </w:rPr>
      </w:pPr>
    </w:p>
    <w:p>
      <w:pPr>
        <w:ind w:left="320" w:hanging="320"/>
        <w:spacing w:after="0" w:line="263" w:lineRule="auto"/>
        <w:tabs>
          <w:tab w:leader="none" w:pos="3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This Release is binding on Executive’s heirs, family members, dependents, beneficiaries, executors, administrators, successors and assigns.</w:t>
      </w:r>
    </w:p>
    <w:p>
      <w:pPr>
        <w:spacing w:after="0" w:line="215" w:lineRule="exact"/>
        <w:rPr>
          <w:rFonts w:ascii="Arial" w:cs="Arial" w:eastAsia="Arial" w:hAnsi="Arial"/>
          <w:sz w:val="22"/>
          <w:szCs w:val="22"/>
          <w:color w:val="auto"/>
        </w:rPr>
      </w:pPr>
    </w:p>
    <w:p>
      <w:pPr>
        <w:jc w:val="both"/>
        <w:ind w:left="320" w:hanging="320"/>
        <w:spacing w:after="0" w:line="292" w:lineRule="auto"/>
        <w:tabs>
          <w:tab w:leader="none" w:pos="3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obligations stated in this Release are intended as full and complete satisfaction of any and all claims the Executive has now, or has had in the past. By signing this Release, Executive specifically represents that Executive has made reasonable effort to become fully apprised of the nature and consequences of this Release, and that Executive understands that if any facts with respect to any matter covered by this Release are found to be different from the facts Executive now believes to be true, Executive accepts and assumes that risk and agrees that this Release shall be effective notwithstanding such differences. Executive expressly agrees that this Release shall extend and apply to all unknown, unsuspected and unanticipated injuries and damages.</w:t>
      </w:r>
    </w:p>
    <w:p>
      <w:pPr>
        <w:spacing w:after="0" w:line="192" w:lineRule="exact"/>
        <w:rPr>
          <w:rFonts w:ascii="Arial" w:cs="Arial" w:eastAsia="Arial" w:hAnsi="Arial"/>
          <w:sz w:val="19"/>
          <w:szCs w:val="19"/>
          <w:color w:val="auto"/>
        </w:rPr>
      </w:pPr>
    </w:p>
    <w:p>
      <w:pPr>
        <w:ind w:left="320" w:hanging="320"/>
        <w:spacing w:after="0"/>
        <w:tabs>
          <w:tab w:leader="none" w:pos="3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Executive represents and warrants that neither Medicare nor Medicaid has made any payment</w:t>
      </w:r>
    </w:p>
    <w:p>
      <w:pPr>
        <w:sectPr>
          <w:pgSz w:w="11900" w:h="16838" w:orient="portrait"/>
          <w:cols w:equalWidth="0" w:num="1">
            <w:col w:w="10440"/>
          </w:cols>
          <w:pgMar w:left="1220" w:top="591" w:right="239" w:bottom="1440" w:gutter="0" w:footer="0" w:header="0"/>
        </w:sectPr>
      </w:pPr>
    </w:p>
    <w:bookmarkStart w:id="149" w:name="page150"/>
    <w:bookmarkEnd w:id="149"/>
    <w:p>
      <w:pPr>
        <w:jc w:val="both"/>
        <w:ind w:left="1300"/>
        <w:spacing w:after="0" w:line="286" w:lineRule="auto"/>
        <w:rPr>
          <w:sz w:val="20"/>
          <w:szCs w:val="20"/>
          <w:color w:val="auto"/>
        </w:rPr>
      </w:pPr>
      <w:r>
        <w:rPr>
          <w:rFonts w:ascii="Arial" w:cs="Arial" w:eastAsia="Arial" w:hAnsi="Arial"/>
          <w:sz w:val="19"/>
          <w:szCs w:val="19"/>
          <w:color w:val="auto"/>
        </w:rPr>
        <w:t>for medical services or items pursuant to 42 U.S.C. § 1395y and the corresponding regulations, or otherwise, relating to the Released Matters. “Released Matter” means any released accident, occurrence, injury, illness, disease, loss, claim, demand, damages, or matter that is subject to this Release and the releases herein. Executive acknowledges and agrees that neither Western Digital nor any of the Released Parties has any obligation or responsibility to reimburse Medicare, Medicaid, the Centers for Medicare and Medicaid Services, or any other entity or person for any past or future injury related medical expenses that have arisen or may hereafter arise out or relate in any way to the Released Matters. Executive acknowledges and agrees that it is Executive’s responsibility alone to reimburse such entities for any payments made on their behalf for such past or future medical expenses, if any, and Executive agrees to indemnify and hold harmless Western Digital and the Released Parties from any and all claims, demands, liens, subrogated interests and/or causes of action of any nature or character that have been or may in the future be asserted by Medicare and/or Medicaid and/or persons acting on behalf of Medicare and/or Medicaid concerning medical, hospital, or other expenses arising of the Released Matters, or concerning any claim based on inaccurate or inadequate information provided by Executive concerning Executive’s status as a Medicare or Medicaid beneficiary.</w:t>
      </w:r>
    </w:p>
    <w:p>
      <w:pPr>
        <w:spacing w:after="0" w:line="200" w:lineRule="exact"/>
        <w:rPr>
          <w:sz w:val="20"/>
          <w:szCs w:val="20"/>
          <w:color w:val="auto"/>
        </w:rPr>
      </w:pPr>
    </w:p>
    <w:p>
      <w:pPr>
        <w:spacing w:after="0" w:line="264" w:lineRule="exact"/>
        <w:rPr>
          <w:sz w:val="20"/>
          <w:szCs w:val="20"/>
          <w:color w:val="auto"/>
        </w:rPr>
      </w:pPr>
    </w:p>
    <w:p>
      <w:pPr>
        <w:jc w:val="both"/>
        <w:ind w:left="1300" w:hanging="320"/>
        <w:spacing w:after="0" w:line="259" w:lineRule="auto"/>
        <w:tabs>
          <w:tab w:leader="none" w:pos="1300" w:val="left"/>
        </w:tabs>
        <w:numPr>
          <w:ilvl w:val="1"/>
          <w:numId w:val="60"/>
        </w:numPr>
        <w:rPr>
          <w:rFonts w:ascii="Arial" w:cs="Arial" w:eastAsia="Arial" w:hAnsi="Arial"/>
          <w:sz w:val="21"/>
          <w:szCs w:val="21"/>
          <w:color w:val="auto"/>
        </w:rPr>
      </w:pPr>
      <w:r>
        <w:rPr>
          <w:rFonts w:ascii="Arial" w:cs="Arial" w:eastAsia="Arial" w:hAnsi="Arial"/>
          <w:sz w:val="21"/>
          <w:szCs w:val="21"/>
          <w:color w:val="auto"/>
        </w:rPr>
        <w:t>Executive promises not to pursue any claim that Executive has settled by this Release. If Executive breaks this promise, Executive agrees to pay all of Western Digital’s costs and expenses (including reasonable attorneys’ fees) related to the defense of any claims. Executive understands that nothing in this Release shall be deemed to preclude Executive from challenging the knowing and voluntary nature of this Release before a court or the Equal Employment Opportunity Commission (“EEOC”), or from filing a charge with the EEOC, the National Labor Relations Board, or any other federal, state or local agency charged with the enforcement of any employment laws. Executive understands, however, that, by signing this Release, Executive is waiving the right to monetary recovery based on claims asserted in such a charge or complaint.</w:t>
      </w:r>
    </w:p>
    <w:p>
      <w:pPr>
        <w:spacing w:after="0" w:line="224" w:lineRule="exact"/>
        <w:rPr>
          <w:rFonts w:ascii="Arial" w:cs="Arial" w:eastAsia="Arial" w:hAnsi="Arial"/>
          <w:sz w:val="21"/>
          <w:szCs w:val="21"/>
          <w:color w:val="auto"/>
        </w:rPr>
      </w:pPr>
    </w:p>
    <w:p>
      <w:pPr>
        <w:jc w:val="both"/>
        <w:ind w:firstLine="656"/>
        <w:spacing w:after="0" w:line="294" w:lineRule="auto"/>
        <w:tabs>
          <w:tab w:leader="none" w:pos="1459"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1542 Waiver</w:t>
      </w:r>
      <w:r>
        <w:rPr>
          <w:rFonts w:ascii="Arial" w:cs="Arial" w:eastAsia="Arial" w:hAnsi="Arial"/>
          <w:sz w:val="19"/>
          <w:szCs w:val="19"/>
          <w:color w:val="auto"/>
        </w:rPr>
        <w:t>. It is Executive’s intention in signing this Release that the general release of claims should be effective as a bar to each and every claim, demand and cause of action stated above. In furtherance of this intention, Executive hereby expressly waives any and all rights and benefits conferred upon Executive by the provisions of SECTION 1542 OF THE CALIFORNIA CIVIL CODE and expressly consents that this Release shall be given full force and effect according to each and all of its express terms and provisions, including those relating to unknown and unsuspected claims, demands and causes of action, if any, as well as those relating to any other claims, demands and causes of action referred to above. SECTION 1542 provides:</w:t>
      </w:r>
    </w:p>
    <w:p>
      <w:pPr>
        <w:spacing w:after="0" w:line="190"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Executive acknowledges and understands the significance and consequence of such release and such specific waiver of SECTION 1542</w:t>
      </w:r>
    </w:p>
    <w:p>
      <w:pPr>
        <w:spacing w:after="0" w:line="175" w:lineRule="exact"/>
        <w:rPr>
          <w:sz w:val="20"/>
          <w:szCs w:val="20"/>
          <w:color w:val="auto"/>
        </w:rPr>
      </w:pPr>
    </w:p>
    <w:p>
      <w:pPr>
        <w:jc w:val="both"/>
        <w:ind w:firstLine="656"/>
        <w:spacing w:after="0" w:line="253" w:lineRule="auto"/>
        <w:tabs>
          <w:tab w:leader="none" w:pos="1459"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Workers’ Compensation</w:t>
      </w:r>
      <w:r>
        <w:rPr>
          <w:rFonts w:ascii="Arial" w:cs="Arial" w:eastAsia="Arial" w:hAnsi="Arial"/>
          <w:sz w:val="22"/>
          <w:szCs w:val="22"/>
          <w:color w:val="auto"/>
        </w:rPr>
        <w:t>. Executive acknowledges that Executive has no pending claim for workers’ compensation benefits against Western Digital. Executive warrants and represents that Executive does not have any work-related injury or illness arising from Executive’s employment at Western Digital.</w:t>
      </w:r>
    </w:p>
    <w:p>
      <w:pPr>
        <w:sectPr>
          <w:pgSz w:w="11900" w:h="16838" w:orient="portrait"/>
          <w:cols w:equalWidth="0" w:num="1">
            <w:col w:w="11420"/>
          </w:cols>
          <w:pgMar w:left="240" w:top="591" w:right="239" w:bottom="1440" w:gutter="0" w:footer="0" w:header="0"/>
        </w:sectPr>
      </w:pPr>
    </w:p>
    <w:bookmarkStart w:id="150" w:name="page151"/>
    <w:bookmarkEnd w:id="150"/>
    <w:p>
      <w:pPr>
        <w:jc w:val="both"/>
        <w:ind w:left="-656" w:firstLine="656"/>
        <w:spacing w:after="0" w:line="289" w:lineRule="auto"/>
        <w:tabs>
          <w:tab w:leader="none" w:pos="802"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Receipt of Compensation Due</w:t>
      </w:r>
      <w:r>
        <w:rPr>
          <w:rFonts w:ascii="Arial" w:cs="Arial" w:eastAsia="Arial" w:hAnsi="Arial"/>
          <w:sz w:val="19"/>
          <w:szCs w:val="19"/>
          <w:color w:val="auto"/>
        </w:rPr>
        <w:t>. Executive acknowledges and agrees that Executive has received with Executive’s final paycheck all salary and vacation payments due and owing to Executive through Executive’s Severance Date and that such payment was not made contingent on the execution of this Release. Executive also acknowledges and agrees that Executive has not suffered any on-the-job injury for which Executive has not already filed a claim, that Executive has been properly provided any leave of absence due to Executive or a family member’s health condition, and that Executive has not been subjected to any improper treatment, conduct or actions due to or related to any request by Executive for or taking of any leave of absence because of Executive’s own or a family member’s health condition, nor has Executive been denied any leave requested under the Family and Medical Leave Act or the California Family Rights Act. Executive has not been retaliated against for reporting any allegations of wrongdoing by Western Digital or its officers, including any allegations of corporate fraud.</w:t>
      </w:r>
    </w:p>
    <w:p>
      <w:pPr>
        <w:spacing w:after="0" w:line="198" w:lineRule="exact"/>
        <w:rPr>
          <w:rFonts w:ascii="Arial" w:cs="Arial" w:eastAsia="Arial" w:hAnsi="Arial"/>
          <w:sz w:val="19"/>
          <w:szCs w:val="19"/>
          <w:color w:val="auto"/>
        </w:rPr>
      </w:pPr>
    </w:p>
    <w:p>
      <w:pPr>
        <w:jc w:val="both"/>
        <w:ind w:left="-656" w:firstLine="656"/>
        <w:spacing w:after="0" w:line="290" w:lineRule="auto"/>
        <w:tabs>
          <w:tab w:leader="none" w:pos="802"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Acceptance and Revocation Rights</w:t>
      </w:r>
      <w:r>
        <w:rPr>
          <w:rFonts w:ascii="Arial" w:cs="Arial" w:eastAsia="Arial" w:hAnsi="Arial"/>
          <w:sz w:val="19"/>
          <w:szCs w:val="19"/>
          <w:color w:val="auto"/>
        </w:rPr>
        <w:t>. Executive is hereby advised (a) to consult with an attorney if Executive desires prior to signing this Release, (b) that this Release does not waive rights or claims that may arise after it is executed by Executive, and (c) that Executive has twenty-one (21) days in which to consider and accept this Release by signing and returning this Release to Western Digital. In addition, Executive has a period of seven (7) days following Executive’s execution of this Release in which Executive may revoke the Release. This Release will not become effective or enforceable until the seven (7) day revocation period has passed without revocation. If Executive does not advise Western Digital (by communicating such revocation to the Executive Vice President and Chief Human Resources Officer within such seven (7) day period) of Executive’s intent to revoke the Release, Executive has waived the right to revoke the Release, and it will become effective and enforceable.</w:t>
      </w:r>
    </w:p>
    <w:p>
      <w:pPr>
        <w:spacing w:after="0" w:line="197" w:lineRule="exact"/>
        <w:rPr>
          <w:rFonts w:ascii="Arial" w:cs="Arial" w:eastAsia="Arial" w:hAnsi="Arial"/>
          <w:sz w:val="19"/>
          <w:szCs w:val="19"/>
          <w:color w:val="auto"/>
        </w:rPr>
      </w:pPr>
    </w:p>
    <w:p>
      <w:pPr>
        <w:jc w:val="both"/>
        <w:ind w:left="-656" w:firstLine="656"/>
        <w:spacing w:after="0" w:line="265" w:lineRule="auto"/>
        <w:tabs>
          <w:tab w:leader="none" w:pos="802"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Denial of Liability</w:t>
      </w:r>
      <w:r>
        <w:rPr>
          <w:rFonts w:ascii="Arial" w:cs="Arial" w:eastAsia="Arial" w:hAnsi="Arial"/>
          <w:sz w:val="21"/>
          <w:szCs w:val="21"/>
          <w:color w:val="auto"/>
        </w:rPr>
        <w:t>. This Release does not constitute an admission by Western Digital of any violation of federal, state or local law, ordinance or regulation or of any liability or wrongdoing whatsoever. Neither this Release nor anything in this Release shall be construed to be or shall be admissible in any proceeding as evidence of liability or wrongdoing by Western Digital. This Release may be introduced, however, in any proceeding to enforce the Release.</w:t>
      </w:r>
    </w:p>
    <w:p>
      <w:pPr>
        <w:spacing w:after="0" w:line="216" w:lineRule="exact"/>
        <w:rPr>
          <w:rFonts w:ascii="Arial" w:cs="Arial" w:eastAsia="Arial" w:hAnsi="Arial"/>
          <w:sz w:val="21"/>
          <w:szCs w:val="21"/>
          <w:color w:val="auto"/>
        </w:rPr>
      </w:pPr>
    </w:p>
    <w:p>
      <w:pPr>
        <w:jc w:val="both"/>
        <w:ind w:left="-656" w:firstLine="724"/>
        <w:spacing w:after="0" w:line="248" w:lineRule="auto"/>
        <w:tabs>
          <w:tab w:leader="none" w:pos="789"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Warranty Regarding Non-Assignment</w:t>
      </w:r>
      <w:r>
        <w:rPr>
          <w:rFonts w:ascii="Arial" w:cs="Arial" w:eastAsia="Arial" w:hAnsi="Arial"/>
          <w:sz w:val="22"/>
          <w:szCs w:val="22"/>
          <w:color w:val="auto"/>
        </w:rPr>
        <w:t>. Executive warrants and represents that Executive has not heretofore assigned or transferred to any person not a party to this Release any released matter or any part or portion thereof and Executive shall defend, indemnify and hold harmless Western Digital from and against any claim (including the payment of attorneys’ fees and costs actually incurred whether or not litigation is commenced) based on or in connection with or arising out of any such assignment or transfer made, purported or claimed.</w:t>
      </w:r>
    </w:p>
    <w:p>
      <w:pPr>
        <w:spacing w:after="0" w:line="232" w:lineRule="exact"/>
        <w:rPr>
          <w:rFonts w:ascii="Arial" w:cs="Arial" w:eastAsia="Arial" w:hAnsi="Arial"/>
          <w:sz w:val="22"/>
          <w:szCs w:val="22"/>
          <w:color w:val="auto"/>
        </w:rPr>
      </w:pPr>
    </w:p>
    <w:p>
      <w:pPr>
        <w:jc w:val="both"/>
        <w:ind w:left="-656" w:firstLine="724"/>
        <w:spacing w:after="0" w:line="260" w:lineRule="auto"/>
        <w:tabs>
          <w:tab w:leader="none" w:pos="789"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Release and the Agreement set forth the entire agreement of the parties hereto in respect of the subject matter contained herein and therein and supersede all prior agreements, promises, covenants, arrangements, communications, representations or warranties, whether oral or written, by any officer, employee or representative of any party hereto, and any prior agreement of the parties in respect of the subject matter contained herein. This Release is made and entered into in the State of California and shall in all respects be interpreted, enforced and governed under the laws of said State without regard to principles of conflict of laws. Any claim or dispute by either party with respect to this Release shall be subject to the arbitration provisions set forth in Section 25 of the Agreement.</w:t>
      </w:r>
    </w:p>
    <w:p>
      <w:pPr>
        <w:spacing w:after="0" w:line="221" w:lineRule="exact"/>
        <w:rPr>
          <w:rFonts w:ascii="Arial" w:cs="Arial" w:eastAsia="Arial" w:hAnsi="Arial"/>
          <w:sz w:val="21"/>
          <w:szCs w:val="21"/>
          <w:color w:val="auto"/>
        </w:rPr>
      </w:pPr>
    </w:p>
    <w:p>
      <w:pPr>
        <w:ind w:left="804" w:hanging="736"/>
        <w:spacing w:after="0"/>
        <w:tabs>
          <w:tab w:leader="none" w:pos="804"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Release may be modified only with a written instrument executed by both parties.</w:t>
      </w:r>
    </w:p>
    <w:p>
      <w:pPr>
        <w:sectPr>
          <w:pgSz w:w="11900" w:h="16838" w:orient="portrait"/>
          <w:cols w:equalWidth="0" w:num="1">
            <w:col w:w="10764"/>
          </w:cols>
          <w:pgMar w:left="896" w:top="847" w:right="239" w:bottom="1440" w:gutter="0" w:footer="0" w:header="0"/>
        </w:sectPr>
      </w:pPr>
    </w:p>
    <w:bookmarkStart w:id="151" w:name="page152"/>
    <w:bookmarkEnd w:id="151"/>
    <w:p>
      <w:pPr>
        <w:jc w:val="both"/>
        <w:ind w:left="-20" w:firstLine="724"/>
        <w:spacing w:after="0" w:line="253" w:lineRule="auto"/>
        <w:tabs>
          <w:tab w:leader="none" w:pos="1533"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Release may be executed in counterparts, and each counterpart, when executed, shall have the efficacy of a signed original. Photographic and facsimile copies of such signed counterparts may be used in lieu of the originals for any purpose.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NEXT PAGE]</w:t>
      </w:r>
    </w:p>
    <w:p>
      <w:pPr>
        <w:sectPr>
          <w:pgSz w:w="11900" w:h="16838" w:orient="portrait"/>
          <w:cols w:equalWidth="0" w:num="1">
            <w:col w:w="11400"/>
          </w:cols>
          <w:pgMar w:left="260" w:top="591" w:right="239" w:bottom="1440" w:gutter="0" w:footer="0" w:header="0"/>
        </w:sectPr>
      </w:pPr>
    </w:p>
    <w:bookmarkStart w:id="152" w:name="page153"/>
    <w:bookmarkEnd w:id="152"/>
    <w:p>
      <w:pPr>
        <w:ind w:firstLine="648"/>
        <w:spacing w:after="0" w:line="343" w:lineRule="auto"/>
        <w:rPr>
          <w:sz w:val="20"/>
          <w:szCs w:val="20"/>
          <w:color w:val="auto"/>
        </w:rPr>
      </w:pPr>
      <w:r>
        <w:rPr>
          <w:rFonts w:ascii="Arial" w:cs="Arial" w:eastAsia="Arial" w:hAnsi="Arial"/>
          <w:sz w:val="19"/>
          <w:szCs w:val="19"/>
          <w:color w:val="auto"/>
        </w:rPr>
        <w:t>IN WITNESS WHEREOF, the undersigned have read and understand the consequences of this Release and voluntarily sign it. The undersigned declare under penalty of perjury under the laws of the State of California that the foregoing is true and correct.</w:t>
      </w:r>
    </w:p>
    <w:p>
      <w:pPr>
        <w:spacing w:after="0" w:line="36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EXECUTED this ________ day of ________ 2016.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Print Name: Olivier C. Leonetti</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 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EXECUTED this ________ day of _______ 2016.</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“WESTERN DIGITAL”</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Print Name: _______________________________</w:t>
      </w:r>
    </w:p>
    <w:p>
      <w:pPr>
        <w:spacing w:after="0" w:line="12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_____________________________________</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 _________________________________</w:t>
      </w:r>
    </w:p>
    <w:p>
      <w:pPr>
        <w:sectPr>
          <w:pgSz w:w="11900" w:h="16838" w:orient="portrait"/>
          <w:cols w:equalWidth="0" w:num="1">
            <w:col w:w="11420"/>
          </w:cols>
          <w:pgMar w:left="240" w:top="847" w:right="239" w:bottom="1440" w:gutter="0" w:footer="0" w:header="0"/>
        </w:sectPr>
      </w:pPr>
    </w:p>
    <w:bookmarkStart w:id="153" w:name="page154"/>
    <w:bookmarkEnd w:id="153"/>
    <w:p>
      <w:pPr>
        <w:jc w:val="center"/>
        <w:ind w:right="-179"/>
        <w:spacing w:after="0"/>
        <w:rPr>
          <w:sz w:val="20"/>
          <w:szCs w:val="20"/>
          <w:color w:val="auto"/>
        </w:rPr>
      </w:pPr>
      <w:r>
        <w:rPr>
          <w:rFonts w:ascii="Arial" w:cs="Arial" w:eastAsia="Arial" w:hAnsi="Arial"/>
          <w:sz w:val="22"/>
          <w:szCs w:val="22"/>
          <w:b w:val="1"/>
          <w:bCs w:val="1"/>
          <w:color w:val="auto"/>
        </w:rPr>
        <w:t>EXHIBIT B</w:t>
      </w: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PROPOSED TALKING POINTS</w:t>
      </w:r>
    </w:p>
    <w:p>
      <w:pPr>
        <w:spacing w:after="0" w:line="38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Olivier was very well-liked by his colleagues on the executive team and throughout the Company. They valued his work ethic, his decency, and his willingness to listen and collaborate to meet important company goals.</w:t>
      </w:r>
    </w:p>
    <w:p>
      <w:pPr>
        <w:spacing w:after="0" w:line="215" w:lineRule="exact"/>
        <w:rPr>
          <w:sz w:val="20"/>
          <w:szCs w:val="20"/>
          <w:color w:val="auto"/>
        </w:rPr>
      </w:pPr>
    </w:p>
    <w:p>
      <w:pPr>
        <w:ind w:right="760"/>
        <w:spacing w:after="0" w:line="263" w:lineRule="auto"/>
        <w:rPr>
          <w:sz w:val="20"/>
          <w:szCs w:val="20"/>
          <w:color w:val="auto"/>
        </w:rPr>
      </w:pPr>
      <w:r>
        <w:rPr>
          <w:rFonts w:ascii="Arial" w:cs="Arial" w:eastAsia="Arial" w:hAnsi="Arial"/>
          <w:sz w:val="22"/>
          <w:szCs w:val="22"/>
          <w:color w:val="auto"/>
        </w:rPr>
        <w:t>Olivier demonstrated great integrity throughout his tenure as CFO, and maintained robust processes and a strong controls environment to help ensure the accuracy of the company’s financials.</w:t>
      </w:r>
    </w:p>
    <w:p>
      <w:pPr>
        <w:spacing w:after="0" w:line="215" w:lineRule="exact"/>
        <w:rPr>
          <w:sz w:val="20"/>
          <w:szCs w:val="20"/>
          <w:color w:val="auto"/>
        </w:rPr>
      </w:pPr>
    </w:p>
    <w:p>
      <w:pPr>
        <w:ind w:right="380"/>
        <w:spacing w:after="0" w:line="253" w:lineRule="auto"/>
        <w:rPr>
          <w:sz w:val="20"/>
          <w:szCs w:val="20"/>
          <w:color w:val="auto"/>
        </w:rPr>
      </w:pPr>
      <w:r>
        <w:rPr>
          <w:rFonts w:ascii="Arial" w:cs="Arial" w:eastAsia="Arial" w:hAnsi="Arial"/>
          <w:sz w:val="22"/>
          <w:szCs w:val="22"/>
          <w:color w:val="auto"/>
        </w:rPr>
        <w:t>Olivier worked closely and successfully with the Company’s audit committee on a range of matters, including assessing the Company’s enterprise risks, overseeing the Company’s global cash position, and supervising the Company’s effective tax rate worldwide.</w:t>
      </w:r>
    </w:p>
    <w:p>
      <w:pPr>
        <w:spacing w:after="0" w:line="22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Olivier spent significant time with the Company’s key investors and analysts, explaining the Company’s strategy and the industry and macroeconomic trends the Company encountered. He was regarded as an accessible and trusted spokesperson for the Company.</w:t>
      </w:r>
    </w:p>
    <w:p>
      <w:pPr>
        <w:sectPr>
          <w:pgSz w:w="11900" w:h="16838" w:orient="portrait"/>
          <w:cols w:equalWidth="0" w:num="1">
            <w:col w:w="11260"/>
          </w:cols>
          <w:pgMar w:left="240" w:top="707" w:right="39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10.9</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SEPARATION AND GENERAL RELEASE AGREEMENT</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consideration of the covenants undertaken and releases contained in this Confidential Separation and General Release Agreement (this “Agreement”), James Murphy (“Executive”) and Western Digital Technologies, Inc., a Delaware corporation, including its parent company and any related entities and subsidiaries (collectively referred to as “Western Digital”), agree as follows:</w:t>
      </w:r>
    </w:p>
    <w:p>
      <w:pPr>
        <w:spacing w:after="0" w:line="188" w:lineRule="exact"/>
        <w:rPr>
          <w:sz w:val="20"/>
          <w:szCs w:val="20"/>
          <w:color w:val="auto"/>
        </w:rPr>
      </w:pPr>
    </w:p>
    <w:p>
      <w:pPr>
        <w:jc w:val="both"/>
        <w:ind w:firstLine="656"/>
        <w:spacing w:after="0" w:line="286" w:lineRule="auto"/>
        <w:tabs>
          <w:tab w:leader="none" w:pos="145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Separation from and Termination of Employment</w:t>
      </w:r>
      <w:r>
        <w:rPr>
          <w:rFonts w:ascii="Arial" w:cs="Arial" w:eastAsia="Arial" w:hAnsi="Arial"/>
          <w:sz w:val="19"/>
          <w:szCs w:val="19"/>
          <w:color w:val="auto"/>
        </w:rPr>
        <w:t>. Conditioned upon the terms of this Agreement, Executive’s employment with Western Digital and its affiliated and subsidiary businesses in any other capacity, will terminate for all purposes effective March 25, 2017, unless terminated earlier upon thirty (30) days’ written notice from Executive (such date, the “Severance Date”). Executive hereby resigns his positions with Western Digital and any of its affiliates and subsidiaries, effective as of the Severance Date unless provided for sooner in a separate written agreement by Executive. All salary, compensation, benefits and perquisites of employment will cease as of the Severance Date. Executive will continue to vest in outstanding equity grants through the Severance Date (subject to his continued employment through the applicable vesting date). Executive shall submit his final expense report, if any, by the Severance Date, which Western Digital shall reimburse in the ordinary course of business. Within sixty (60) days following the Severance Date, Executive shall receive payment in an amount equal to (a) all final amounts owed to Executive for Executive’s regular and usual base salary (if any), and (b) all final amounts owed to Executive for Executive’s earned and accrued but unpaid bonuses (if any), in accordance with the terms of the applicable bonus plan. Executive is not required to sign this Agreement in order to receive the compensation, vesting and expense reimbursement described in this Section 1. All payments due to Executive from Western Digital after the Severance Date shall be determined under this Agreement.</w:t>
      </w:r>
    </w:p>
    <w:p>
      <w:pPr>
        <w:spacing w:after="0" w:line="207" w:lineRule="exact"/>
        <w:rPr>
          <w:rFonts w:ascii="Arial" w:cs="Arial" w:eastAsia="Arial" w:hAnsi="Arial"/>
          <w:sz w:val="19"/>
          <w:szCs w:val="19"/>
          <w:color w:val="auto"/>
        </w:rPr>
      </w:pPr>
    </w:p>
    <w:p>
      <w:pPr>
        <w:jc w:val="both"/>
        <w:ind w:firstLine="656"/>
        <w:spacing w:after="0" w:line="275" w:lineRule="auto"/>
        <w:tabs>
          <w:tab w:leader="none" w:pos="1459"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Separation Benefits</w:t>
      </w:r>
      <w:r>
        <w:rPr>
          <w:rFonts w:ascii="Arial" w:cs="Arial" w:eastAsia="Arial" w:hAnsi="Arial"/>
          <w:sz w:val="20"/>
          <w:szCs w:val="20"/>
          <w:color w:val="auto"/>
        </w:rPr>
        <w:t xml:space="preserve">. The benefits (“Separation Benefits”) provided under Section 2 of this Agreement are intended to be consistent with the Western Digital Corporation Executive Severance Plan, as such plan may be amended from time to time. Provided that Executive (a) executes and delivers this Agreement to Western Digital and does not revoke this Agreement within the seven (7) day revocation period following the date Executive signs this Agreement, and (b) executes and delivers to Western Digital a general release of claims substantially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“Separation Release”) on the Severance Date (and no earlier) and does not revoke the Separation Release within the seven (7) day revocation period following the date Executive signs the Separation Release, Western Digital shall provide Executive with the following Separation Benefits during the fifteen-day period commencing on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Severance Date:</w:t>
      </w:r>
    </w:p>
    <w:p>
      <w:pPr>
        <w:spacing w:after="0" w:line="116" w:lineRule="exact"/>
        <w:rPr>
          <w:rFonts w:ascii="Arial" w:cs="Arial" w:eastAsia="Arial" w:hAnsi="Arial"/>
          <w:sz w:val="20"/>
          <w:szCs w:val="20"/>
          <w:color w:val="auto"/>
        </w:rPr>
      </w:pPr>
    </w:p>
    <w:p>
      <w:pPr>
        <w:jc w:val="both"/>
        <w:ind w:left="1300" w:hanging="320"/>
        <w:spacing w:after="0" w:line="315" w:lineRule="auto"/>
        <w:tabs>
          <w:tab w:leader="none" w:pos="1300"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Salary Payment</w:t>
      </w:r>
      <w:r>
        <w:rPr>
          <w:rFonts w:ascii="Arial" w:cs="Arial" w:eastAsia="Arial" w:hAnsi="Arial"/>
          <w:sz w:val="19"/>
          <w:szCs w:val="19"/>
          <w:b w:val="1"/>
          <w:bCs w:val="1"/>
          <w:color w:val="auto"/>
        </w:rPr>
        <w:t>.</w:t>
      </w:r>
      <w:r>
        <w:rPr>
          <w:rFonts w:ascii="Arial" w:cs="Arial" w:eastAsia="Arial" w:hAnsi="Arial"/>
          <w:sz w:val="19"/>
          <w:szCs w:val="19"/>
          <w:color w:val="auto"/>
        </w:rPr>
        <w:t xml:space="preserve"> Subject to the terms and conditions of this Agreement, Executive will receive a payment of One Million, Two Hundred Fifty Thousand Dollars ($1,250,000), less standard withholdings and authorized deductions, which represents a payment equal to twenty-four (24) months of Executive’s salary (“Salary Payment”).</w:t>
      </w:r>
    </w:p>
    <w:p>
      <w:pPr>
        <w:spacing w:after="0" w:line="172" w:lineRule="exact"/>
        <w:rPr>
          <w:rFonts w:ascii="Arial" w:cs="Arial" w:eastAsia="Arial" w:hAnsi="Arial"/>
          <w:sz w:val="19"/>
          <w:szCs w:val="19"/>
          <w:color w:val="auto"/>
        </w:rPr>
      </w:pPr>
    </w:p>
    <w:p>
      <w:pPr>
        <w:jc w:val="both"/>
        <w:ind w:left="1300" w:hanging="320"/>
        <w:spacing w:after="0" w:line="259" w:lineRule="auto"/>
        <w:tabs>
          <w:tab w:leader="none" w:pos="1300" w:val="left"/>
        </w:tabs>
        <w:numPr>
          <w:ilvl w:val="1"/>
          <w:numId w:val="65"/>
        </w:numPr>
        <w:rPr>
          <w:rFonts w:ascii="Arial" w:cs="Arial" w:eastAsia="Arial" w:hAnsi="Arial"/>
          <w:sz w:val="21"/>
          <w:szCs w:val="21"/>
          <w:color w:val="auto"/>
        </w:rPr>
      </w:pPr>
      <w:r>
        <w:rPr>
          <w:rFonts w:ascii="Arial" w:cs="Arial" w:eastAsia="Arial" w:hAnsi="Arial"/>
          <w:sz w:val="21"/>
          <w:szCs w:val="21"/>
          <w:u w:val="single" w:color="auto"/>
          <w:color w:val="auto"/>
        </w:rPr>
        <w:t>COBRA Payment</w:t>
      </w:r>
      <w:r>
        <w:rPr>
          <w:rFonts w:ascii="Arial" w:cs="Arial" w:eastAsia="Arial" w:hAnsi="Arial"/>
          <w:sz w:val="21"/>
          <w:szCs w:val="21"/>
          <w:color w:val="auto"/>
        </w:rPr>
        <w:t>. Executive shall receive a cash lump sum payment of Twenty-Eight Thousand, Six Hundred Forty-Three Dollars ($28,643), which represents a payment equal to the equivalent of eighteen (18) months’ payment for health care continuation costs under the Consolidated Omnibus Budget Reconciliation Act of 1985 (“COBRA”) (“COBRA Payment”) (presently estimated at $1,591.30 per month), less required tax withholdings and authorized deductions. Executive understands that Executive remains responsible for working with Western Digital’s outside benefits administrator to elect COBRA benefits and must timely elect coverage in order to be eligible for COBRA benefits, should Executive elect COBRA. A COBRA election form and enrollment package will be mailed to Executive’s home address</w:t>
      </w:r>
    </w:p>
    <w:p>
      <w:pPr>
        <w:sectPr>
          <w:pgSz w:w="11900" w:h="16838" w:orient="portrait"/>
          <w:cols w:equalWidth="0" w:num="1">
            <w:col w:w="11420"/>
          </w:cols>
          <w:pgMar w:left="240" w:top="580" w:right="239" w:bottom="1440" w:gutter="0" w:footer="0" w:header="0"/>
        </w:sectPr>
      </w:pPr>
    </w:p>
    <w:bookmarkStart w:id="155" w:name="page156"/>
    <w:bookmarkEnd w:id="155"/>
    <w:p>
      <w:pPr>
        <w:jc w:val="both"/>
        <w:ind w:left="320"/>
        <w:spacing w:after="0" w:line="250" w:lineRule="auto"/>
        <w:rPr>
          <w:sz w:val="20"/>
          <w:szCs w:val="20"/>
          <w:color w:val="auto"/>
        </w:rPr>
      </w:pPr>
      <w:r>
        <w:rPr>
          <w:rFonts w:ascii="Arial" w:cs="Arial" w:eastAsia="Arial" w:hAnsi="Arial"/>
          <w:sz w:val="22"/>
          <w:szCs w:val="22"/>
          <w:color w:val="auto"/>
        </w:rPr>
        <w:t>approximately two weeks after the end of the month in which Executive’s Severance Date occurs. Enrollment is not automatic. Executive understands that Executive must apply within sixty (60) days after the Severance Date or the date of Executive’s notification letter, whichever is later, or Executive will forfeit Executive’s right to COBRA coverage.</w:t>
      </w:r>
    </w:p>
    <w:p>
      <w:pPr>
        <w:spacing w:after="0" w:line="229" w:lineRule="exact"/>
        <w:rPr>
          <w:sz w:val="20"/>
          <w:szCs w:val="20"/>
          <w:color w:val="auto"/>
        </w:rPr>
      </w:pPr>
    </w:p>
    <w:p>
      <w:pPr>
        <w:jc w:val="both"/>
        <w:ind w:left="320" w:hanging="320"/>
        <w:spacing w:after="0" w:line="287" w:lineRule="auto"/>
        <w:tabs>
          <w:tab w:leader="none" w:pos="32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ICP Bonus</w:t>
      </w:r>
      <w:r>
        <w:rPr>
          <w:rFonts w:ascii="Arial" w:cs="Arial" w:eastAsia="Arial" w:hAnsi="Arial"/>
          <w:sz w:val="19"/>
          <w:szCs w:val="19"/>
          <w:color w:val="auto"/>
        </w:rPr>
        <w:t>. Executive acknowledges and agrees that he has been paid all bonuses he is owed by Western Digital through the Severance Date. Assuming a Severance Date of March 25, 2017, for the bonus cycle comprising the Second Half of Fiscal Year 2017 (the period of December 31, 2016 - June 30, 2017), Executive shall receive a payment in the amount of One Hundred Sixty Thousand, Five Hundred Forty-Three Dollars ($160,543), less standard withholding and authorized deductions, which represents a payment equal to Executive’s prorated bonus opportunity under the Incentive Compensation Plan (“ICP”) for the bonus cycle for the Second Half of Fiscal Year 2017, assuming 100% of the performance targets are met regardless of the actual funding by Western Digital. In the event the Severance Date occurs earlier than March 25, 2017, the payment under this Section 2.C. shall be an amount equal to Executive’s prorated bonus opportunity under the ICP for the bonus cycle in which the Severance Date occurs, assuming 100% of the performance targets are met regardless of actual funding by Western Digital, prorated based on the number of days from the beginning of the bonus cycle through the Severance Date, as determined by Western Digital. Executive will not be entitled to additional payments under the ICP.</w:t>
      </w:r>
    </w:p>
    <w:p>
      <w:pPr>
        <w:spacing w:after="0" w:line="200" w:lineRule="exact"/>
        <w:rPr>
          <w:rFonts w:ascii="Arial" w:cs="Arial" w:eastAsia="Arial" w:hAnsi="Arial"/>
          <w:sz w:val="19"/>
          <w:szCs w:val="19"/>
          <w:color w:val="auto"/>
        </w:rPr>
      </w:pPr>
    </w:p>
    <w:p>
      <w:pPr>
        <w:jc w:val="both"/>
        <w:ind w:left="320" w:hanging="320"/>
        <w:spacing w:after="0" w:line="286" w:lineRule="auto"/>
        <w:tabs>
          <w:tab w:leader="none" w:pos="32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Options</w:t>
      </w:r>
      <w:r>
        <w:rPr>
          <w:rFonts w:ascii="Arial" w:cs="Arial" w:eastAsia="Arial" w:hAnsi="Arial"/>
          <w:sz w:val="19"/>
          <w:szCs w:val="19"/>
          <w:color w:val="auto"/>
        </w:rPr>
        <w:t>. On the Severance Date, Executive’s then outstanding stock options will vest and become exercisable as to any such stock options that would have vested if Executive had remained employed with Western Digital through the date that is six months following the Severance Date (assuming a Severance Date of March 25, 2017, such date would be September 25, 2017). Notwithstanding anything to the contrary herein, the exercisability of Executive’s outstanding stock options shall continue to be governed by the stock incentive plans and stock option agreements applicable to such options. To the extent that any stock option is exercisable by the Executive on the Executive’s Severance Date, it may be exercised by the Executive at any time within three months following the Executive’s Severance Date (subject to earlier termination at the end of the option term or in connection with a change in control of Western Digital as provided in the applicable option documentation). Any stock option, to the extent it is exercisable for the three-month period following the Executive’s Severance Date and not exercised during such period, shall terminate at the close of business on the last day of the three-month period. Notwithstanding anything to the contrary herein, Executive shall not be entitled to any further continued vesting under any stock option award following the Severance Date, and the Severance Date shall be deemed to be Executive’s “Severance Date” for purposes of any outstanding stock option award agreements; provided, that, this paragraph shall not be deemed to override any applicable vesting due to Executive’s “retirement” eligibility pursuant to the terms and conditions set forth in Executive’s stock option award agreement(s).</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jc w:val="both"/>
        <w:ind w:left="320" w:hanging="320"/>
        <w:spacing w:after="0" w:line="260" w:lineRule="auto"/>
        <w:tabs>
          <w:tab w:leader="none" w:pos="32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Time-Vested Restricted Stock Units</w:t>
      </w:r>
      <w:r>
        <w:rPr>
          <w:rFonts w:ascii="Arial" w:cs="Arial" w:eastAsia="Arial" w:hAnsi="Arial"/>
          <w:sz w:val="21"/>
          <w:szCs w:val="21"/>
          <w:color w:val="auto"/>
        </w:rPr>
        <w:t>. On the Severance Date, Executive’s then outstanding and unvested time-based restricted stock units will vest and become payable as to any such units that would have vested if Executive had remained employed with Western Digital through the date that is six months following the Severance Date (assuming a Severance Date of March 25, 2017, such date would be September 25, 2017). Executive will be subject to any applicable tax withholdings on this income. Notwithstanding anything to the contrary herein, Executive shall not be entitled to any further continued vesting under any restricted stock unit award following the Severance Date unless specifically provided pursuant to the terms and conditions</w:t>
      </w:r>
    </w:p>
    <w:p>
      <w:pPr>
        <w:sectPr>
          <w:pgSz w:w="11900" w:h="16838" w:orient="portrait"/>
          <w:cols w:equalWidth="0" w:num="1">
            <w:col w:w="10440"/>
          </w:cols>
          <w:pgMar w:left="1220" w:top="591" w:right="239" w:bottom="1440" w:gutter="0" w:footer="0" w:header="0"/>
        </w:sectPr>
      </w:pPr>
    </w:p>
    <w:bookmarkStart w:id="156" w:name="page157"/>
    <w:bookmarkEnd w:id="156"/>
    <w:p>
      <w:pPr>
        <w:ind w:left="1300"/>
        <w:spacing w:after="0" w:line="263" w:lineRule="auto"/>
        <w:rPr>
          <w:sz w:val="20"/>
          <w:szCs w:val="20"/>
          <w:color w:val="auto"/>
        </w:rPr>
      </w:pPr>
      <w:r>
        <w:rPr>
          <w:rFonts w:ascii="Arial" w:cs="Arial" w:eastAsia="Arial" w:hAnsi="Arial"/>
          <w:sz w:val="22"/>
          <w:szCs w:val="22"/>
          <w:color w:val="auto"/>
        </w:rPr>
        <w:t>of such award agreement, and the Severance Date shall be deemed to be Executive’s “Severance Date” for purposes of any outstanding restricted stock unit award agreements.</w:t>
      </w:r>
    </w:p>
    <w:p>
      <w:pPr>
        <w:spacing w:after="0" w:line="215" w:lineRule="exact"/>
        <w:rPr>
          <w:sz w:val="20"/>
          <w:szCs w:val="20"/>
          <w:color w:val="auto"/>
        </w:rPr>
      </w:pPr>
    </w:p>
    <w:p>
      <w:pPr>
        <w:jc w:val="both"/>
        <w:ind w:left="1300" w:hanging="320"/>
        <w:spacing w:after="0" w:line="290" w:lineRule="auto"/>
        <w:tabs>
          <w:tab w:leader="none" w:pos="130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Performance-Based Restricted Stock Units (“PSUs”)</w:t>
      </w:r>
      <w:r>
        <w:rPr>
          <w:rFonts w:ascii="Arial" w:cs="Arial" w:eastAsia="Arial" w:hAnsi="Arial"/>
          <w:sz w:val="19"/>
          <w:szCs w:val="19"/>
          <w:color w:val="auto"/>
        </w:rPr>
        <w:t>. On the Severance Date, Executive’s then outstanding and unvested PSUs granted on August 4, 2015 shall become fully vested and payable at the target number of stock units (9,682 PSUs), in accordance with Section 8(b) of the Notice of Grant of Stock Units and Stock Unit Award Agreement - Executives and Standard Terms and Conditions for Performance Stock Unit Awards - Executives, dated as of August 4, 2015. Executive will be subject to any applicable tax withholdings on this income. For the avoidance of doubt, on the Severance Date, Executive’s then outstanding and unvested PSUs granted on March 7, 2016 will forfeit and terminate without any further vesting or payment thereof in accordance with Section 8(b) of the Standard Terms and Conditions for Performance Stock Unit Awards - Executives, dated as of March 7, 2016.</w:t>
      </w:r>
    </w:p>
    <w:p>
      <w:pPr>
        <w:spacing w:after="0" w:line="197" w:lineRule="exact"/>
        <w:rPr>
          <w:rFonts w:ascii="Arial" w:cs="Arial" w:eastAsia="Arial" w:hAnsi="Arial"/>
          <w:sz w:val="19"/>
          <w:szCs w:val="19"/>
          <w:color w:val="auto"/>
        </w:rPr>
      </w:pPr>
    </w:p>
    <w:p>
      <w:pPr>
        <w:jc w:val="both"/>
        <w:ind w:left="1300" w:hanging="320"/>
        <w:spacing w:after="0" w:line="259" w:lineRule="auto"/>
        <w:tabs>
          <w:tab w:leader="none" w:pos="1300"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A maximum of twelve (12) months in outplacement services provided by a vendor approved by Western Digital in its sole discretion for the level and amount of services for which Executive is eligible under Western Digital’s outplacement services policy, for the use of Executive only (“Outplacement Services”). These services are not transferable or assignable to any other person. Executive is not entitled to the cash value of these services, which must be commenced within 30 days of the Severance Date. Executive’s right to the Outplacement Services shall not be subject to liquidation or exchange for another benefit, and the amount of Outplacement Services that Executive receives in one taxable year shall not affect the amount of Outplacement Services that Executive receives in any other taxable year.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By signing this Agreement, Executive acknowledges and agrees that Executive shall not accrue or be entitled to any payments or benefits beyond the Severance Date except for the Separation Benefits listed in this Section 2 of the Agreement. Executive and Western Digital agree that the provision in section 6.1 of the Western Digital Corporation Executive Severance Plan which states “or on account of the Executive’s death or disability (as defined in Section 22 (e)(3) of the Code” is not applicable to Executive for purposes of this Agreement and the Executive Severance Plan. Executive acknowledges that the Separation Benefits are an additional benefit beyond that to which Executive is entitled to, and given in consideration for Executive’s promises in this Agreement and the Separation Release, and that such Separation Benefits are contingent upon Executive’s execution of this Agreement and the Separation Release. The Separation Benefits are inclusive of any and all of Executive’s incurred or alleged fees, expenses, and/or costs which relate in any way to Western Digital, including attorney’s fees.</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amount of the Salary Payment, COBRA Payment, and ICP bonus payment will be reported on Executive’s Form W-2 as income. In addition, amounts relating to the vesting of restricted stock units and exercises of certain stock options will be reported on Executive’s Form W-2 as income.</w:t>
      </w:r>
    </w:p>
    <w:p>
      <w:pPr>
        <w:spacing w:after="0" w:line="186" w:lineRule="exact"/>
        <w:rPr>
          <w:sz w:val="20"/>
          <w:szCs w:val="20"/>
          <w:color w:val="auto"/>
        </w:rPr>
      </w:pPr>
    </w:p>
    <w:p>
      <w:pPr>
        <w:ind w:left="1460" w:hanging="804"/>
        <w:spacing w:after="0"/>
        <w:tabs>
          <w:tab w:leader="none" w:pos="146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General Release By Executive</w:t>
      </w:r>
    </w:p>
    <w:p>
      <w:pPr>
        <w:spacing w:after="0" w:line="260" w:lineRule="exact"/>
        <w:rPr>
          <w:rFonts w:ascii="Arial" w:cs="Arial" w:eastAsia="Arial" w:hAnsi="Arial"/>
          <w:sz w:val="22"/>
          <w:szCs w:val="22"/>
          <w:color w:val="auto"/>
        </w:rPr>
      </w:pPr>
    </w:p>
    <w:p>
      <w:pPr>
        <w:jc w:val="both"/>
        <w:ind w:left="1300" w:hanging="320"/>
        <w:spacing w:after="0" w:line="261" w:lineRule="auto"/>
        <w:tabs>
          <w:tab w:leader="none" w:pos="1300" w:val="left"/>
        </w:tabs>
        <w:numPr>
          <w:ilvl w:val="1"/>
          <w:numId w:val="68"/>
        </w:numPr>
        <w:rPr>
          <w:rFonts w:ascii="Arial" w:cs="Arial" w:eastAsia="Arial" w:hAnsi="Arial"/>
          <w:sz w:val="21"/>
          <w:szCs w:val="21"/>
          <w:color w:val="auto"/>
        </w:rPr>
      </w:pPr>
      <w:r>
        <w:rPr>
          <w:rFonts w:ascii="Arial" w:cs="Arial" w:eastAsia="Arial" w:hAnsi="Arial"/>
          <w:sz w:val="21"/>
          <w:szCs w:val="21"/>
          <w:color w:val="auto"/>
        </w:rPr>
        <w:t>Executive understands and agrees that, by signing this Agreement, in exchange for the Separation Benefits that Executive will receive under Section 2 above, Executive is waiving, releasing and discharging, and promising not to sue, Western Digital Corporation and each and all of its divisions, subsidiaries, parents, predecessors, successors, assigns, and affiliated or related corporations and entities, past and present, including but not limited to Western Digital Technologies, Inc., Western Digital (Fremont), LLC, WD Media, LLC, and HGST, Inc., as well as each and all of its and their owners, trustees, officers, directors, managers,</w:t>
      </w:r>
    </w:p>
    <w:p>
      <w:pPr>
        <w:sectPr>
          <w:pgSz w:w="11900" w:h="16838" w:orient="portrait"/>
          <w:cols w:equalWidth="0" w:num="1">
            <w:col w:w="11420"/>
          </w:cols>
          <w:pgMar w:left="240" w:top="591" w:right="239" w:bottom="1440" w:gutter="0" w:footer="0" w:header="0"/>
        </w:sectPr>
      </w:pPr>
    </w:p>
    <w:bookmarkStart w:id="157" w:name="page158"/>
    <w:bookmarkEnd w:id="157"/>
    <w:p>
      <w:pPr>
        <w:jc w:val="both"/>
        <w:ind w:left="320"/>
        <w:spacing w:after="0" w:line="284" w:lineRule="auto"/>
        <w:rPr>
          <w:sz w:val="20"/>
          <w:szCs w:val="20"/>
          <w:color w:val="auto"/>
        </w:rPr>
      </w:pPr>
      <w:r>
        <w:rPr>
          <w:rFonts w:ascii="Arial" w:cs="Arial" w:eastAsia="Arial" w:hAnsi="Arial"/>
          <w:sz w:val="19"/>
          <w:szCs w:val="19"/>
          <w:color w:val="auto"/>
        </w:rPr>
        <w:t xml:space="preserve">shareholders, members, partners, administrators, fiduciaries, representatives, attorneys, assignees, successors, insurers, benefit plans, agents and employees, past and present, and each of them (collectively, “Released Parties”), from and with respect to any and all claims, wages, demands, actions, class actions, rights, liens, agreements, contracts, covenants, suits, causes of action, charges, grievances, obligations, debts, costs, expenses, penalties, attorneys’ fees, damages, judgments, orders and liabilities of any kind, known or unknown, suspected or unsuspected, and whether or not concealed or hidden, arising out of or in any way connected with Executive’s employment relationship with, or the termination of Executive’s employment with, any of the Released Parties, including but in no way limited to, any act or omission committed or omitted prior to the date of execution of this Agreement. This general release of claims includes, but is in no way limited to, any and all wage and hour claims, claims for wrongful discharge, breach of contract, violation of public policy, tort, or violation of any statute, constitution or regulation, including but not limited to any claim under Title VII of the Civil Rights Act of 1964, the Age Discrimination in Employment Act of 1967, as amended (“ADEA”), the Employee Retirement Income Security Act of 1974 (“ERISA”), the Americans with Disabilities Act of 1990, the Older Workers Benefits Protection Act (“OWBPA”), the Fair Labor Standards Act (“FLSA”), the federal </w:t>
      </w:r>
      <w:r>
        <w:rPr>
          <w:rFonts w:ascii="Arial" w:cs="Arial" w:eastAsia="Arial" w:hAnsi="Arial"/>
          <w:sz w:val="19"/>
          <w:szCs w:val="19"/>
          <w:i w:val="1"/>
          <w:iCs w:val="1"/>
          <w:color w:val="auto"/>
        </w:rPr>
        <w:t>Consolidated Omnibus Budget Reconciliation Act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of 1985 </w:t>
      </w:r>
      <w:r>
        <w:rPr>
          <w:rFonts w:ascii="Arial" w:cs="Arial" w:eastAsia="Arial" w:hAnsi="Arial"/>
          <w:sz w:val="19"/>
          <w:szCs w:val="19"/>
          <w:color w:val="auto"/>
        </w:rPr>
        <w:t>(“</w:t>
      </w:r>
      <w:r>
        <w:rPr>
          <w:rFonts w:ascii="Arial" w:cs="Arial" w:eastAsia="Arial" w:hAnsi="Arial"/>
          <w:sz w:val="19"/>
          <w:szCs w:val="19"/>
          <w:i w:val="1"/>
          <w:iCs w:val="1"/>
          <w:color w:val="auto"/>
        </w:rPr>
        <w:t>COBRA”</w:t>
      </w:r>
      <w:r>
        <w:rPr>
          <w:rFonts w:ascii="Arial" w:cs="Arial" w:eastAsia="Arial" w:hAnsi="Arial"/>
          <w:sz w:val="19"/>
          <w:szCs w:val="19"/>
          <w:color w:val="auto"/>
        </w:rPr>
        <w:t>) and Cal-COBRA, the Immigration and Nationality Act section 1324a, the federal Worker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Adjustment and Retraining Notification Act (“WARN”), California WARN Labor Code sections 1400 </w:t>
      </w:r>
      <w:r>
        <w:rPr>
          <w:rFonts w:ascii="Arial" w:cs="Arial" w:eastAsia="Arial" w:hAnsi="Arial"/>
          <w:sz w:val="19"/>
          <w:szCs w:val="19"/>
          <w:i w:val="1"/>
          <w:iCs w:val="1"/>
          <w:color w:val="auto"/>
        </w:rPr>
        <w:t>et seq</w:t>
      </w:r>
      <w:r>
        <w:rPr>
          <w:rFonts w:ascii="Arial" w:cs="Arial" w:eastAsia="Arial" w:hAnsi="Arial"/>
          <w:sz w:val="19"/>
          <w:szCs w:val="19"/>
          <w:color w:val="auto"/>
        </w:rPr>
        <w:t>., the California Fair Employment and Housing Act (“FEHA”), the Family and Medical Leave Act of 1993 (“FMLA”), the California Family Rights Act (“CFRA”), the California Labor Code and Industrial Welfare Commission Wage Orders, or any other federal, state or local laws, regulations or ordinances, and any claim for severance pay, bonus, sick leave, holiday pay, vacation pay, life insurance, health or medical insurance or any other fringe benefit, or disability, and every type of relief (legal, equitable and otherwise) available to Executive, from the beginning of time to the date Executive signs this Agreement.</w:t>
      </w:r>
    </w:p>
    <w:p>
      <w:pPr>
        <w:spacing w:after="0" w:line="200" w:lineRule="exact"/>
        <w:rPr>
          <w:sz w:val="20"/>
          <w:szCs w:val="20"/>
          <w:color w:val="auto"/>
        </w:rPr>
      </w:pPr>
    </w:p>
    <w:p>
      <w:pPr>
        <w:spacing w:after="0" w:line="272" w:lineRule="exact"/>
        <w:rPr>
          <w:sz w:val="20"/>
          <w:szCs w:val="20"/>
          <w:color w:val="auto"/>
        </w:rPr>
      </w:pPr>
    </w:p>
    <w:p>
      <w:pPr>
        <w:jc w:val="both"/>
        <w:ind w:left="320" w:hanging="320"/>
        <w:spacing w:after="0" w:line="286" w:lineRule="auto"/>
        <w:tabs>
          <w:tab w:leader="none" w:pos="3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foregoing release does not extend to Executive’s right to receive (i) any vested rights or benefits under the terms of any “employee benefit plan,” as defined in Section 3(3) of ERISA or any Western Digital nonqualified deferred compensation plan; (ii) Executive’s vested rights, if any, under any stock option grant or stock award pursuant to the terms of such grant agreement or applicable equity award plan; (iii) indemnification under California Labor Code § 2802 California Corporations Code §317, Western Digital’s by-laws, any indemnification agreement between Western Digital and Executive, or any other federal or state statute, law, regulation or provision that confers upon Executive a right to defense or indemnification arising out of the services he performed for Western Digital or any of the Releasees; (iv) claims under the ADEA that may arise after the date Executive signs this Agreement; or (v) any other rights or claims under applicable federal, state or local law that cannot be waived or released by private agreement as a matter of law. Executive understands that nothing in the release shall preclude Executive from filing a claim for unemployment or workers compensation insurance. Executive understands that nothing in this release or agreement shall preclude Executive from filing a charge or complaint with any state or federal government agency or to participate or cooperate in such a matter; Executive agrees, however, to waive and release any right to seek or receive monetary damages resulting from any such charge or complaint or any action or proceeding brought by such government agency.</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ind w:left="320" w:right="20" w:hanging="320"/>
        <w:spacing w:after="0" w:line="263" w:lineRule="auto"/>
        <w:tabs>
          <w:tab w:leader="none" w:pos="3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This general release applies to claims or rights that Executive may possess either individually or as a class member, and Executive waives and releases any right to participate in or receive</w:t>
      </w:r>
    </w:p>
    <w:p>
      <w:pPr>
        <w:sectPr>
          <w:pgSz w:w="11900" w:h="16838" w:orient="portrait"/>
          <w:cols w:equalWidth="0" w:num="1">
            <w:col w:w="10440"/>
          </w:cols>
          <w:pgMar w:left="1220" w:top="591" w:right="239" w:bottom="1440" w:gutter="0" w:footer="0" w:header="0"/>
        </w:sectPr>
      </w:pPr>
    </w:p>
    <w:bookmarkStart w:id="158" w:name="page159"/>
    <w:bookmarkEnd w:id="158"/>
    <w:p>
      <w:pPr>
        <w:ind w:left="320"/>
        <w:spacing w:after="0" w:line="263" w:lineRule="auto"/>
        <w:rPr>
          <w:sz w:val="20"/>
          <w:szCs w:val="20"/>
          <w:color w:val="auto"/>
        </w:rPr>
      </w:pPr>
      <w:r>
        <w:rPr>
          <w:rFonts w:ascii="Arial" w:cs="Arial" w:eastAsia="Arial" w:hAnsi="Arial"/>
          <w:sz w:val="22"/>
          <w:szCs w:val="22"/>
          <w:color w:val="auto"/>
        </w:rPr>
        <w:t>money or benefits from any class action settlement or judgment after the date this Agreement is signed that relates in any way to Executive’s employment with Western Digital.</w:t>
      </w:r>
    </w:p>
    <w:p>
      <w:pPr>
        <w:spacing w:after="0" w:line="215" w:lineRule="exact"/>
        <w:rPr>
          <w:sz w:val="20"/>
          <w:szCs w:val="20"/>
          <w:color w:val="auto"/>
        </w:rPr>
      </w:pPr>
    </w:p>
    <w:p>
      <w:pPr>
        <w:ind w:left="320" w:right="20" w:hanging="320"/>
        <w:spacing w:after="0" w:line="287" w:lineRule="auto"/>
        <w:tabs>
          <w:tab w:leader="none" w:pos="320" w:val="left"/>
        </w:tabs>
        <w:numPr>
          <w:ilvl w:val="0"/>
          <w:numId w:val="70"/>
        </w:numPr>
        <w:rPr>
          <w:rFonts w:ascii="Arial" w:cs="Arial" w:eastAsia="Arial" w:hAnsi="Arial"/>
          <w:sz w:val="21"/>
          <w:szCs w:val="21"/>
          <w:color w:val="auto"/>
        </w:rPr>
      </w:pPr>
      <w:r>
        <w:rPr>
          <w:rFonts w:ascii="Arial" w:cs="Arial" w:eastAsia="Arial" w:hAnsi="Arial"/>
          <w:sz w:val="21"/>
          <w:szCs w:val="21"/>
          <w:color w:val="auto"/>
        </w:rPr>
        <w:t>Regarding claims being released pursuant to this Agreement, this general release is binding on Executive’s heirs, family members, dependents, beneficiaries, executors, administrators, successors and assigns.</w:t>
      </w:r>
    </w:p>
    <w:p>
      <w:pPr>
        <w:spacing w:after="0" w:line="192" w:lineRule="exact"/>
        <w:rPr>
          <w:rFonts w:ascii="Arial" w:cs="Arial" w:eastAsia="Arial" w:hAnsi="Arial"/>
          <w:sz w:val="21"/>
          <w:szCs w:val="21"/>
          <w:color w:val="auto"/>
        </w:rPr>
      </w:pPr>
    </w:p>
    <w:p>
      <w:pPr>
        <w:jc w:val="both"/>
        <w:ind w:left="320" w:hanging="320"/>
        <w:spacing w:after="0" w:line="292" w:lineRule="auto"/>
        <w:tabs>
          <w:tab w:leader="none" w:pos="3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obligations stated in this general release are intended as full and complete satisfaction of any and all claims the Executive has now, or has had in the past. By signing this general release, Executive specifically represents that Executive has made reasonable effort to become fully apprised of the nature and consequences of this general release, and that Executive understands that if any facts with respect to any matter covered by this release are found to be different from the facts Executive now believes to be true, Executive accepts and assumes that risk and agrees that this general release shall be effective notwithstanding such differences. Executive expressly agrees that this release shall extend and apply to all unknown, unsuspected and unanticipated injuries and damages.</w:t>
      </w:r>
    </w:p>
    <w:p>
      <w:pPr>
        <w:spacing w:after="0" w:line="192" w:lineRule="exact"/>
        <w:rPr>
          <w:rFonts w:ascii="Arial" w:cs="Arial" w:eastAsia="Arial" w:hAnsi="Arial"/>
          <w:sz w:val="19"/>
          <w:szCs w:val="19"/>
          <w:color w:val="auto"/>
        </w:rPr>
      </w:pPr>
    </w:p>
    <w:p>
      <w:pPr>
        <w:jc w:val="both"/>
        <w:ind w:left="320" w:hanging="320"/>
        <w:spacing w:after="0" w:line="286" w:lineRule="auto"/>
        <w:tabs>
          <w:tab w:leader="none" w:pos="3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Executive represents and warrants that neither Medicare nor Medicaid has made any payment for medical services or items pursuant to 42 U.S.C. § 1395y and the corresponding regulations, or otherwise, relating to the Released Matter. “Released Matter” means any released accident, occurrence, injury, illness, disease, loss, claim, demand, damages, or matter that is subject to this Agreement and the releases herein. Executive acknowledges and agrees that neither Western Digital nor any of the Released Parties has any obligation or responsibility to reimburse Medicare, Medicaid, the Centers for Medicare and Medicaid Services, or any other entity or person for any past or future injury related medical expenses that have arisen or may hereafter arise out or relate in any way to the Released Matters. Executive acknowledges and agrees that it is Executive’s responsibility alone to reimburse such entities for any payments made on their behalf for such past or future medical expenses, if any, and Executive agrees to indemnify and hold harmless Western Digital and the Released Parties from any and all claims, demands, liens, subrogated interests and/or causes of action of any nature or character that have been or may in the future be asserted by Medicare and/or Medicaid and/or persons acting on behalf of Medicare and/or Medicaid concerning medical, hospital, or other expenses arising of the Released Matters, or concerning any claim based on inaccurate or inadequate information provided by Executive concerning Executive’s status as a Medicare or Medicaid beneficiary.</w:t>
      </w:r>
    </w:p>
    <w:p>
      <w:pPr>
        <w:spacing w:after="0" w:line="203" w:lineRule="exact"/>
        <w:rPr>
          <w:rFonts w:ascii="Arial" w:cs="Arial" w:eastAsia="Arial" w:hAnsi="Arial"/>
          <w:sz w:val="19"/>
          <w:szCs w:val="19"/>
          <w:color w:val="auto"/>
        </w:rPr>
      </w:pPr>
    </w:p>
    <w:p>
      <w:pPr>
        <w:jc w:val="both"/>
        <w:ind w:left="320" w:hanging="320"/>
        <w:spacing w:after="0" w:line="288" w:lineRule="auto"/>
        <w:tabs>
          <w:tab w:leader="none" w:pos="3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Executive promises not to pursue any claim that Executive has settled by this release. If Executive breaks this promise, Executive agrees to pay all of Western Digital’s costs and expenses (including reasonable attorneys’ fees) related to the defense of any claims. Executive understands that nothing in this Agreement shall be deemed to preclude Executive from challenging the knowing and voluntary nature of this release before a court or the Equal Employment Opportunity Commission (“EEOC”), or from filing a charge with the EEOC, the National Labor Relations Board, or any other federal, state or local agency charged with the enforcement of any employment laws. Executive understands, however, that, by signing this release, Executive is waiving the right to monetary recovery based on claims asserted in such a charge or complaint. Executive further understands that nothing in this Agreement prohibits Executive from reporting possible legal or regulatory violations to any governmental or regulatory agency or entity, including but not limited to the Department of Justice, the Securities and Exchange Commission, and any agency Inspector General, or making other</w:t>
      </w:r>
    </w:p>
    <w:p>
      <w:pPr>
        <w:sectPr>
          <w:pgSz w:w="11900" w:h="16838" w:orient="portrait"/>
          <w:cols w:equalWidth="0" w:num="1">
            <w:col w:w="10440"/>
          </w:cols>
          <w:pgMar w:left="1220" w:top="591" w:right="239" w:bottom="1440" w:gutter="0" w:footer="0" w:header="0"/>
        </w:sectPr>
      </w:pPr>
    </w:p>
    <w:bookmarkStart w:id="159" w:name="page160"/>
    <w:bookmarkEnd w:id="159"/>
    <w:p>
      <w:pPr>
        <w:jc w:val="both"/>
        <w:ind w:left="1300"/>
        <w:spacing w:after="0" w:line="253" w:lineRule="auto"/>
        <w:rPr>
          <w:sz w:val="20"/>
          <w:szCs w:val="20"/>
          <w:color w:val="auto"/>
        </w:rPr>
      </w:pPr>
      <w:r>
        <w:rPr>
          <w:rFonts w:ascii="Arial" w:cs="Arial" w:eastAsia="Arial" w:hAnsi="Arial"/>
          <w:sz w:val="22"/>
          <w:szCs w:val="22"/>
          <w:color w:val="auto"/>
        </w:rPr>
        <w:t>reports or disclosures that are protected under federal or state law or regulation. Executive further understands that Executive does not need authorization from Western Digital to make any such reports or disclosures, and Executive is not required to notify Western Digital if Executive does so.</w:t>
      </w:r>
    </w:p>
    <w:p>
      <w:pPr>
        <w:spacing w:after="0" w:line="226" w:lineRule="exact"/>
        <w:rPr>
          <w:sz w:val="20"/>
          <w:szCs w:val="20"/>
          <w:color w:val="auto"/>
        </w:rPr>
      </w:pPr>
    </w:p>
    <w:p>
      <w:pPr>
        <w:jc w:val="both"/>
        <w:ind w:firstLine="656"/>
        <w:spacing w:after="0" w:line="294" w:lineRule="auto"/>
        <w:tabs>
          <w:tab w:leader="none" w:pos="1459"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1542 Waiver</w:t>
      </w:r>
      <w:r>
        <w:rPr>
          <w:rFonts w:ascii="Arial" w:cs="Arial" w:eastAsia="Arial" w:hAnsi="Arial"/>
          <w:sz w:val="19"/>
          <w:szCs w:val="19"/>
          <w:color w:val="auto"/>
        </w:rPr>
        <w:t>. It is Executive’s intention in signing this Agreement that the general release of claims should be effective as a bar to each and every claim, demand and cause of action stated above. In furtherance of this intention, Executive hereby expressly waives any and all rights and benefits conferred upon Executive by the provisions of SECTION 1542 OF THE CALIFORNIA CIVIL CODE and expressly consents that this Agreement shall be given full force and effect according to each and all of its express terms and provisions, including those relating to unknown and unsuspected claims, demands and causes of action, if any, as well as those relating to any other claims, demands and causes of action referred to above. SECTION 1542 provides:</w:t>
      </w:r>
    </w:p>
    <w:p>
      <w:pPr>
        <w:spacing w:after="0" w:line="190"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Executive acknowledges and understands the significance and consequence of such release and such specific waiver of SECTION 1542</w:t>
      </w:r>
    </w:p>
    <w:p>
      <w:pPr>
        <w:spacing w:after="0" w:line="175" w:lineRule="exact"/>
        <w:rPr>
          <w:sz w:val="20"/>
          <w:szCs w:val="20"/>
          <w:color w:val="auto"/>
        </w:rPr>
      </w:pPr>
    </w:p>
    <w:p>
      <w:pPr>
        <w:jc w:val="both"/>
        <w:ind w:firstLine="656"/>
        <w:spacing w:after="0" w:line="260" w:lineRule="auto"/>
        <w:tabs>
          <w:tab w:leader="none" w:pos="1459"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Acknowledgements</w:t>
      </w:r>
      <w:r>
        <w:rPr>
          <w:rFonts w:ascii="Arial" w:cs="Arial" w:eastAsia="Arial" w:hAnsi="Arial"/>
          <w:sz w:val="21"/>
          <w:szCs w:val="21"/>
          <w:color w:val="auto"/>
        </w:rPr>
        <w:t>. Executive acknowledges and agrees that Executive has not suffered any on-the-job injury for which Executive has not already filed a claim, that Executive has been properly provided any leave of absence due to Executive or a family member’s health condition, and that Executive has not been subjected to any improper treatment, conduct or actions due to or related to any request by Executive for or taking of any leave of absence because of Executive’s own or a family member’s health condition, nor has Executive been denied any leave requested under the Family and Medical Leave Act or the California Family Rights Act. Executive has not been retaliated against for reporting any allegations of wrongdoing by Western Digital or its officers, including any allegations of corporate fraud.</w:t>
      </w:r>
    </w:p>
    <w:p>
      <w:pPr>
        <w:spacing w:after="0" w:line="221" w:lineRule="exact"/>
        <w:rPr>
          <w:rFonts w:ascii="Arial" w:cs="Arial" w:eastAsia="Arial" w:hAnsi="Arial"/>
          <w:sz w:val="21"/>
          <w:szCs w:val="21"/>
          <w:color w:val="auto"/>
        </w:rPr>
      </w:pPr>
    </w:p>
    <w:p>
      <w:pPr>
        <w:jc w:val="both"/>
        <w:ind w:firstLine="656"/>
        <w:spacing w:after="0" w:line="284" w:lineRule="auto"/>
        <w:tabs>
          <w:tab w:leader="none" w:pos="1459"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Acceptance and Revocation Rights</w:t>
      </w:r>
      <w:r>
        <w:rPr>
          <w:rFonts w:ascii="Arial" w:cs="Arial" w:eastAsia="Arial" w:hAnsi="Arial"/>
          <w:sz w:val="19"/>
          <w:szCs w:val="19"/>
          <w:color w:val="auto"/>
        </w:rPr>
        <w:t>. Executive is hereby advised (a) to consult with an attorney if Executive desires prior to signing this Agreement, (b) that this Agreement does not waive rights or claims that may arise after it is executed by Executive, and (c) that Executive has had at least twenty-one (21) days in which to consider and accept this Agreement by signing and returning this Agreement to Western Digital. In addition, Executive has a period of seven (7) days following Executive’s execution of this Agreement in which Executive may revoke the Agreement. This Agreement will not become effective or enforceable until the seven (7) day revocation period has passed without revocation. If Executive does not advise Western Digital (by communicating such revocation to the Executive Vice President and Chief Human Resources Officer within such seven</w:t>
      </w:r>
    </w:p>
    <w:p>
      <w:pPr>
        <w:spacing w:after="0" w:line="4" w:lineRule="exact"/>
        <w:rPr>
          <w:rFonts w:ascii="Arial" w:cs="Arial" w:eastAsia="Arial" w:hAnsi="Arial"/>
          <w:sz w:val="19"/>
          <w:szCs w:val="19"/>
          <w:color w:val="auto"/>
        </w:rPr>
      </w:pPr>
    </w:p>
    <w:p>
      <w:pPr>
        <w:ind w:firstLine="8"/>
        <w:spacing w:after="0" w:line="246" w:lineRule="auto"/>
        <w:tabs>
          <w:tab w:leader="none" w:pos="312" w:val="left"/>
        </w:tabs>
        <w:numPr>
          <w:ilvl w:val="0"/>
          <w:numId w:val="73"/>
        </w:numPr>
        <w:rPr>
          <w:rFonts w:ascii="Arial" w:cs="Arial" w:eastAsia="Arial" w:hAnsi="Arial"/>
          <w:sz w:val="22"/>
          <w:szCs w:val="22"/>
          <w:color w:val="auto"/>
        </w:rPr>
      </w:pPr>
      <w:r>
        <w:rPr>
          <w:rFonts w:ascii="Arial" w:cs="Arial" w:eastAsia="Arial" w:hAnsi="Arial"/>
          <w:sz w:val="22"/>
          <w:szCs w:val="22"/>
          <w:color w:val="auto"/>
        </w:rPr>
        <w:t>day period) of Executive’s intent to revoke the Agreement, Executive has waived the right to revoke the Agreement, and it will become effective and enforceable.</w:t>
      </w:r>
    </w:p>
    <w:p>
      <w:pPr>
        <w:spacing w:after="0" w:line="233" w:lineRule="exact"/>
        <w:rPr>
          <w:rFonts w:ascii="Arial" w:cs="Arial" w:eastAsia="Arial" w:hAnsi="Arial"/>
          <w:sz w:val="22"/>
          <w:szCs w:val="22"/>
          <w:color w:val="auto"/>
        </w:rPr>
      </w:pPr>
    </w:p>
    <w:p>
      <w:pPr>
        <w:jc w:val="both"/>
        <w:ind w:firstLine="656"/>
        <w:spacing w:after="0" w:line="265" w:lineRule="auto"/>
        <w:tabs>
          <w:tab w:leader="none" w:pos="1459" w:val="left"/>
        </w:tabs>
        <w:numPr>
          <w:ilvl w:val="1"/>
          <w:numId w:val="73"/>
        </w:numPr>
        <w:rPr>
          <w:rFonts w:ascii="Arial" w:cs="Arial" w:eastAsia="Arial" w:hAnsi="Arial"/>
          <w:sz w:val="21"/>
          <w:szCs w:val="21"/>
          <w:color w:val="auto"/>
        </w:rPr>
      </w:pPr>
      <w:r>
        <w:rPr>
          <w:rFonts w:ascii="Arial" w:cs="Arial" w:eastAsia="Arial" w:hAnsi="Arial"/>
          <w:sz w:val="21"/>
          <w:szCs w:val="21"/>
          <w:u w:val="single" w:color="auto"/>
          <w:color w:val="auto"/>
        </w:rPr>
        <w:t>Denial of Liability</w:t>
      </w:r>
      <w:r>
        <w:rPr>
          <w:rFonts w:ascii="Arial" w:cs="Arial" w:eastAsia="Arial" w:hAnsi="Arial"/>
          <w:sz w:val="21"/>
          <w:szCs w:val="21"/>
          <w:color w:val="auto"/>
        </w:rPr>
        <w:t>. This Agreement does not constitute an admission by Western Digital of any violation of federal, state or local law, ordinance or regulation or of any liability or wrongdoing whatsoever. Neither this Agreement nor anything in this Agreement shall be construed to be or shall be admissible in any proceeding as evidence of liability or wrongdoing by Western Digital. This Agreement may be introduced, however, in any proceeding to enforce the Agreement.</w:t>
      </w:r>
    </w:p>
    <w:p>
      <w:pPr>
        <w:sectPr>
          <w:pgSz w:w="11900" w:h="16838" w:orient="portrait"/>
          <w:cols w:equalWidth="0" w:num="1">
            <w:col w:w="11420"/>
          </w:cols>
          <w:pgMar w:left="240" w:top="591" w:right="239" w:bottom="1440" w:gutter="0" w:footer="0" w:header="0"/>
        </w:sectPr>
      </w:pPr>
    </w:p>
    <w:bookmarkStart w:id="160" w:name="page161"/>
    <w:bookmarkEnd w:id="160"/>
    <w:p>
      <w:pPr>
        <w:jc w:val="both"/>
        <w:ind w:left="-656" w:firstLine="656"/>
        <w:spacing w:after="0" w:line="246" w:lineRule="auto"/>
        <w:tabs>
          <w:tab w:leader="none" w:pos="802"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Executive agrees that the terms and conditions of this Agreement shall remain confidential as between the parties and, unless required by law, Executive shall not disclose them to any other person, other than to Executive’s legal and financial advisors or members of Executive’s immediate family, who shall also be advised of its confidentiality and who shall agree to be bound by this confidentiality agreement. Without limiting the generality of the foregoing, Executive specifically agrees not to disclose information regarding this Agreement to any current or former employee of Western Digital. Executive agrees that disclosure by Executive in violation of the foregoing shall constitute and be treated as a material breach of this Agreement.</w:t>
      </w:r>
    </w:p>
    <w:p>
      <w:pPr>
        <w:spacing w:after="0" w:line="237" w:lineRule="exact"/>
        <w:rPr>
          <w:rFonts w:ascii="Arial" w:cs="Arial" w:eastAsia="Arial" w:hAnsi="Arial"/>
          <w:sz w:val="22"/>
          <w:szCs w:val="22"/>
          <w:color w:val="auto"/>
        </w:rPr>
      </w:pPr>
    </w:p>
    <w:p>
      <w:pPr>
        <w:jc w:val="both"/>
        <w:ind w:left="-656" w:firstLine="656"/>
        <w:spacing w:after="0" w:line="286" w:lineRule="auto"/>
        <w:tabs>
          <w:tab w:leader="none" w:pos="802"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Executive acknowledges that by reason of Executive’s position with Western Digital, Executive has been given access to confidential, trade secret, proprietary or private materials or information regarding Western Digital’s business. Executive represents that Executive has held all such information confidential and will continue to do so, and that Executive will not use such information without the prior written consent of Western Digital. Executive may continue to receive and be entrusted with confidential material through the Severance Date. In addition, Executive agrees that Executive’s obligations under the Employee Invention and Confidentiality Agreement, if Executive is subject to one, or any other similar Western Digital or Released Party agreement or policy relating to confidential information, employee inventions, nonsolicitation, noncompetition, or similar matters to which Executive is now subject (“Surviving Agreements”) continue in effect per the terms of those agreements. Executive represents that Executive has returned all confidential, proprietary and trade secret information within Executive’s possession or control to Western Digital or will make best efforts to do so on or before the Severance Date</w:t>
      </w:r>
      <w:r>
        <w:rPr>
          <w:rFonts w:ascii="Arial" w:cs="Arial" w:eastAsia="Arial" w:hAnsi="Arial"/>
          <w:sz w:val="19"/>
          <w:szCs w:val="19"/>
          <w:i w:val="1"/>
          <w:iCs w:val="1"/>
          <w:color w:val="auto"/>
        </w:rPr>
        <w:t>.</w:t>
      </w:r>
      <w:r>
        <w:rPr>
          <w:rFonts w:ascii="Arial" w:cs="Arial" w:eastAsia="Arial" w:hAnsi="Arial"/>
          <w:sz w:val="19"/>
          <w:szCs w:val="19"/>
          <w:color w:val="auto"/>
        </w:rPr>
        <w:t xml:space="preserve"> Executive understands that confidential trade secrets, proprietary information and confidential business information of Western Digital affects the successful conduct of Western Digital’s business and its goodwill. Executive hereby acknowledges that the sale or unauthorized use or disclosure of any confidential, trade secret, proprietary or private materials or information regarding Western Digital’s business by any means whatsoever shall constitute “Unfair Competition.” Executive agrees that Executive shall not engage in Unfair Competition at any time.</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left="-656" w:firstLine="656"/>
        <w:spacing w:after="0" w:line="292" w:lineRule="auto"/>
        <w:tabs>
          <w:tab w:leader="none" w:pos="91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Executive warrants and represents that Executive will return all company equipment, including, but not limited to, keys or means of access to Western Digital’s facilities or parking structures, computers, cell phones, personal data assistants, and notebooks within Executive’s possession or control, and not previously delivered to Western Digital, on or before Executive’s Severance Date. Executive will also return all information, materials, documents, memoranda, reports, files, samples, books, correspondence, lists, programs, documentation, and/or other related materials produced as a result of Executive’s employment with Western Digital (including copies) within Executive’s possession or control, and not previously delivered to Western Digital, no later than Executive’s Severance Date.</w:t>
      </w:r>
    </w:p>
    <w:p>
      <w:pPr>
        <w:spacing w:after="0" w:line="192" w:lineRule="exact"/>
        <w:rPr>
          <w:rFonts w:ascii="Arial" w:cs="Arial" w:eastAsia="Arial" w:hAnsi="Arial"/>
          <w:sz w:val="19"/>
          <w:szCs w:val="19"/>
          <w:color w:val="auto"/>
        </w:rPr>
      </w:pPr>
    </w:p>
    <w:p>
      <w:pPr>
        <w:jc w:val="both"/>
        <w:ind w:left="-656" w:firstLine="656"/>
        <w:spacing w:after="0" w:line="253" w:lineRule="auto"/>
        <w:tabs>
          <w:tab w:leader="none" w:pos="902"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Soliciting Employees.</w:t>
      </w:r>
      <w:r>
        <w:rPr>
          <w:rFonts w:ascii="Arial" w:cs="Arial" w:eastAsia="Arial" w:hAnsi="Arial"/>
          <w:sz w:val="22"/>
          <w:szCs w:val="22"/>
          <w:color w:val="auto"/>
        </w:rPr>
        <w:t xml:space="preserve"> Executive promises and agrees that he will not, during the twenty-four (24) months following the Severance Date, directly or indirectly solicit any employee of Western Digital to work for any business, individual, partnership, firm, or corporation.</w:t>
      </w:r>
    </w:p>
    <w:p>
      <w:pPr>
        <w:spacing w:after="0" w:line="226" w:lineRule="exact"/>
        <w:rPr>
          <w:rFonts w:ascii="Arial" w:cs="Arial" w:eastAsia="Arial" w:hAnsi="Arial"/>
          <w:sz w:val="22"/>
          <w:szCs w:val="22"/>
          <w:color w:val="auto"/>
        </w:rPr>
      </w:pPr>
    </w:p>
    <w:p>
      <w:pPr>
        <w:jc w:val="both"/>
        <w:ind w:left="-656" w:firstLine="656"/>
        <w:spacing w:after="0" w:line="292" w:lineRule="auto"/>
        <w:tabs>
          <w:tab w:leader="none" w:pos="91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Litigation and Investigation Cooperation</w:t>
      </w:r>
      <w:r>
        <w:rPr>
          <w:rFonts w:ascii="Arial" w:cs="Arial" w:eastAsia="Arial" w:hAnsi="Arial"/>
          <w:sz w:val="19"/>
          <w:szCs w:val="19"/>
          <w:color w:val="auto"/>
        </w:rPr>
        <w:t>. Executive agrees to cooperate with Western Digital regarding any threatened, pending or subsequently filed litigation, claims, or other disputes, or in any investigation or proceeding by any governmental agency or body, involving Western Digital that relate to matters within Executive’s knowledge or responsibility during Executive’s employment with Western Digital. Executive has disclosed to Western Digital’s General Counsel all information within Executive’s knowledge as of the date of this Agreement related to any pending or threated legal matter with which Executive has had any direct or indirect involvement. Furthermore, Executive agrees to cooperate in the prosecution of any claims and lawsuits brought by Western Digital that are currently outstanding or that may in the future</w:t>
      </w:r>
    </w:p>
    <w:p>
      <w:pPr>
        <w:sectPr>
          <w:pgSz w:w="11900" w:h="16838" w:orient="portrait"/>
          <w:cols w:equalWidth="0" w:num="1">
            <w:col w:w="10764"/>
          </w:cols>
          <w:pgMar w:left="896" w:top="591" w:right="239" w:bottom="1440" w:gutter="0" w:footer="0" w:header="0"/>
        </w:sectPr>
      </w:pPr>
    </w:p>
    <w:bookmarkStart w:id="161" w:name="page162"/>
    <w:bookmarkEnd w:id="161"/>
    <w:p>
      <w:pPr>
        <w:jc w:val="both"/>
        <w:spacing w:after="0" w:line="294" w:lineRule="auto"/>
        <w:rPr>
          <w:sz w:val="20"/>
          <w:szCs w:val="20"/>
          <w:color w:val="auto"/>
        </w:rPr>
      </w:pPr>
      <w:r>
        <w:rPr>
          <w:rFonts w:ascii="Arial" w:cs="Arial" w:eastAsia="Arial" w:hAnsi="Arial"/>
          <w:sz w:val="19"/>
          <w:szCs w:val="19"/>
          <w:color w:val="auto"/>
        </w:rPr>
        <w:t>be brought relating to matters which occurred during or prior to the term of Executive’s employment with Western Digital. Without limiting the foregoing, Executive agrees (a) to meet with Western Digital representatives, its counsel, or other designees at mutually convenient times and places with respect to any items with the scope of this provision; (b) to provide truthful testimony regarding same to any court, agency, or other adjudicatory body; and (c) to provide Western Digital with notice of contact by any adverse party or such adverse party’s representative, except as may be required by law. Western Digital will reimburse Executive for all reasonable expenses in connection with the assistance and cooperation described in this paragraph.</w:t>
      </w:r>
    </w:p>
    <w:p>
      <w:pPr>
        <w:spacing w:after="0" w:line="190" w:lineRule="exact"/>
        <w:rPr>
          <w:sz w:val="20"/>
          <w:szCs w:val="20"/>
          <w:color w:val="auto"/>
        </w:rPr>
      </w:pPr>
    </w:p>
    <w:p>
      <w:pPr>
        <w:jc w:val="both"/>
        <w:ind w:firstLine="656"/>
        <w:spacing w:after="0" w:line="289" w:lineRule="auto"/>
        <w:tabs>
          <w:tab w:leader="none" w:pos="1567"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Intellectual Property Assistance</w:t>
      </w:r>
      <w:r>
        <w:rPr>
          <w:rFonts w:ascii="Arial" w:cs="Arial" w:eastAsia="Arial" w:hAnsi="Arial"/>
          <w:sz w:val="19"/>
          <w:szCs w:val="19"/>
          <w:color w:val="auto"/>
        </w:rPr>
        <w:t>. Executive agrees to execute every lawful document that Western Digital requests him to execute (whether or not during Executive’s employment with Western Digital) in connection with the protection of Western Digital’s intellectual property rights. Such lawful documents include, but are not limited to, declarations and assignments including declarations of inventorship for filing and prosecuting patent applications on inventions, assignments to show title to such inventions and patent applications in Western Digital or Western Digital’s designee, and assignments to show title to works of authorship and applications for copyright registration. Executive agrees that Executive shall give such further assistance, including but not limited to information and testimony pursuant to Western Digital’s request (whether or not after Executive’s Severance Date) in connection with its defense, assertion, or protection of Western Digital’s intellectual property rights. Western Digital shall reimburse Executive for all reasonable out of pocket expenses incurred in providing assistance pursuant to this provision.</w:t>
      </w:r>
    </w:p>
    <w:p>
      <w:pPr>
        <w:spacing w:after="0" w:line="198" w:lineRule="exact"/>
        <w:rPr>
          <w:rFonts w:ascii="Arial" w:cs="Arial" w:eastAsia="Arial" w:hAnsi="Arial"/>
          <w:sz w:val="19"/>
          <w:szCs w:val="19"/>
          <w:color w:val="auto"/>
        </w:rPr>
      </w:pPr>
    </w:p>
    <w:p>
      <w:pPr>
        <w:jc w:val="both"/>
        <w:ind w:firstLine="656"/>
        <w:spacing w:after="0" w:line="257" w:lineRule="auto"/>
        <w:tabs>
          <w:tab w:leader="none" w:pos="1567"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Executive agrees that Executive shall not (a) directly or indirectly, make or ratify any statement, public or private, oral or written, to any person that disparages, either professionally or personally, Western Digital, as well as its directors, officers, and employees, past and present, and each of them, in each such case in his or her capacity as a service provider to Western Digital, or (b) make any statement or engage in any conduct that has the purpose of materially disrupting the business of Western Digital. Western Digital shall advise the following executives: Stephen Milligan, Michael Cordano, Jacqueline DeMaria, Mark Long, Jerald Kagele and Michael Ray not to directly or indirectly make any disparaging statement or ratify any public or private, oral or written disparaging statement regarding Executive so long as they remain employed by Western Digital. In the event Western Digital receives inquiries from potential employers regarding Executive, Western Digital will provide only Executive’s dates of employment, position history, and compensation. Executive agrees that Executive will direct all reference inquiries to Western Digital’s third-party verification service, The Work Number. Nothing herein shall in any way prohibit Executive or Western Digital from disclosing such information as may be required by law, or by judicial or administrative process or order or the rules of any securities exchange or similar self-regulatory organization applicable to Executive or Western Digital.</w:t>
      </w:r>
    </w:p>
    <w:p>
      <w:pPr>
        <w:spacing w:after="0" w:line="230" w:lineRule="exact"/>
        <w:rPr>
          <w:rFonts w:ascii="Arial" w:cs="Arial" w:eastAsia="Arial" w:hAnsi="Arial"/>
          <w:sz w:val="21"/>
          <w:szCs w:val="21"/>
          <w:color w:val="auto"/>
        </w:rPr>
      </w:pPr>
    </w:p>
    <w:p>
      <w:pPr>
        <w:jc w:val="both"/>
        <w:ind w:firstLine="656"/>
        <w:spacing w:after="0" w:line="247" w:lineRule="auto"/>
        <w:tabs>
          <w:tab w:leader="none" w:pos="1567"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Repayment Provision Upon Re-employment.</w:t>
      </w:r>
      <w:r>
        <w:rPr>
          <w:rFonts w:ascii="Arial" w:cs="Arial" w:eastAsia="Arial" w:hAnsi="Arial"/>
          <w:sz w:val="22"/>
          <w:szCs w:val="22"/>
          <w:color w:val="auto"/>
        </w:rPr>
        <w:t xml:space="preserve"> Executive agrees to repay Western Digital a pro rata portion of the Separation Benefits paid to Executive under Section 2 of this Agreement if Executive obtains re-employment with Western Digital, including any of its related entities, within the period of time after execution of the Agreement as set forth in Section 2 for which Western Digital contemplates paying Executive Separation Benefits. For example, if Executive is paid two weeks of Separation Benefits, but is reemployed by Western Digital one week after Executive’s Severance Date, Executive must repay one week of Separation Benefits to Western Digital.</w:t>
      </w:r>
    </w:p>
    <w:p>
      <w:pPr>
        <w:spacing w:after="0" w:line="234" w:lineRule="exact"/>
        <w:rPr>
          <w:rFonts w:ascii="Arial" w:cs="Arial" w:eastAsia="Arial" w:hAnsi="Arial"/>
          <w:sz w:val="22"/>
          <w:szCs w:val="22"/>
          <w:color w:val="auto"/>
        </w:rPr>
      </w:pPr>
    </w:p>
    <w:p>
      <w:pPr>
        <w:jc w:val="both"/>
        <w:ind w:firstLine="656"/>
        <w:spacing w:after="0" w:line="250" w:lineRule="auto"/>
        <w:tabs>
          <w:tab w:leader="none" w:pos="1567"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Warranty Regarding Non-Assignment</w:t>
      </w:r>
      <w:r>
        <w:rPr>
          <w:rFonts w:ascii="Arial" w:cs="Arial" w:eastAsia="Arial" w:hAnsi="Arial"/>
          <w:sz w:val="22"/>
          <w:szCs w:val="22"/>
          <w:color w:val="auto"/>
        </w:rPr>
        <w:t>. Executive warrants and represents that Executive has not heretofore assigned or transferred to any person not a party to this Agreement any released matter or any part or portion thereof and Executive shall defend, indemnify and hold harmless Western Digital from and against any claim (including the payment of attorneys’ fees and costs actually incurred whether or not litigation</w:t>
      </w:r>
    </w:p>
    <w:p>
      <w:pPr>
        <w:sectPr>
          <w:pgSz w:w="11900" w:h="16838" w:orient="portrait"/>
          <w:cols w:equalWidth="0" w:num="1">
            <w:col w:w="11420"/>
          </w:cols>
          <w:pgMar w:left="240" w:top="591" w:right="23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color w:val="auto"/>
        </w:rPr>
        <w:t>is commenced) based on or in connection with or arising out of any such assignment or transfer made, purported or claimed.</w:t>
      </w:r>
    </w:p>
    <w:p>
      <w:pPr>
        <w:spacing w:after="0" w:line="295" w:lineRule="exact"/>
        <w:rPr>
          <w:sz w:val="20"/>
          <w:szCs w:val="20"/>
          <w:color w:val="auto"/>
        </w:rPr>
      </w:pPr>
    </w:p>
    <w:p>
      <w:pPr>
        <w:jc w:val="both"/>
        <w:ind w:firstLine="656"/>
        <w:spacing w:after="0" w:line="312" w:lineRule="auto"/>
        <w:tabs>
          <w:tab w:leader="none" w:pos="156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Termination of Relationship</w:t>
      </w:r>
      <w:r>
        <w:rPr>
          <w:rFonts w:ascii="Arial" w:cs="Arial" w:eastAsia="Arial" w:hAnsi="Arial"/>
          <w:sz w:val="19"/>
          <w:szCs w:val="19"/>
          <w:color w:val="auto"/>
        </w:rPr>
        <w:t>. Executive and Western Digital acknowledge that any employment or contractual relationship between them shall terminate on the Severance Date, and that they have no further employment or contractual relationship except as may arise out of this Agreement and Executive’s continued obligations under the Surviving Agreements.</w:t>
      </w:r>
    </w:p>
    <w:p>
      <w:pPr>
        <w:spacing w:after="0" w:line="174" w:lineRule="exact"/>
        <w:rPr>
          <w:rFonts w:ascii="Arial" w:cs="Arial" w:eastAsia="Arial" w:hAnsi="Arial"/>
          <w:sz w:val="19"/>
          <w:szCs w:val="19"/>
          <w:color w:val="auto"/>
        </w:rPr>
      </w:pPr>
    </w:p>
    <w:p>
      <w:pPr>
        <w:jc w:val="both"/>
        <w:ind w:firstLine="656"/>
        <w:spacing w:after="0" w:line="286" w:lineRule="auto"/>
        <w:tabs>
          <w:tab w:leader="none" w:pos="156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Warranty Regarding Taxes</w:t>
      </w:r>
      <w:r>
        <w:rPr>
          <w:rFonts w:ascii="Arial" w:cs="Arial" w:eastAsia="Arial" w:hAnsi="Arial"/>
          <w:sz w:val="19"/>
          <w:szCs w:val="19"/>
          <w:color w:val="auto"/>
        </w:rPr>
        <w:t>. Executive agrees that Executive shall be exclusively and fully liable for the payment of any and all federal, state, and local taxes which may be due, and tax consequences, including interest and penalties, if any, as the result of the consideration received as set forth herein. Executive agrees to indemnify Western Digital for, and to hold Western Digital harmless from, any obligation, liability, taxes, penalties, costs or attorney’s fees (collectively, the “Tax Liability”) it may incur in connection with the failure to withhold any tax, social security, FICA, or any other amounts associated with the above-referenced payment, except to the extent such Tax Liability directly results from Western Digital’s gross negligence in connection with the failure to properly withhold or report any tax, social security, FICA or other amounts associated with the above-referenced payment. Executive has not relied upon any advice from Western Digital as to the taxability of any payments hereunder, whether pursuant to federal, state or local income tax statutes or otherwise. Executive acknowledges that Western Digital does not make and has not made any representations regarding the taxability of the payment to Executive, and Executive has not relied upon any representation or advice by Western Digital on that subject. It is intended that the terms of this Agreement will not result in the imposition of any tax liability pursuant to Section 409A of the Internal Revenue Code of 1986, as amended. This Agreement shall be construed and interpreted consistent with that intent so as to avoid the imputation of any additional tax, penalty or interest under Section 409A of the Internal Revenue Code yet preserve (to the nearest extent possible) the intended benefit payable to the Executive.</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firstLine="656"/>
        <w:spacing w:after="0" w:line="263" w:lineRule="auto"/>
        <w:tabs>
          <w:tab w:leader="none" w:pos="1567"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Severability and Enforceability</w:t>
      </w:r>
      <w:r>
        <w:rPr>
          <w:rFonts w:ascii="Arial" w:cs="Arial" w:eastAsia="Arial" w:hAnsi="Arial"/>
          <w:sz w:val="21"/>
          <w:szCs w:val="21"/>
          <w:color w:val="auto"/>
        </w:rPr>
        <w:t>. If any provision of this Agreement or its application is held invalid, the invalidity shall not affect other provisions or applications of the Agreement which can be given effect without the invalid provision or application and, therefore, the provisions of this Agreement are declared to be severable. The parties agree that a waiver of a breach by the other party shall not operate or be construed as a waiver by that party of any subsequent breach of like or similar kind. No waiver shall be binding unless in writing and signed by the party waiving the breach.</w:t>
      </w:r>
    </w:p>
    <w:p>
      <w:pPr>
        <w:spacing w:after="0" w:line="216" w:lineRule="exact"/>
        <w:rPr>
          <w:rFonts w:ascii="Arial" w:cs="Arial" w:eastAsia="Arial" w:hAnsi="Arial"/>
          <w:sz w:val="21"/>
          <w:szCs w:val="21"/>
          <w:color w:val="auto"/>
        </w:rPr>
      </w:pPr>
    </w:p>
    <w:p>
      <w:pPr>
        <w:jc w:val="both"/>
        <w:ind w:firstLine="656"/>
        <w:spacing w:after="0" w:line="290" w:lineRule="auto"/>
        <w:tabs>
          <w:tab w:leader="none" w:pos="156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Integration Clause</w:t>
      </w:r>
      <w:r>
        <w:rPr>
          <w:rFonts w:ascii="Arial" w:cs="Arial" w:eastAsia="Arial" w:hAnsi="Arial"/>
          <w:sz w:val="19"/>
          <w:szCs w:val="19"/>
          <w:color w:val="auto"/>
        </w:rPr>
        <w:t>. This Agreement, the Separation Release, the Surviving Agreements, and the applicable equity award plans and award agreements governing outstanding equity awards (collectively, the “Integrated Agreements”) constitute and contain the entire agreement and understanding concerning Executive’s employment and the other matters addressed herein. The parties intend the Integrated Agreements to be a complete and exclusive statement of the terms of their agreement. The parties represent and acknowledge that they do not rely and have not relied upon any representation or statement not set forth in this Agreement. The Integrated Agreements supersede and replace all prior negotiations and agreements, proposed or otherwise, whether written or oral, between the parties concerning the subject matters contained herein. This is a fully integrated document. This Agreement may be modified only with a written instrument executed by both parties.</w:t>
      </w:r>
    </w:p>
    <w:p>
      <w:pPr>
        <w:spacing w:after="0" w:line="197" w:lineRule="exact"/>
        <w:rPr>
          <w:rFonts w:ascii="Arial" w:cs="Arial" w:eastAsia="Arial" w:hAnsi="Arial"/>
          <w:sz w:val="19"/>
          <w:szCs w:val="19"/>
          <w:color w:val="auto"/>
        </w:rPr>
      </w:pPr>
    </w:p>
    <w:p>
      <w:pPr>
        <w:jc w:val="both"/>
        <w:ind w:firstLine="656"/>
        <w:spacing w:after="0" w:line="253" w:lineRule="auto"/>
        <w:tabs>
          <w:tab w:leader="none" w:pos="156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and each counterpart, when executed, shall have the efficacy of a signed original. Photographic and facsimile copies of such signed counterparts may be used in lieu of the originals for any purpose.</w:t>
      </w:r>
    </w:p>
    <w:p>
      <w:pPr>
        <w:sectPr>
          <w:pgSz w:w="11900" w:h="16838" w:orient="portrait"/>
          <w:cols w:equalWidth="0" w:num="1">
            <w:col w:w="11420"/>
          </w:cols>
          <w:pgMar w:left="240" w:top="591" w:right="239" w:bottom="1440" w:gutter="0" w:footer="0" w:header="0"/>
        </w:sectPr>
      </w:pPr>
    </w:p>
    <w:bookmarkStart w:id="163" w:name="page164"/>
    <w:bookmarkEnd w:id="163"/>
    <w:p>
      <w:pPr>
        <w:ind w:left="-656" w:firstLine="656"/>
        <w:spacing w:after="0" w:line="263" w:lineRule="auto"/>
        <w:tabs>
          <w:tab w:leader="none" w:pos="91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Advice of Counsel</w:t>
      </w:r>
      <w:r>
        <w:rPr>
          <w:rFonts w:ascii="Arial" w:cs="Arial" w:eastAsia="Arial" w:hAnsi="Arial"/>
          <w:sz w:val="22"/>
          <w:szCs w:val="22"/>
          <w:color w:val="auto"/>
        </w:rPr>
        <w:t>. In entering this Agreement, the parties represent that they have had the opportunity to seek the advice of counsel of their choosing prior to executing this Agreement.</w:t>
      </w:r>
    </w:p>
    <w:p>
      <w:pPr>
        <w:spacing w:after="0" w:line="215" w:lineRule="exact"/>
        <w:rPr>
          <w:rFonts w:ascii="Arial" w:cs="Arial" w:eastAsia="Arial" w:hAnsi="Arial"/>
          <w:sz w:val="22"/>
          <w:szCs w:val="22"/>
          <w:color w:val="auto"/>
        </w:rPr>
      </w:pPr>
    </w:p>
    <w:p>
      <w:pPr>
        <w:jc w:val="both"/>
        <w:ind w:left="-656" w:firstLine="656"/>
        <w:spacing w:after="0" w:line="248" w:lineRule="auto"/>
        <w:tabs>
          <w:tab w:leader="none" w:pos="91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The parties agree that each side shall bear their own costs and any attorney’s fees incurred in connection with this Agreement, other than as may be set forth in Section 2 above. However, should Executive breach any of the provisions or obligations of this Agreement, all of which are deemed material for purposes of this Section 23, Western Digital shall be entitled to recover from Executive the reasonable attorney fees and costs that Western Digital incurs in connection with any legal dispute over Executive’s breach of the Agreement.</w:t>
      </w:r>
    </w:p>
    <w:p>
      <w:pPr>
        <w:spacing w:after="0" w:line="232" w:lineRule="exact"/>
        <w:rPr>
          <w:rFonts w:ascii="Arial" w:cs="Arial" w:eastAsia="Arial" w:hAnsi="Arial"/>
          <w:sz w:val="22"/>
          <w:szCs w:val="22"/>
          <w:color w:val="auto"/>
        </w:rPr>
      </w:pPr>
    </w:p>
    <w:p>
      <w:pPr>
        <w:jc w:val="both"/>
        <w:ind w:left="-656" w:right="20" w:firstLine="656"/>
        <w:spacing w:after="0" w:line="253" w:lineRule="auto"/>
        <w:tabs>
          <w:tab w:leader="none" w:pos="91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Supplementary Documents</w:t>
      </w:r>
      <w:r>
        <w:rPr>
          <w:rFonts w:ascii="Arial" w:cs="Arial" w:eastAsia="Arial" w:hAnsi="Arial"/>
          <w:sz w:val="22"/>
          <w:szCs w:val="22"/>
          <w:color w:val="auto"/>
        </w:rPr>
        <w:t>. All parties agree to cooperate fully and to execute any and all supplementary documents and to take all additional actions that may be necessary or appropriate to give full force to the basic terms and intent of this Agreement and which are not inconsistent with its terms.</w:t>
      </w:r>
    </w:p>
    <w:p>
      <w:pPr>
        <w:spacing w:after="0" w:line="226" w:lineRule="exact"/>
        <w:rPr>
          <w:rFonts w:ascii="Arial" w:cs="Arial" w:eastAsia="Arial" w:hAnsi="Arial"/>
          <w:sz w:val="22"/>
          <w:szCs w:val="22"/>
          <w:color w:val="auto"/>
        </w:rPr>
      </w:pPr>
    </w:p>
    <w:p>
      <w:pPr>
        <w:jc w:val="both"/>
        <w:ind w:left="-656" w:firstLine="656"/>
        <w:spacing w:after="0" w:line="253" w:lineRule="auto"/>
        <w:tabs>
          <w:tab w:leader="none" w:pos="91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Cooperation in Drafting</w:t>
      </w:r>
      <w:r>
        <w:rPr>
          <w:rFonts w:ascii="Arial" w:cs="Arial" w:eastAsia="Arial" w:hAnsi="Arial"/>
          <w:sz w:val="22"/>
          <w:szCs w:val="22"/>
          <w:color w:val="auto"/>
        </w:rPr>
        <w:t>. Executive and Western Digital have cooperated in the drafting and preparation of this Agreement. Hence, in any construction to be made of this Agreement, the same shall not be construed against any party on the basis that the party was the drafter.</w:t>
      </w:r>
    </w:p>
    <w:p>
      <w:pPr>
        <w:spacing w:after="0" w:line="226" w:lineRule="exact"/>
        <w:rPr>
          <w:rFonts w:ascii="Arial" w:cs="Arial" w:eastAsia="Arial" w:hAnsi="Arial"/>
          <w:sz w:val="22"/>
          <w:szCs w:val="22"/>
          <w:color w:val="auto"/>
        </w:rPr>
      </w:pPr>
    </w:p>
    <w:p>
      <w:pPr>
        <w:ind w:left="-656" w:firstLine="656"/>
        <w:spacing w:after="0" w:line="263" w:lineRule="auto"/>
        <w:tabs>
          <w:tab w:leader="none" w:pos="91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contained in this Agreement are inserted for convenience only and shall not affect in any way the meaning or interpretation of this Agreement.</w:t>
      </w:r>
    </w:p>
    <w:p>
      <w:pPr>
        <w:spacing w:after="0" w:line="215" w:lineRule="exact"/>
        <w:rPr>
          <w:rFonts w:ascii="Arial" w:cs="Arial" w:eastAsia="Arial" w:hAnsi="Arial"/>
          <w:sz w:val="22"/>
          <w:szCs w:val="22"/>
          <w:color w:val="auto"/>
        </w:rPr>
      </w:pPr>
    </w:p>
    <w:p>
      <w:pPr>
        <w:ind w:left="-656" w:firstLine="656"/>
        <w:spacing w:after="0" w:line="343" w:lineRule="auto"/>
        <w:tabs>
          <w:tab w:leader="none" w:pos="91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Arbitration and Governing Law</w:t>
      </w:r>
      <w:r>
        <w:rPr>
          <w:rFonts w:ascii="Arial" w:cs="Arial" w:eastAsia="Arial" w:hAnsi="Arial"/>
          <w:sz w:val="19"/>
          <w:szCs w:val="19"/>
          <w:color w:val="auto"/>
        </w:rPr>
        <w:t>. This Agreement is made and entered into in the State of California and shall in all respects be interpreted, enforced and governed under the laws of said State without regard to principles of conflict of laws.</w:t>
      </w:r>
    </w:p>
    <w:p>
      <w:pPr>
        <w:spacing w:after="0" w:line="145" w:lineRule="exact"/>
        <w:rPr>
          <w:rFonts w:ascii="Arial" w:cs="Arial" w:eastAsia="Arial" w:hAnsi="Arial"/>
          <w:sz w:val="19"/>
          <w:szCs w:val="19"/>
          <w:color w:val="auto"/>
        </w:rPr>
      </w:pPr>
    </w:p>
    <w:p>
      <w:pPr>
        <w:jc w:val="both"/>
        <w:ind w:left="644" w:hanging="320"/>
        <w:spacing w:after="0" w:line="247" w:lineRule="auto"/>
        <w:tabs>
          <w:tab w:leader="none" w:pos="644" w:val="left"/>
        </w:tabs>
        <w:numPr>
          <w:ilvl w:val="1"/>
          <w:numId w:val="77"/>
        </w:numPr>
        <w:rPr>
          <w:rFonts w:ascii="Arial" w:cs="Arial" w:eastAsia="Arial" w:hAnsi="Arial"/>
          <w:sz w:val="22"/>
          <w:szCs w:val="22"/>
          <w:color w:val="auto"/>
        </w:rPr>
      </w:pPr>
      <w:r>
        <w:rPr>
          <w:rFonts w:ascii="Arial" w:cs="Arial" w:eastAsia="Arial" w:hAnsi="Arial"/>
          <w:sz w:val="22"/>
          <w:szCs w:val="22"/>
          <w:color w:val="auto"/>
        </w:rPr>
        <w:t>Provided that Executive has exhausted the claims and appeals procedure of the Plan with respect to any claim for benefits or for breach of fiduciary duty, any dispute regarding Executive’s employment with Western Digital or termination of such employment, and any aspect of this Agreement (including but not limited to the enforceability, unconscionability, interpretation, construction, or breach of this Agreement), shall be governed by the Western Digital Dispute Resolution Agreement, in the event an enforceable one exists between Executive and Western Digital.</w:t>
      </w:r>
    </w:p>
    <w:p>
      <w:pPr>
        <w:spacing w:after="0" w:line="234" w:lineRule="exact"/>
        <w:rPr>
          <w:rFonts w:ascii="Arial" w:cs="Arial" w:eastAsia="Arial" w:hAnsi="Arial"/>
          <w:sz w:val="22"/>
          <w:szCs w:val="22"/>
          <w:color w:val="auto"/>
        </w:rPr>
      </w:pPr>
    </w:p>
    <w:p>
      <w:pPr>
        <w:jc w:val="both"/>
        <w:ind w:left="644" w:hanging="320"/>
        <w:spacing w:after="0" w:line="286" w:lineRule="auto"/>
        <w:tabs>
          <w:tab w:leader="none" w:pos="644"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In the event that an enforceable Western Digital Dispute Resolution Agreement between Executive and Western Digital does not exist, and provided that Executive has exhausted the claims and appeals procedure previously mentioned in this paragraph, the following shall apply: Any dispute regarding Executive’s employment with Western Digital or its termination, and any aspect of this Agreement (including but not limited to the enforceability, unconscionability, interpretation, construction, or breach of this Agreement, except as expressly provided otherwise herein) shall be settled by final and binding arbitration before a single arbitrator in the county in which Executive worked in accordance with the JAMS Employment Arbitration Rules and Procedures (“Rules”) as the exclusive remedy for such dispute, and judgment upon the award rendered by the arbitrator may be entered in any court having jurisdiction thereof. A copy of the Rules can be found at: </w:t>
      </w:r>
      <w:r>
        <w:rPr>
          <w:rFonts w:ascii="Arial" w:cs="Arial" w:eastAsia="Arial" w:hAnsi="Arial"/>
          <w:sz w:val="19"/>
          <w:szCs w:val="19"/>
          <w:u w:val="single" w:color="auto"/>
          <w:color w:val="0000FF"/>
        </w:rPr>
        <w:t>http://www.jamsadr.com/rules-employment-arbitration</w:t>
      </w:r>
      <w:r>
        <w:rPr>
          <w:rFonts w:ascii="Arial" w:cs="Arial" w:eastAsia="Arial" w:hAnsi="Arial"/>
          <w:sz w:val="19"/>
          <w:szCs w:val="19"/>
          <w:color w:val="000000"/>
        </w:rPr>
        <w:t>. The arbitration proceedings do not provide for jury trials, but for a hearing before one independent,</w:t>
      </w:r>
      <w:r>
        <w:rPr>
          <w:rFonts w:ascii="Arial" w:cs="Arial" w:eastAsia="Arial" w:hAnsi="Arial"/>
          <w:sz w:val="19"/>
          <w:szCs w:val="19"/>
          <w:color w:val="0000FF"/>
        </w:rPr>
        <w:t xml:space="preserve"> </w:t>
      </w:r>
      <w:r>
        <w:rPr>
          <w:rFonts w:ascii="Arial" w:cs="Arial" w:eastAsia="Arial" w:hAnsi="Arial"/>
          <w:sz w:val="19"/>
          <w:szCs w:val="19"/>
          <w:color w:val="000000"/>
        </w:rPr>
        <w:t>neutral arbitrator. Therefore, in agreeing to arbitrate claims, both Executive and Western Digital and its affiliates are waiving a trial or hearing before a jury. Any claim shall be brought in the parties’ individual capacity, and not as a plaintiff or class member in any purported or actual class or collective action proceeding, and</w:t>
      </w:r>
    </w:p>
    <w:p>
      <w:pPr>
        <w:sectPr>
          <w:pgSz w:w="11900" w:h="16838" w:orient="portrait"/>
          <w:cols w:equalWidth="0" w:num="1">
            <w:col w:w="10764"/>
          </w:cols>
          <w:pgMar w:left="896" w:top="591" w:right="239" w:bottom="1440" w:gutter="0" w:footer="0" w:header="0"/>
        </w:sectPr>
      </w:pPr>
    </w:p>
    <w:bookmarkStart w:id="164" w:name="page165"/>
    <w:bookmarkEnd w:id="164"/>
    <w:p>
      <w:pPr>
        <w:jc w:val="both"/>
        <w:ind w:left="1300"/>
        <w:spacing w:after="0" w:line="261" w:lineRule="auto"/>
        <w:rPr>
          <w:sz w:val="20"/>
          <w:szCs w:val="20"/>
          <w:color w:val="auto"/>
        </w:rPr>
      </w:pPr>
      <w:r>
        <w:rPr>
          <w:rFonts w:ascii="Arial" w:cs="Arial" w:eastAsia="Arial" w:hAnsi="Arial"/>
          <w:sz w:val="21"/>
          <w:szCs w:val="21"/>
          <w:color w:val="auto"/>
        </w:rPr>
        <w:t>accordingly Executive waives all purported and actual class and collective action claims, unless applicable law prohibits such waiver, which itself, notwithstanding the foregoing, shall be a question for a court of competent jurisdiction to resolve. In the event of (1) a California Private Attorney General Action claim; (2) a purported or actual class or collective action claim determined to be non-waivable pursuant to applicable law; or (3) any claim determined to be non-arbitrable pursuant to applicable law, such claim(s) shall be brought as a civil action and shall be stayed pending resolution of all arbitrable claims in arbitration.</w:t>
      </w:r>
    </w:p>
    <w:p>
      <w:pPr>
        <w:spacing w:after="0" w:line="221" w:lineRule="exact"/>
        <w:rPr>
          <w:sz w:val="20"/>
          <w:szCs w:val="20"/>
          <w:color w:val="auto"/>
        </w:rPr>
      </w:pPr>
    </w:p>
    <w:p>
      <w:pPr>
        <w:ind w:left="1300" w:right="20" w:hanging="320"/>
        <w:spacing w:after="0" w:line="263" w:lineRule="auto"/>
        <w:tabs>
          <w:tab w:leader="none" w:pos="130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This arbitration provision shall be viewed as a post-employment agreement, with both Executive and Western Digital splitting equally any fees of the arbitrator and JAMS.</w:t>
      </w:r>
    </w:p>
    <w:p>
      <w:pPr>
        <w:spacing w:after="0" w:line="215" w:lineRule="exact"/>
        <w:rPr>
          <w:rFonts w:ascii="Arial" w:cs="Arial" w:eastAsia="Arial" w:hAnsi="Arial"/>
          <w:sz w:val="22"/>
          <w:szCs w:val="22"/>
          <w:color w:val="auto"/>
        </w:rPr>
      </w:pPr>
    </w:p>
    <w:p>
      <w:pPr>
        <w:jc w:val="both"/>
        <w:ind w:firstLine="656"/>
        <w:spacing w:after="0" w:line="258" w:lineRule="auto"/>
        <w:tabs>
          <w:tab w:leader="none" w:pos="1567"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Injunctive Relief</w:t>
      </w:r>
      <w:r>
        <w:rPr>
          <w:rFonts w:ascii="Arial" w:cs="Arial" w:eastAsia="Arial" w:hAnsi="Arial"/>
          <w:sz w:val="21"/>
          <w:szCs w:val="21"/>
          <w:color w:val="auto"/>
        </w:rPr>
        <w:t>. It is expressly agreed by all parties that Western Digital will or would suffer irreparable injury if Executive were to breach Sections 8 and 9 of this Agreement. Therefore, notwithstanding the provisions of the preceding Section 27, Western Digital shall have the immediate right to seek a preliminary order or injunction enforcing the foregoing obligations during the pendency of, or outside of, all arbitration or other proceedings. Thus, Western Digital shall be entitled to bring an action in any court of competent jurisdiction for injunctive or other extraordinary relief, without the necessity of posting any bond (and if bond shall nevertheless be required by a court of competent jurisdiction, the parties agree that the sum of $100 shall be sufficient bond), as Western Digital deems necessary or appropriate to obtain an injunction prohibiting Executive from any breach or threatened breach of Sections 8 and 9 of this Agreement, or similar order or extraordinary remedy regarding such breach or threatened breach. This covenant shall be independent, severable and enforceable notwithstanding any other rights or remedies which Western Digital may have.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NEXT PAGE]</w:t>
      </w:r>
    </w:p>
    <w:p>
      <w:pPr>
        <w:sectPr>
          <w:pgSz w:w="11900" w:h="16838" w:orient="portrait"/>
          <w:cols w:equalWidth="0" w:num="1">
            <w:col w:w="11420"/>
          </w:cols>
          <w:pgMar w:left="240" w:top="591" w:right="239" w:bottom="1440" w:gutter="0" w:footer="0" w:header="0"/>
        </w:sectPr>
      </w:pPr>
    </w:p>
    <w:bookmarkStart w:id="165" w:name="page166"/>
    <w:bookmarkEnd w:id="165"/>
    <w:p>
      <w:pPr>
        <w:jc w:val="both"/>
        <w:ind w:firstLine="648"/>
        <w:spacing w:after="0" w:line="253" w:lineRule="auto"/>
        <w:rPr>
          <w:sz w:val="20"/>
          <w:szCs w:val="20"/>
          <w:color w:val="auto"/>
        </w:rPr>
      </w:pPr>
      <w:r>
        <w:rPr>
          <w:rFonts w:ascii="Arial" w:cs="Arial" w:eastAsia="Arial" w:hAnsi="Arial"/>
          <w:sz w:val="22"/>
          <w:szCs w:val="22"/>
          <w:color w:val="auto"/>
        </w:rPr>
        <w:t>IN WITNESS WHEREOF, the undersigned have read and understand the consequences of this Agreement and voluntarily sign it. The undersigned declare under penalty of perjury under the laws of the State of California that the foregoing is true and correct.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this 28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June 2016.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Print Name: James Murphy</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James Murphy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this 28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June 2016.</w:t>
      </w:r>
    </w:p>
    <w:p>
      <w:pPr>
        <w:spacing w:after="0" w:line="16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“WESTERN DIGITAL”</w:t>
      </w:r>
    </w:p>
    <w:p>
      <w:pPr>
        <w:spacing w:after="0" w:line="12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Print Name: </w:t>
      </w:r>
      <w:r>
        <w:rPr>
          <w:rFonts w:ascii="Arial" w:cs="Arial" w:eastAsia="Arial" w:hAnsi="Arial"/>
          <w:sz w:val="22"/>
          <w:szCs w:val="22"/>
          <w:u w:val="single" w:color="auto"/>
          <w:color w:val="auto"/>
        </w:rPr>
        <w:t>Jacqueline DeMaria</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EVP and Chief Human Resources Officer</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Jacqueline DeMaria</w:t>
      </w:r>
    </w:p>
    <w:p>
      <w:pPr>
        <w:sectPr>
          <w:pgSz w:w="11900" w:h="16838" w:orient="portrait"/>
          <w:cols w:equalWidth="0" w:num="1">
            <w:col w:w="11420"/>
          </w:cols>
          <w:pgMar w:left="240" w:top="847"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EXHIBIT 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RELEASE OF CLAIMS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GENERAL RELEASE OF CLAIMS (“Release”) is entered into as of this _____ day of ______ 2016,</w:t>
      </w:r>
    </w:p>
    <w:p>
      <w:pPr>
        <w:spacing w:after="0" w:line="33" w:lineRule="exact"/>
        <w:rPr>
          <w:sz w:val="20"/>
          <w:szCs w:val="20"/>
          <w:color w:val="auto"/>
        </w:rPr>
      </w:pPr>
    </w:p>
    <w:p>
      <w:pPr>
        <w:ind w:right="720"/>
        <w:spacing w:after="0" w:line="270" w:lineRule="auto"/>
        <w:rPr>
          <w:sz w:val="20"/>
          <w:szCs w:val="20"/>
          <w:color w:val="auto"/>
        </w:rPr>
      </w:pPr>
      <w:r>
        <w:rPr>
          <w:rFonts w:ascii="Arial" w:cs="Arial" w:eastAsia="Arial" w:hAnsi="Arial"/>
          <w:sz w:val="21"/>
          <w:szCs w:val="21"/>
          <w:color w:val="auto"/>
        </w:rPr>
        <w:t>between James Murphy (“Executive”), and Western Digital Technologies, Inc., a Delaware corporation, including its parent company and any related entities and subsidiaries (collectively referred to as “Western Digital”).</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Executive and Western Digital are parties to that certain Separation Agreement dated as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 2016 (the “Agreement”);</w:t>
      </w:r>
    </w:p>
    <w:p>
      <w:pPr>
        <w:spacing w:after="0" w:line="242" w:lineRule="exact"/>
        <w:rPr>
          <w:sz w:val="20"/>
          <w:szCs w:val="20"/>
          <w:color w:val="auto"/>
        </w:rPr>
      </w:pPr>
    </w:p>
    <w:p>
      <w:pPr>
        <w:ind w:right="320" w:firstLine="1297"/>
        <w:spacing w:after="0" w:line="253" w:lineRule="auto"/>
        <w:rPr>
          <w:sz w:val="20"/>
          <w:szCs w:val="20"/>
          <w:color w:val="auto"/>
        </w:rPr>
      </w:pPr>
      <w:r>
        <w:rPr>
          <w:rFonts w:ascii="Arial" w:cs="Arial" w:eastAsia="Arial" w:hAnsi="Arial"/>
          <w:sz w:val="22"/>
          <w:szCs w:val="22"/>
          <w:color w:val="auto"/>
        </w:rPr>
        <w:t>WHEREAS, the parties hereto agree that Executive is entitled to certain severance benefits under the Agreement, subject to Executive’s execution of this Release, which execution shall occur no earlier than the Severance Date set forth in the Agreement; and</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parties now wish to fully and finally to resolve all matters between them.</w:t>
      </w:r>
    </w:p>
    <w:p>
      <w:pPr>
        <w:spacing w:after="0" w:line="260" w:lineRule="exact"/>
        <w:rPr>
          <w:sz w:val="20"/>
          <w:szCs w:val="20"/>
          <w:color w:val="auto"/>
        </w:rPr>
      </w:pPr>
    </w:p>
    <w:p>
      <w:pPr>
        <w:ind w:right="80" w:firstLine="1297"/>
        <w:spacing w:after="0" w:line="312" w:lineRule="auto"/>
        <w:rPr>
          <w:sz w:val="20"/>
          <w:szCs w:val="20"/>
          <w:color w:val="auto"/>
        </w:rPr>
      </w:pPr>
      <w:r>
        <w:rPr>
          <w:rFonts w:ascii="Arial" w:cs="Arial" w:eastAsia="Arial" w:hAnsi="Arial"/>
          <w:sz w:val="19"/>
          <w:szCs w:val="19"/>
          <w:color w:val="auto"/>
        </w:rPr>
        <w:t>NOW, THEREFORE, in consideration of, and subject to, the severance benefits payable to Executive pursuant to Section 2 of the Agreement, the adequacy of which is hereby acknowledged by Executive, and which Executive acknowledges that she would not otherwise be entitled to receive, Executive and Western Digital hereby agree as follows:</w:t>
      </w:r>
    </w:p>
    <w:p>
      <w:pPr>
        <w:spacing w:after="0" w:line="174" w:lineRule="exact"/>
        <w:rPr>
          <w:sz w:val="20"/>
          <w:szCs w:val="20"/>
          <w:color w:val="auto"/>
        </w:rPr>
      </w:pPr>
    </w:p>
    <w:p>
      <w:pPr>
        <w:ind w:left="1460" w:hanging="804"/>
        <w:spacing w:after="0"/>
        <w:tabs>
          <w:tab w:leader="none" w:pos="146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General Release By Executive</w:t>
      </w:r>
    </w:p>
    <w:p>
      <w:pPr>
        <w:spacing w:after="0" w:line="260" w:lineRule="exact"/>
        <w:rPr>
          <w:rFonts w:ascii="Arial" w:cs="Arial" w:eastAsia="Arial" w:hAnsi="Arial"/>
          <w:sz w:val="22"/>
          <w:szCs w:val="22"/>
          <w:color w:val="auto"/>
        </w:rPr>
      </w:pPr>
    </w:p>
    <w:p>
      <w:pPr>
        <w:jc w:val="both"/>
        <w:ind w:left="1300" w:hanging="320"/>
        <w:spacing w:after="0" w:line="285" w:lineRule="auto"/>
        <w:tabs>
          <w:tab w:leader="none" w:pos="1300"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Executive understands and agrees that, by signing this Release, in exchange for the Separation Benefits that Executive will receive under Section 2 of the Agreement, Executive is waiving, releasing and discharging, and promising not to sue, Western Digital Corporation and each and all of its divisions, subsidiaries, parents, predecessors, successors, assigns, and affiliated or related corporations and entities, past and present, including but not limited to Western Digital Technologies, Inc., Western Digital (Fremont), LLC, WD Media, LLC, and HGST, Inc., as well as each and all of its and their owners, trustees, officers, directors, managers, shareholders, members, partners, administrators, fiduciaries, representatives, attorneys, assignees, successors, insurers, benefit plans, agents and employees, past and present, and each of them (collectively, “Released Parties”), from and with respect to any and all claims, wages, demands, actions, class actions, rights, liens, agreements, contracts, covenants, suits, causes of action, charges, grievances, obligations, debts, costs, expenses, penalties, attorneys’ fees, damages, judgments, orders and liabilities of any kind, known or unknown, suspected or unsuspected, and whether or not concealed or hidden, arising out of or in any way connected with Executive’s employment relationship with, or the ending of Executive’s employment with, any of the Released Parties, including but in no way limited to, any act or omission committed or omitted prior to the date of execution of this Release. This general release of claims includes, but is in no way limited to, any and all wage and hour claims, claims for wrongful discharge, breach of contract, violation of public policy, tort, or violation of any statute, constitution or regulation, including but not limited to any claim under Title VII of the Civil Rights Act of 1964, the Age Discrimination in Employment Act of 1967, as amended (“ADEA”), the Employee Retirement Income Security Act of 1974 (“ERISA”), the Americans with Disabilities Act of 1990, the Older Workers Benefits Protection Act (“OWBPA”), the Fair Labor Standards Act (“FLSA”), the federal </w:t>
      </w:r>
      <w:r>
        <w:rPr>
          <w:rFonts w:ascii="Arial" w:cs="Arial" w:eastAsia="Arial" w:hAnsi="Arial"/>
          <w:sz w:val="19"/>
          <w:szCs w:val="19"/>
          <w:i w:val="1"/>
          <w:iCs w:val="1"/>
          <w:color w:val="auto"/>
        </w:rPr>
        <w:t>Consolidated Omnibus Budget Reconciliation</w:t>
      </w:r>
    </w:p>
    <w:p>
      <w:pPr>
        <w:sectPr>
          <w:pgSz w:w="11900" w:h="16838" w:orient="portrait"/>
          <w:cols w:equalWidth="0" w:num="1">
            <w:col w:w="11420"/>
          </w:cols>
          <w:pgMar w:left="240" w:top="706" w:right="239" w:bottom="1440" w:gutter="0" w:footer="0" w:header="0"/>
        </w:sectPr>
      </w:pPr>
    </w:p>
    <w:bookmarkStart w:id="167" w:name="page168"/>
    <w:bookmarkEnd w:id="167"/>
    <w:p>
      <w:pPr>
        <w:jc w:val="both"/>
        <w:ind w:left="320"/>
        <w:spacing w:after="0" w:line="259" w:lineRule="auto"/>
        <w:rPr>
          <w:sz w:val="20"/>
          <w:szCs w:val="20"/>
          <w:color w:val="auto"/>
        </w:rPr>
      </w:pPr>
      <w:r>
        <w:rPr>
          <w:rFonts w:ascii="Arial" w:cs="Arial" w:eastAsia="Arial" w:hAnsi="Arial"/>
          <w:sz w:val="21"/>
          <w:szCs w:val="21"/>
          <w:i w:val="1"/>
          <w:iCs w:val="1"/>
          <w:color w:val="auto"/>
        </w:rPr>
        <w:t xml:space="preserve">Act of 1985 </w:t>
      </w:r>
      <w:r>
        <w:rPr>
          <w:rFonts w:ascii="Arial" w:cs="Arial" w:eastAsia="Arial" w:hAnsi="Arial"/>
          <w:sz w:val="21"/>
          <w:szCs w:val="21"/>
          <w:color w:val="auto"/>
        </w:rPr>
        <w:t>(“</w:t>
      </w:r>
      <w:r>
        <w:rPr>
          <w:rFonts w:ascii="Arial" w:cs="Arial" w:eastAsia="Arial" w:hAnsi="Arial"/>
          <w:sz w:val="21"/>
          <w:szCs w:val="21"/>
          <w:i w:val="1"/>
          <w:iCs w:val="1"/>
          <w:color w:val="auto"/>
        </w:rPr>
        <w:t>COBRA”</w:t>
      </w:r>
      <w:r>
        <w:rPr>
          <w:rFonts w:ascii="Arial" w:cs="Arial" w:eastAsia="Arial" w:hAnsi="Arial"/>
          <w:sz w:val="21"/>
          <w:szCs w:val="21"/>
          <w:color w:val="auto"/>
        </w:rPr>
        <w:t>) and Cal-COBRA, the Immigration and Nationality Act section 1324a, the federal Worker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Adjustment and Retraining Notification Act (“WARN”), California WARN Labor Code sections 1400 </w:t>
      </w:r>
      <w:r>
        <w:rPr>
          <w:rFonts w:ascii="Arial" w:cs="Arial" w:eastAsia="Arial" w:hAnsi="Arial"/>
          <w:sz w:val="21"/>
          <w:szCs w:val="21"/>
          <w:i w:val="1"/>
          <w:iCs w:val="1"/>
          <w:color w:val="auto"/>
        </w:rPr>
        <w:t>et seq</w:t>
      </w:r>
      <w:r>
        <w:rPr>
          <w:rFonts w:ascii="Arial" w:cs="Arial" w:eastAsia="Arial" w:hAnsi="Arial"/>
          <w:sz w:val="21"/>
          <w:szCs w:val="21"/>
          <w:color w:val="auto"/>
        </w:rPr>
        <w:t>., the California Fair Employment and Housing Act (“FEHA”), the Family and Medical Leave Act of 1993 (“FMLA”) , the California Family Rights Act (“CFRA”), the California Labor Code and Industrial Welfare Commission Wage Orders, or any other federal, state or local laws, regulations or ordinances, and any claim for severance pay, bonus, sick leave, holiday pay, vacation pay, life insurance, health or medical insurance or any other fringe benefit, or disability, and every type of relief (legal, equitable and otherwise) available to Executive, from the beginning of time to the date Executive signs this Release.</w:t>
      </w:r>
    </w:p>
    <w:p>
      <w:pPr>
        <w:spacing w:after="0" w:line="225" w:lineRule="exact"/>
        <w:rPr>
          <w:sz w:val="20"/>
          <w:szCs w:val="20"/>
          <w:color w:val="auto"/>
        </w:rPr>
      </w:pPr>
    </w:p>
    <w:p>
      <w:pPr>
        <w:jc w:val="both"/>
        <w:ind w:left="320" w:hanging="320"/>
        <w:spacing w:after="0" w:line="286" w:lineRule="auto"/>
        <w:tabs>
          <w:tab w:leader="none" w:pos="3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foregoing release of claims does not extend to Executive’s right to receive (i) any vested rights or benefits under the terms of any “employee benefit plan,” as defined in Section 3(3) of ERISA or any Western Digital nonqualified deferred compensation plan; (ii) Executive’s vested rights, if any, under any stock option grant or stock award pursuant to the terms of such grant agreement or applicable equity award plan; (iii) indemnification under California Labor Code § 2802 California Corporations Code §317, Western Digital’s by-laws, any indemnification agreement between Western Digital and Executive, or any other federal or state statute, law, regulation or provision that confers upon Executive a right to defense or indemnification arising out of the services he performed for Western Digital or any of the Releasees; (iv) claims under the ADEA that may arise after the date Executive signs this Release; or (v) any other rights or claims under applicable federal, state or local law that cannot be waived or released by private agreement as a matter of law. Executive understands that nothing in the Release shall preclude Executive from filing a claim for unemployment or workers compensation insurance. Executive understands that nothing in this Release or the Agreement shall preclude Executive from filing a charge or complaint with any state or federal government agency or to participate or cooperate in such a matter; Executive agrees, however, to waive and release any right to seek or receive monetary damages resulting from any such charge or complaint or any action or proceeding brought by such government agency.</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left="320" w:hanging="320"/>
        <w:spacing w:after="0" w:line="250" w:lineRule="auto"/>
        <w:tabs>
          <w:tab w:leader="none" w:pos="3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This Release applies to claims or rights that Executive may possess either individually or as a class member, and Executive waives and releases any right to participate in or receive money or benefits from any class action settlement or judgment after the date this Release is signed that relates in any way to Executive’s employment with Western Digital.</w:t>
      </w:r>
    </w:p>
    <w:p>
      <w:pPr>
        <w:spacing w:after="0" w:line="228" w:lineRule="exact"/>
        <w:rPr>
          <w:rFonts w:ascii="Arial" w:cs="Arial" w:eastAsia="Arial" w:hAnsi="Arial"/>
          <w:sz w:val="22"/>
          <w:szCs w:val="22"/>
          <w:color w:val="auto"/>
        </w:rPr>
      </w:pPr>
    </w:p>
    <w:p>
      <w:pPr>
        <w:ind w:left="320" w:right="20" w:hanging="320"/>
        <w:spacing w:after="0" w:line="263" w:lineRule="auto"/>
        <w:tabs>
          <w:tab w:leader="none" w:pos="3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Regarding claims being released pursuant to this Agreement, this Release is binding on Executive’s heirs, family members, dependents, beneficiaries, executors, administrators, successors and assigns.</w:t>
      </w:r>
    </w:p>
    <w:p>
      <w:pPr>
        <w:spacing w:after="0" w:line="215" w:lineRule="exact"/>
        <w:rPr>
          <w:rFonts w:ascii="Arial" w:cs="Arial" w:eastAsia="Arial" w:hAnsi="Arial"/>
          <w:sz w:val="22"/>
          <w:szCs w:val="22"/>
          <w:color w:val="auto"/>
        </w:rPr>
      </w:pPr>
    </w:p>
    <w:p>
      <w:pPr>
        <w:jc w:val="both"/>
        <w:ind w:left="320" w:hanging="320"/>
        <w:spacing w:after="0" w:line="292" w:lineRule="auto"/>
        <w:tabs>
          <w:tab w:leader="none" w:pos="3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obligations stated in this Release are intended as full and complete satisfaction of any and all claims the Executive has now, or has had in the past. By signing this Release, Executive specifically represents that Executive has made reasonable effort to become fully apprised of the nature and consequences of this Release, and that Executive understands that if any facts with respect to any matter covered by this Release are found to be different from the facts Executive now believes to be true, Executive accepts and assumes that risk and agrees that this Release shall be effective notwithstanding such differences. Executive expressly agrees that this Release shall extend and apply to all unknown, unsuspected and unanticipated injuries and damages.</w:t>
      </w:r>
    </w:p>
    <w:p>
      <w:pPr>
        <w:spacing w:after="0" w:line="192" w:lineRule="exact"/>
        <w:rPr>
          <w:rFonts w:ascii="Arial" w:cs="Arial" w:eastAsia="Arial" w:hAnsi="Arial"/>
          <w:sz w:val="19"/>
          <w:szCs w:val="19"/>
          <w:color w:val="auto"/>
        </w:rPr>
      </w:pPr>
    </w:p>
    <w:p>
      <w:pPr>
        <w:ind w:left="320" w:hanging="320"/>
        <w:spacing w:after="0"/>
        <w:tabs>
          <w:tab w:leader="none" w:pos="3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Executive represents and warrants that neither Medicare nor Medicaid has made any payment</w:t>
      </w:r>
    </w:p>
    <w:p>
      <w:pPr>
        <w:sectPr>
          <w:pgSz w:w="11900" w:h="16838" w:orient="portrait"/>
          <w:cols w:equalWidth="0" w:num="1">
            <w:col w:w="10440"/>
          </w:cols>
          <w:pgMar w:left="1220" w:top="591" w:right="239" w:bottom="1440" w:gutter="0" w:footer="0" w:header="0"/>
        </w:sectPr>
      </w:pPr>
    </w:p>
    <w:bookmarkStart w:id="168" w:name="page169"/>
    <w:bookmarkEnd w:id="168"/>
    <w:p>
      <w:pPr>
        <w:jc w:val="both"/>
        <w:ind w:left="1300"/>
        <w:spacing w:after="0" w:line="286" w:lineRule="auto"/>
        <w:rPr>
          <w:sz w:val="20"/>
          <w:szCs w:val="20"/>
          <w:color w:val="auto"/>
        </w:rPr>
      </w:pPr>
      <w:r>
        <w:rPr>
          <w:rFonts w:ascii="Arial" w:cs="Arial" w:eastAsia="Arial" w:hAnsi="Arial"/>
          <w:sz w:val="19"/>
          <w:szCs w:val="19"/>
          <w:color w:val="auto"/>
        </w:rPr>
        <w:t>for medical services or items pursuant to 42 U.S.C. § 1395y and the corresponding regulations, or otherwise, relating to the Released Matters. “Released Matter” means any released accident, occurrence, injury, illness, disease, loss, claim, demand, damages, or matter that is subject to this Release and the releases herein. Executive acknowledges and agrees that neither Western Digital nor any of the Released Parties has any obligation or responsibility to reimburse Medicare, Medicaid, the Centers for Medicare and Medicaid Services, or any other entity or person for any past or future injury related medical expenses that have arisen or may hereafter arise out or relate in any way to the Released Matters. Executive acknowledges and agrees that it is Executive’s responsibility alone to reimburse such entities for any payments made on their behalf for such past or future medical expenses, if any, and Executive agrees to indemnify and hold harmless Western Digital and the Released Parties from any and all claims, demands, liens, subrogated interests and/or causes of action of any nature or character that have been or may in the future be asserted by Medicare and/or Medicaid and/or persons acting on behalf of Medicare and/or Medicaid concerning medical, hospital, or other expenses arising of the Released Matters, or concerning any claim based on inaccurate or inadequate information provided by Executive concerning Executive’s status as a Medicare or Medicaid beneficiary.</w:t>
      </w:r>
    </w:p>
    <w:p>
      <w:pPr>
        <w:spacing w:after="0" w:line="200" w:lineRule="exact"/>
        <w:rPr>
          <w:sz w:val="20"/>
          <w:szCs w:val="20"/>
          <w:color w:val="auto"/>
        </w:rPr>
      </w:pPr>
    </w:p>
    <w:p>
      <w:pPr>
        <w:spacing w:after="0" w:line="264" w:lineRule="exact"/>
        <w:rPr>
          <w:sz w:val="20"/>
          <w:szCs w:val="20"/>
          <w:color w:val="auto"/>
        </w:rPr>
      </w:pPr>
    </w:p>
    <w:p>
      <w:pPr>
        <w:jc w:val="both"/>
        <w:ind w:left="1300" w:hanging="320"/>
        <w:spacing w:after="0" w:line="259" w:lineRule="auto"/>
        <w:tabs>
          <w:tab w:leader="none" w:pos="1300" w:val="left"/>
        </w:tabs>
        <w:numPr>
          <w:ilvl w:val="1"/>
          <w:numId w:val="82"/>
        </w:numPr>
        <w:rPr>
          <w:rFonts w:ascii="Arial" w:cs="Arial" w:eastAsia="Arial" w:hAnsi="Arial"/>
          <w:sz w:val="21"/>
          <w:szCs w:val="21"/>
          <w:color w:val="auto"/>
        </w:rPr>
      </w:pPr>
      <w:r>
        <w:rPr>
          <w:rFonts w:ascii="Arial" w:cs="Arial" w:eastAsia="Arial" w:hAnsi="Arial"/>
          <w:sz w:val="21"/>
          <w:szCs w:val="21"/>
          <w:color w:val="auto"/>
        </w:rPr>
        <w:t>Executive promises not to pursue any claim that Executive has settled by this Release. If Executive breaks this promise, Executive agrees to pay all of Western Digital’s costs and expenses (including reasonable attorneys’ fees) related to the defense of any claims. Executive understands that nothing in this Release shall be deemed to preclude Executive from challenging the knowing and voluntary nature of this Release before a court or the Equal Employment Opportunity Commission (“EEOC”), or from filing a charge with the EEOC, the National Labor Relations Board, or any other federal, state or local agency charged with the enforcement of any employment laws. Executive understands, however, that, by signing this Release, Executive is waiving the right to monetary recovery based on claims asserted in such a charge or complaint.</w:t>
      </w:r>
    </w:p>
    <w:p>
      <w:pPr>
        <w:spacing w:after="0" w:line="224" w:lineRule="exact"/>
        <w:rPr>
          <w:rFonts w:ascii="Arial" w:cs="Arial" w:eastAsia="Arial" w:hAnsi="Arial"/>
          <w:sz w:val="21"/>
          <w:szCs w:val="21"/>
          <w:color w:val="auto"/>
        </w:rPr>
      </w:pPr>
    </w:p>
    <w:p>
      <w:pPr>
        <w:jc w:val="both"/>
        <w:ind w:firstLine="656"/>
        <w:spacing w:after="0" w:line="294" w:lineRule="auto"/>
        <w:tabs>
          <w:tab w:leader="none" w:pos="1459"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1542 Waiver</w:t>
      </w:r>
      <w:r>
        <w:rPr>
          <w:rFonts w:ascii="Arial" w:cs="Arial" w:eastAsia="Arial" w:hAnsi="Arial"/>
          <w:sz w:val="19"/>
          <w:szCs w:val="19"/>
          <w:color w:val="auto"/>
        </w:rPr>
        <w:t>. It is Executive’s intention in signing this Release that the general release of claims should be effective as a bar to each and every claim, demand and cause of action stated above. In furtherance of this intention, Executive hereby expressly waives any and all rights and benefits conferred upon Executive by the provisions of SECTION 1542 OF THE CALIFORNIA CIVIL CODE and expressly consents that this Release shall be given full force and effect according to each and all of its express terms and provisions, including those relating to unknown and unsuspected claims, demands and causes of action, if any, as well as those relating to any other claims, demands and causes of action referred to above. SECTION 1542 provides:</w:t>
      </w:r>
    </w:p>
    <w:p>
      <w:pPr>
        <w:spacing w:after="0" w:line="190"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Executive acknowledges and understands the significance and consequence of such release and such specific waiver of SECTION 1542</w:t>
      </w:r>
    </w:p>
    <w:p>
      <w:pPr>
        <w:spacing w:after="0" w:line="175" w:lineRule="exact"/>
        <w:rPr>
          <w:sz w:val="20"/>
          <w:szCs w:val="20"/>
          <w:color w:val="auto"/>
        </w:rPr>
      </w:pPr>
    </w:p>
    <w:p>
      <w:pPr>
        <w:jc w:val="both"/>
        <w:ind w:firstLine="656"/>
        <w:spacing w:after="0" w:line="253" w:lineRule="auto"/>
        <w:tabs>
          <w:tab w:leader="none" w:pos="1459"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Workers’ Compensation</w:t>
      </w:r>
      <w:r>
        <w:rPr>
          <w:rFonts w:ascii="Arial" w:cs="Arial" w:eastAsia="Arial" w:hAnsi="Arial"/>
          <w:sz w:val="22"/>
          <w:szCs w:val="22"/>
          <w:color w:val="auto"/>
        </w:rPr>
        <w:t>. Executive acknowledges that Executive has no pending claim for workers’ compensation benefits against Western Digital. Executive warrants and represents that Executive does not have any work-related injury or illness arising from Executive’s employment at Western Digital.</w:t>
      </w:r>
    </w:p>
    <w:p>
      <w:pPr>
        <w:sectPr>
          <w:pgSz w:w="11900" w:h="16838" w:orient="portrait"/>
          <w:cols w:equalWidth="0" w:num="1">
            <w:col w:w="11420"/>
          </w:cols>
          <w:pgMar w:left="240" w:top="591" w:right="239" w:bottom="1440" w:gutter="0" w:footer="0" w:header="0"/>
        </w:sectPr>
      </w:pPr>
    </w:p>
    <w:bookmarkStart w:id="169" w:name="page170"/>
    <w:bookmarkEnd w:id="169"/>
    <w:p>
      <w:pPr>
        <w:jc w:val="both"/>
        <w:ind w:left="-656" w:firstLine="656"/>
        <w:spacing w:after="0" w:line="289" w:lineRule="auto"/>
        <w:tabs>
          <w:tab w:leader="none" w:pos="802"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Receipt of Compensation Due</w:t>
      </w:r>
      <w:r>
        <w:rPr>
          <w:rFonts w:ascii="Arial" w:cs="Arial" w:eastAsia="Arial" w:hAnsi="Arial"/>
          <w:sz w:val="19"/>
          <w:szCs w:val="19"/>
          <w:color w:val="auto"/>
        </w:rPr>
        <w:t>. Executive acknowledges and agrees that Executive has received with Executive’s final paycheck all salary and vacation payments due and owing to Executive through Executive’s Severance Date and that such payment was not made contingent on the execution of this Release. Executive also acknowledges and agrees that Executive has not suffered any on-the-job injury for which Executive has not already filed a claim, that Executive has been properly provided any leave of absence due to Executive or a family member’s health condition, and that Executive has not been subjected to any improper treatment, conduct or actions due to or related to any request by Executive for or taking of any leave of absence because of Executive’s own or a family member’s health condition, nor has Executive been denied any leave requested under the Family and Medical Leave Act or the California Family Rights Act. Executive has not been retaliated against for reporting any allegations of wrongdoing by Western Digital or its officers, including any allegations of corporate fraud.</w:t>
      </w:r>
    </w:p>
    <w:p>
      <w:pPr>
        <w:spacing w:after="0" w:line="198" w:lineRule="exact"/>
        <w:rPr>
          <w:rFonts w:ascii="Arial" w:cs="Arial" w:eastAsia="Arial" w:hAnsi="Arial"/>
          <w:sz w:val="19"/>
          <w:szCs w:val="19"/>
          <w:color w:val="auto"/>
        </w:rPr>
      </w:pPr>
    </w:p>
    <w:p>
      <w:pPr>
        <w:jc w:val="both"/>
        <w:ind w:left="-656" w:firstLine="656"/>
        <w:spacing w:after="0" w:line="290" w:lineRule="auto"/>
        <w:tabs>
          <w:tab w:leader="none" w:pos="802"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Acceptance and Revocation Rights</w:t>
      </w:r>
      <w:r>
        <w:rPr>
          <w:rFonts w:ascii="Arial" w:cs="Arial" w:eastAsia="Arial" w:hAnsi="Arial"/>
          <w:sz w:val="19"/>
          <w:szCs w:val="19"/>
          <w:color w:val="auto"/>
        </w:rPr>
        <w:t>. Executive is hereby advised (a) to consult with an attorney if Executive desires prior to signing this Release, (b) that this Release does not waive rights or claims that may arise after it is executed by Executive, and (c) that Executive has forty-five (45) days in which to consider and accept this Release by signing and returning this Release to Western Digital. In addition, Executive has a period of seven (7) days following Executive’s execution of this Release in which Executive may revoke the Release. This Release will not become effective or enforceable until the seven (7) day revocation period has passed without revocation. If Executive does not advise Western Digital (by communicating such revocation to the Executive Vice President and Chief Human Resources Officer within such seven (7) day period) of Executive’s intent to revoke the Release, Executive has waived the right to revoke the Release, and it will become effective and enforceable.</w:t>
      </w:r>
    </w:p>
    <w:p>
      <w:pPr>
        <w:spacing w:after="0" w:line="197" w:lineRule="exact"/>
        <w:rPr>
          <w:rFonts w:ascii="Arial" w:cs="Arial" w:eastAsia="Arial" w:hAnsi="Arial"/>
          <w:sz w:val="19"/>
          <w:szCs w:val="19"/>
          <w:color w:val="auto"/>
        </w:rPr>
      </w:pPr>
    </w:p>
    <w:p>
      <w:pPr>
        <w:jc w:val="both"/>
        <w:ind w:left="-656" w:firstLine="656"/>
        <w:spacing w:after="0" w:line="265" w:lineRule="auto"/>
        <w:tabs>
          <w:tab w:leader="none" w:pos="802"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Denial of Liability</w:t>
      </w:r>
      <w:r>
        <w:rPr>
          <w:rFonts w:ascii="Arial" w:cs="Arial" w:eastAsia="Arial" w:hAnsi="Arial"/>
          <w:sz w:val="21"/>
          <w:szCs w:val="21"/>
          <w:color w:val="auto"/>
        </w:rPr>
        <w:t>. This Release does not constitute an admission by Western Digital of any violation of federal, state or local law, ordinance or regulation or of any liability or wrongdoing whatsoever. Neither this Release nor anything in this Release shall be construed to be or shall be admissible in any proceeding as evidence of liability or wrongdoing by Western Digital. This Release may be introduced, however, in any proceeding to enforce the Release.</w:t>
      </w:r>
    </w:p>
    <w:p>
      <w:pPr>
        <w:spacing w:after="0" w:line="216" w:lineRule="exact"/>
        <w:rPr>
          <w:rFonts w:ascii="Arial" w:cs="Arial" w:eastAsia="Arial" w:hAnsi="Arial"/>
          <w:sz w:val="21"/>
          <w:szCs w:val="21"/>
          <w:color w:val="auto"/>
        </w:rPr>
      </w:pPr>
    </w:p>
    <w:p>
      <w:pPr>
        <w:jc w:val="both"/>
        <w:ind w:left="-656" w:firstLine="656"/>
        <w:spacing w:after="0" w:line="248" w:lineRule="auto"/>
        <w:tabs>
          <w:tab w:leader="none" w:pos="802"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Warranty Regarding Non-Assignment</w:t>
      </w:r>
      <w:r>
        <w:rPr>
          <w:rFonts w:ascii="Arial" w:cs="Arial" w:eastAsia="Arial" w:hAnsi="Arial"/>
          <w:sz w:val="22"/>
          <w:szCs w:val="22"/>
          <w:color w:val="auto"/>
        </w:rPr>
        <w:t>. Executive warrants and represents that Executive has not heretofore assigned or transferred to any person not a party to this Release any released matter or any part or portion thereof and Executive shall defend, indemnify and hold harmless Western Digital from and against any claim (including the payment of attorneys’ fees and costs actually incurred whether or not litigation is commenced) based on or in connection with or arising out of any such assignment or transfer made, purported or claimed.</w:t>
      </w:r>
    </w:p>
    <w:p>
      <w:pPr>
        <w:spacing w:after="0" w:line="232" w:lineRule="exact"/>
        <w:rPr>
          <w:rFonts w:ascii="Arial" w:cs="Arial" w:eastAsia="Arial" w:hAnsi="Arial"/>
          <w:sz w:val="22"/>
          <w:szCs w:val="22"/>
          <w:color w:val="auto"/>
        </w:rPr>
      </w:pPr>
    </w:p>
    <w:p>
      <w:pPr>
        <w:jc w:val="both"/>
        <w:ind w:left="-656" w:firstLine="656"/>
        <w:spacing w:after="0" w:line="260" w:lineRule="auto"/>
        <w:tabs>
          <w:tab w:leader="none" w:pos="802"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Release and the Agreement set forth the entire agreement of the parties hereto in respect of the subject matter contained herein and therein and supersede all prior agreements, promises, covenants, arrangements, communications, representations or warranties, whether oral or written, by any officer, employee or representative of any party hereto, and any prior agreement of the parties in respect of the subject matter contained herein. This Release is made and entered into in the State of California and shall in all respects be interpreted, enforced and governed under the laws of said State without regard to principles of conflict of laws. Any claim or dispute by either party with respect to this Release shall be subject to the arbitration provisions set forth in Section 28 of the Agreement.</w:t>
      </w:r>
    </w:p>
    <w:p>
      <w:pPr>
        <w:spacing w:after="0" w:line="221" w:lineRule="exact"/>
        <w:rPr>
          <w:rFonts w:ascii="Arial" w:cs="Arial" w:eastAsia="Arial" w:hAnsi="Arial"/>
          <w:sz w:val="21"/>
          <w:szCs w:val="21"/>
          <w:color w:val="auto"/>
        </w:rPr>
      </w:pPr>
    </w:p>
    <w:p>
      <w:pPr>
        <w:ind w:left="804" w:hanging="804"/>
        <w:spacing w:after="0"/>
        <w:tabs>
          <w:tab w:leader="none" w:pos="804"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Release may be modified only with a written instrument executed by both parties.</w:t>
      </w:r>
    </w:p>
    <w:p>
      <w:pPr>
        <w:sectPr>
          <w:pgSz w:w="11900" w:h="16838" w:orient="portrait"/>
          <w:cols w:equalWidth="0" w:num="1">
            <w:col w:w="10764"/>
          </w:cols>
          <w:pgMar w:left="896" w:top="847" w:right="239" w:bottom="1440" w:gutter="0" w:footer="0" w:header="0"/>
        </w:sectPr>
      </w:pPr>
    </w:p>
    <w:bookmarkStart w:id="170" w:name="page171"/>
    <w:bookmarkEnd w:id="170"/>
    <w:p>
      <w:pPr>
        <w:jc w:val="both"/>
        <w:ind w:left="-20" w:firstLine="656"/>
        <w:spacing w:after="0" w:line="253" w:lineRule="auto"/>
        <w:tabs>
          <w:tab w:leader="none" w:pos="1547"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Release may be executed in counterparts, and each counterpart, when executed, shall have the efficacy of a signed original. Photographic and facsimile copies of such signed counterparts may be used in lieu of the originals for any purpose.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NEXT PAGE]</w:t>
      </w:r>
    </w:p>
    <w:p>
      <w:pPr>
        <w:sectPr>
          <w:pgSz w:w="11900" w:h="16838" w:orient="portrait"/>
          <w:cols w:equalWidth="0" w:num="1">
            <w:col w:w="11400"/>
          </w:cols>
          <w:pgMar w:left="260" w:top="591" w:right="239" w:bottom="1440" w:gutter="0" w:footer="0" w:header="0"/>
        </w:sectPr>
      </w:pPr>
    </w:p>
    <w:bookmarkStart w:id="171" w:name="page172"/>
    <w:bookmarkEnd w:id="171"/>
    <w:p>
      <w:pPr>
        <w:ind w:firstLine="648"/>
        <w:spacing w:after="0" w:line="343" w:lineRule="auto"/>
        <w:rPr>
          <w:sz w:val="20"/>
          <w:szCs w:val="20"/>
          <w:color w:val="auto"/>
        </w:rPr>
      </w:pPr>
      <w:r>
        <w:rPr>
          <w:rFonts w:ascii="Arial" w:cs="Arial" w:eastAsia="Arial" w:hAnsi="Arial"/>
          <w:sz w:val="19"/>
          <w:szCs w:val="19"/>
          <w:color w:val="auto"/>
        </w:rPr>
        <w:t>IN WITNESS WHEREOF, the undersigned have read and understand the consequences of this Release and voluntarily sign it. The undersigned declare under penalty of perjury under the laws of the State of California that the foregoing is true and correct.</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EXECUTED this ________ day of ________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Print Name: James Murphy</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 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EXECUTED this ________ day of _______ 2017.</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“WESTERN DIGITAL”</w:t>
      </w:r>
    </w:p>
    <w:p>
      <w:pPr>
        <w:spacing w:after="0" w:line="12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Print Name: ______________________________________</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____________________________________________</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 ________________________________________</w:t>
      </w:r>
    </w:p>
    <w:p>
      <w:pPr>
        <w:sectPr>
          <w:pgSz w:w="11900" w:h="16838" w:orient="portrait"/>
          <w:cols w:equalWidth="0" w:num="1">
            <w:col w:w="11420"/>
          </w:cols>
          <w:pgMar w:left="240" w:top="847"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AGREEMENT</w:t>
      </w:r>
    </w:p>
    <w:p>
      <w:pPr>
        <w:spacing w:after="0" w:line="200" w:lineRule="exact"/>
        <w:rPr>
          <w:sz w:val="20"/>
          <w:szCs w:val="20"/>
          <w:color w:val="auto"/>
        </w:rPr>
      </w:pPr>
    </w:p>
    <w:p>
      <w:pPr>
        <w:spacing w:after="0" w:line="24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May 12, 2016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Western Digital Corporation, a Delaware corporation (“</w:t>
      </w:r>
      <w:r>
        <w:rPr>
          <w:rFonts w:ascii="Arial" w:cs="Arial" w:eastAsia="Arial" w:hAnsi="Arial"/>
          <w:sz w:val="18"/>
          <w:szCs w:val="18"/>
          <w:b w:val="1"/>
          <w:bCs w:val="1"/>
          <w:color w:val="auto"/>
        </w:rPr>
        <w:t>Western Digital</w:t>
      </w:r>
      <w:r>
        <w:rPr>
          <w:rFonts w:ascii="Arial" w:cs="Arial" w:eastAsia="Arial" w:hAnsi="Arial"/>
          <w:sz w:val="18"/>
          <w:szCs w:val="18"/>
          <w:color w:val="auto"/>
        </w:rPr>
        <w:t>”), SanDisk Corporation, a Delaware corporation (“</w:t>
      </w:r>
      <w:r>
        <w:rPr>
          <w:rFonts w:ascii="Arial" w:cs="Arial" w:eastAsia="Arial" w:hAnsi="Arial"/>
          <w:sz w:val="18"/>
          <w:szCs w:val="18"/>
          <w:b w:val="1"/>
          <w:bCs w:val="1"/>
          <w:color w:val="auto"/>
        </w:rPr>
        <w:t>SanDisk</w:t>
      </w:r>
      <w:r>
        <w:rPr>
          <w:rFonts w:ascii="Arial" w:cs="Arial" w:eastAsia="Arial" w:hAnsi="Arial"/>
          <w:sz w:val="18"/>
          <w:szCs w:val="18"/>
          <w:color w:val="auto"/>
        </w:rPr>
        <w:t>”) and Sanjay Mehrotra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WHEREAS, Western Digital and SanDisk entered into an Agreement and Plan of Merger, dated October 21, 2015 (the “</w:t>
      </w:r>
      <w:r>
        <w:rPr>
          <w:rFonts w:ascii="Arial" w:cs="Arial" w:eastAsia="Arial" w:hAnsi="Arial"/>
          <w:sz w:val="18"/>
          <w:szCs w:val="18"/>
          <w:b w:val="1"/>
          <w:bCs w:val="1"/>
          <w:color w:val="auto"/>
        </w:rPr>
        <w:t>Merger Agreement</w:t>
      </w:r>
      <w:r>
        <w:rPr>
          <w:rFonts w:ascii="Arial" w:cs="Arial" w:eastAsia="Arial" w:hAnsi="Arial"/>
          <w:sz w:val="18"/>
          <w:szCs w:val="18"/>
          <w:color w:val="auto"/>
        </w:rPr>
        <w:t>”), whereby SanDisk will become a wholly-owned indirect subsidiary of Western Digital (“</w:t>
      </w:r>
      <w:r>
        <w:rPr>
          <w:rFonts w:ascii="Arial" w:cs="Arial" w:eastAsia="Arial" w:hAnsi="Arial"/>
          <w:sz w:val="18"/>
          <w:szCs w:val="18"/>
          <w:b w:val="1"/>
          <w:bCs w:val="1"/>
          <w:color w:val="auto"/>
        </w:rPr>
        <w:t>Merger</w:t>
      </w:r>
      <w:r>
        <w:rPr>
          <w:rFonts w:ascii="Arial" w:cs="Arial" w:eastAsia="Arial" w:hAnsi="Arial"/>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WHEREAS, SanDisk and Executive have entered into the Change of Control Executive Benefits Agreement (“</w:t>
      </w:r>
      <w:r>
        <w:rPr>
          <w:rFonts w:ascii="Arial" w:cs="Arial" w:eastAsia="Arial" w:hAnsi="Arial"/>
          <w:sz w:val="18"/>
          <w:szCs w:val="18"/>
          <w:b w:val="1"/>
          <w:bCs w:val="1"/>
          <w:color w:val="auto"/>
        </w:rPr>
        <w:t>Change of Control Agreement</w:t>
      </w:r>
      <w:r>
        <w:rPr>
          <w:rFonts w:ascii="Arial" w:cs="Arial" w:eastAsia="Arial" w:hAnsi="Arial"/>
          <w:sz w:val="18"/>
          <w:szCs w:val="18"/>
          <w:color w:val="auto"/>
        </w:rPr>
        <w:t>”), effective as of the date set forth therein;</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effective as of the closing date of the Merger, Executive’s employment with SanDisk will terminate and constitute a “Change of Control Termination” as defined in Section 1.05 of the Change of Control Agreement (the “</w:t>
      </w:r>
      <w:r>
        <w:rPr>
          <w:rFonts w:ascii="Arial" w:cs="Arial" w:eastAsia="Arial" w:hAnsi="Arial"/>
          <w:sz w:val="18"/>
          <w:szCs w:val="18"/>
          <w:b w:val="1"/>
          <w:bCs w:val="1"/>
          <w:color w:val="auto"/>
        </w:rPr>
        <w:t>Employment Termination Date</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all capitalized terms not defined in this Agreement shall have the meanings set forth in the Merger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NOW, THEREFORE, BE IT RESOLVED, that Western Digital, SanDisk and Executive hereby agree as follows:</w:t>
      </w:r>
    </w:p>
    <w:p>
      <w:pPr>
        <w:spacing w:after="0" w:line="221" w:lineRule="exact"/>
        <w:rPr>
          <w:sz w:val="20"/>
          <w:szCs w:val="20"/>
          <w:color w:val="auto"/>
        </w:rPr>
      </w:pPr>
    </w:p>
    <w:p>
      <w:pPr>
        <w:jc w:val="both"/>
        <w:ind w:firstLine="656"/>
        <w:spacing w:after="0" w:line="258" w:lineRule="auto"/>
        <w:tabs>
          <w:tab w:leader="none" w:pos="1017"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Vesting Acceleration and Cash Settlement of Company Restricted Stock Units</w:t>
      </w:r>
      <w:r>
        <w:rPr>
          <w:rFonts w:ascii="Arial" w:cs="Arial" w:eastAsia="Arial" w:hAnsi="Arial"/>
          <w:sz w:val="18"/>
          <w:szCs w:val="18"/>
          <w:color w:val="auto"/>
        </w:rPr>
        <w:t>. Immediately prior to, and contingent upon,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Time, vesting shall accelerate with respect to all unvested Company Restricted Stock Units held by Executive. Notwithstanding anything to the contrary in Section 3.4(e) of the Merger Agreement, any outstanding Company Restricted Stock Units held by Executive (the “</w:t>
      </w:r>
      <w:r>
        <w:rPr>
          <w:rFonts w:ascii="Arial" w:cs="Arial" w:eastAsia="Arial" w:hAnsi="Arial"/>
          <w:sz w:val="18"/>
          <w:szCs w:val="18"/>
          <w:b w:val="1"/>
          <w:bCs w:val="1"/>
          <w:color w:val="auto"/>
        </w:rPr>
        <w:t>Vested RSUs</w:t>
      </w:r>
      <w:r>
        <w:rPr>
          <w:rFonts w:ascii="Arial" w:cs="Arial" w:eastAsia="Arial" w:hAnsi="Arial"/>
          <w:sz w:val="18"/>
          <w:szCs w:val="18"/>
          <w:color w:val="auto"/>
        </w:rPr>
        <w:t>”) will be settled for an amount in cash equal to the Merger Consideration, using, for the non-cash portion of the Merger Consideration, the Stock Consideration Value as determined under the Merger Agreement.</w:t>
      </w:r>
    </w:p>
    <w:p>
      <w:pPr>
        <w:spacing w:after="0" w:line="183" w:lineRule="exact"/>
        <w:rPr>
          <w:rFonts w:ascii="Arial" w:cs="Arial" w:eastAsia="Arial" w:hAnsi="Arial"/>
          <w:sz w:val="18"/>
          <w:szCs w:val="18"/>
          <w:b w:val="1"/>
          <w:bCs w:val="1"/>
          <w:color w:val="auto"/>
        </w:rPr>
      </w:pPr>
    </w:p>
    <w:p>
      <w:pPr>
        <w:jc w:val="both"/>
        <w:ind w:firstLine="656"/>
        <w:spacing w:after="0" w:line="261" w:lineRule="auto"/>
        <w:tabs>
          <w:tab w:leader="none" w:pos="963"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Funding of Trust with CIC Benefits</w:t>
      </w:r>
      <w:r>
        <w:rPr>
          <w:rFonts w:ascii="Arial" w:cs="Arial" w:eastAsia="Arial" w:hAnsi="Arial"/>
          <w:sz w:val="18"/>
          <w:szCs w:val="18"/>
          <w:color w:val="auto"/>
        </w:rPr>
        <w:t>. Notwithstanding anything to the contrary in the Change of Control Agreement, Western Digital will fund,</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reasonably practicable, but in no event more than seven (7) business days, following the Closing Date, the rabbi trust (the “</w:t>
      </w:r>
      <w:r>
        <w:rPr>
          <w:rFonts w:ascii="Arial" w:cs="Arial" w:eastAsia="Arial" w:hAnsi="Arial"/>
          <w:sz w:val="18"/>
          <w:szCs w:val="18"/>
          <w:b w:val="1"/>
          <w:bCs w:val="1"/>
          <w:color w:val="auto"/>
        </w:rPr>
        <w:t>Rabbi Trust</w:t>
      </w:r>
      <w:r>
        <w:rPr>
          <w:rFonts w:ascii="Arial" w:cs="Arial" w:eastAsia="Arial" w:hAnsi="Arial"/>
          <w:sz w:val="18"/>
          <w:szCs w:val="18"/>
          <w:color w:val="auto"/>
        </w:rPr>
        <w:t xml:space="preserve">”) established by SanDisk on behalf of the Executive, the agreement evidencing the Rabbi Trust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Rabbi Trust Agreement</w:t>
      </w:r>
      <w:r>
        <w:rPr>
          <w:rFonts w:ascii="Arial" w:cs="Arial" w:eastAsia="Arial" w:hAnsi="Arial"/>
          <w:sz w:val="18"/>
          <w:szCs w:val="18"/>
          <w:color w:val="auto"/>
        </w:rPr>
        <w:t>”) with the CIC Benefits (as defined in the Rabbi Trust Agreement).</w:t>
      </w:r>
    </w:p>
    <w:p>
      <w:pPr>
        <w:spacing w:after="0" w:line="180" w:lineRule="exact"/>
        <w:rPr>
          <w:rFonts w:ascii="Arial" w:cs="Arial" w:eastAsia="Arial" w:hAnsi="Arial"/>
          <w:sz w:val="18"/>
          <w:szCs w:val="18"/>
          <w:b w:val="1"/>
          <w:bCs w:val="1"/>
          <w:color w:val="auto"/>
        </w:rPr>
      </w:pPr>
    </w:p>
    <w:p>
      <w:pPr>
        <w:jc w:val="both"/>
        <w:ind w:firstLine="656"/>
        <w:spacing w:after="0" w:line="293" w:lineRule="auto"/>
        <w:tabs>
          <w:tab w:leader="none" w:pos="990" w:val="left"/>
        </w:tabs>
        <w:numPr>
          <w:ilvl w:val="1"/>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Lump Sum COBRA Payment</w:t>
      </w:r>
      <w:r>
        <w:rPr>
          <w:rFonts w:ascii="Arial" w:cs="Arial" w:eastAsia="Arial" w:hAnsi="Arial"/>
          <w:sz w:val="16"/>
          <w:szCs w:val="16"/>
          <w:color w:val="auto"/>
        </w:rPr>
        <w:t>. In lieu of the twenty-four months of reimbursement of COBRA premiums Executive is entitled to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5.01(c) of the Change of Control Agreement, as soon as practicable following the Employment Termination Date, but in no event more than fifteen</w:t>
      </w:r>
    </w:p>
    <w:p>
      <w:pPr>
        <w:spacing w:after="0" w:line="1" w:lineRule="exact"/>
        <w:rPr>
          <w:rFonts w:ascii="Arial" w:cs="Arial" w:eastAsia="Arial" w:hAnsi="Arial"/>
          <w:sz w:val="16"/>
          <w:szCs w:val="16"/>
          <w:b w:val="1"/>
          <w:bCs w:val="1"/>
          <w:color w:val="auto"/>
        </w:rPr>
      </w:pPr>
    </w:p>
    <w:p>
      <w:pPr>
        <w:ind w:firstLine="8"/>
        <w:spacing w:after="0" w:line="261" w:lineRule="auto"/>
        <w:tabs>
          <w:tab w:leader="none" w:pos="366"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days after the Release (as defined in Section 5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below) becomes effective and irrevocable in accordance with its terms, Executive shall receive a single lump-sum payment equal to $107,787.36 (the “</w:t>
      </w:r>
      <w:r>
        <w:rPr>
          <w:rFonts w:ascii="Arial" w:cs="Arial" w:eastAsia="Arial" w:hAnsi="Arial"/>
          <w:sz w:val="18"/>
          <w:szCs w:val="18"/>
          <w:b w:val="1"/>
          <w:bCs w:val="1"/>
          <w:color w:val="auto"/>
        </w:rPr>
        <w:t>COBRA Lump Sum Amount</w:t>
      </w:r>
      <w:r>
        <w:rPr>
          <w:rFonts w:ascii="Arial" w:cs="Arial" w:eastAsia="Arial" w:hAnsi="Arial"/>
          <w:sz w:val="18"/>
          <w:szCs w:val="18"/>
          <w:color w:val="auto"/>
        </w:rPr>
        <w:t>”).</w:t>
      </w:r>
    </w:p>
    <w:p>
      <w:pPr>
        <w:sectPr>
          <w:pgSz w:w="11900" w:h="16838" w:orient="portrait"/>
          <w:cols w:equalWidth="0" w:num="1">
            <w:col w:w="11420"/>
          </w:cols>
          <w:pgMar w:left="240" w:top="581" w:right="239" w:bottom="1440" w:gutter="0" w:footer="0" w:header="0"/>
        </w:sectPr>
      </w:pPr>
    </w:p>
    <w:bookmarkStart w:id="173" w:name="page174"/>
    <w:bookmarkEnd w:id="173"/>
    <w:p>
      <w:pPr>
        <w:jc w:val="both"/>
        <w:ind w:firstLine="648"/>
        <w:spacing w:after="0" w:line="286" w:lineRule="auto"/>
        <w:rPr>
          <w:sz w:val="20"/>
          <w:szCs w:val="20"/>
          <w:color w:val="auto"/>
        </w:rPr>
      </w:pPr>
      <w:r>
        <w:rPr>
          <w:rFonts w:ascii="Arial" w:cs="Arial" w:eastAsia="Arial" w:hAnsi="Arial"/>
          <w:sz w:val="16"/>
          <w:szCs w:val="16"/>
          <w:b w:val="1"/>
          <w:bCs w:val="1"/>
          <w:color w:val="auto"/>
        </w:rPr>
        <w:t>4</w:t>
      </w:r>
      <w:r>
        <w:rPr>
          <w:rFonts w:ascii="Arial" w:cs="Arial" w:eastAsia="Arial" w:hAnsi="Arial"/>
          <w:sz w:val="16"/>
          <w:szCs w:val="16"/>
          <w:color w:val="auto"/>
        </w:rPr>
        <w:t>.</w:t>
      </w:r>
      <w:r>
        <w:rPr>
          <w:rFonts w:ascii="Arial" w:cs="Arial" w:eastAsia="Arial" w:hAnsi="Arial"/>
          <w:sz w:val="16"/>
          <w:szCs w:val="16"/>
          <w:b w:val="1"/>
          <w:bCs w:val="1"/>
          <w:color w:val="auto"/>
        </w:rPr>
        <w:t xml:space="preserve"> Release of the Executive</w:t>
      </w:r>
      <w:r>
        <w:rPr>
          <w:rFonts w:ascii="Arial" w:cs="Arial" w:eastAsia="Arial" w:hAnsi="Arial"/>
          <w:sz w:val="16"/>
          <w:szCs w:val="16"/>
          <w:color w:val="auto"/>
        </w:rPr>
        <w:t>. Western Digital, SanDisk, and each and all of their divisions, subsidiaries, parents, predecessors, successors,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and affiliated or related corporations and entities, past and present, as well as each and all of its and their owners, trustees, officers, directors, managers, shareholders, members, partners, administrators, fiduciaries, representatives, attorneys, assignees, successors, insurers, benefit plans, agents and employees, past and present, and each of them (collectively, the “</w:t>
      </w:r>
      <w:r>
        <w:rPr>
          <w:rFonts w:ascii="Arial" w:cs="Arial" w:eastAsia="Arial" w:hAnsi="Arial"/>
          <w:sz w:val="16"/>
          <w:szCs w:val="16"/>
          <w:b w:val="1"/>
          <w:bCs w:val="1"/>
          <w:color w:val="auto"/>
        </w:rPr>
        <w:t>Company Parties</w:t>
      </w:r>
      <w:r>
        <w:rPr>
          <w:rFonts w:ascii="Arial" w:cs="Arial" w:eastAsia="Arial" w:hAnsi="Arial"/>
          <w:sz w:val="16"/>
          <w:szCs w:val="16"/>
          <w:color w:val="auto"/>
        </w:rPr>
        <w:t>”) is waiving, releasing and discharging and promising not to sue, Executive on behalf of Executive and each of Executive’s respective heirs, executors, administrators, representatives, agents, successors and assigns (collectively, the “</w:t>
      </w:r>
      <w:r>
        <w:rPr>
          <w:rFonts w:ascii="Arial" w:cs="Arial" w:eastAsia="Arial" w:hAnsi="Arial"/>
          <w:sz w:val="16"/>
          <w:szCs w:val="16"/>
          <w:b w:val="1"/>
          <w:bCs w:val="1"/>
          <w:color w:val="auto"/>
        </w:rPr>
        <w:t>Executive</w:t>
      </w:r>
      <w:r>
        <w:rPr>
          <w:rFonts w:ascii="Arial" w:cs="Arial" w:eastAsia="Arial" w:hAnsi="Arial"/>
          <w:sz w:val="16"/>
          <w:szCs w:val="16"/>
          <w:color w:val="auto"/>
        </w:rPr>
        <w:t xml:space="preserve"> </w:t>
      </w:r>
      <w:r>
        <w:rPr>
          <w:rFonts w:ascii="Arial" w:cs="Arial" w:eastAsia="Arial" w:hAnsi="Arial"/>
          <w:sz w:val="16"/>
          <w:szCs w:val="16"/>
          <w:b w:val="1"/>
          <w:bCs w:val="1"/>
          <w:color w:val="auto"/>
        </w:rPr>
        <w:t>Released Parties</w:t>
      </w:r>
      <w:r>
        <w:rPr>
          <w:rFonts w:ascii="Arial" w:cs="Arial" w:eastAsia="Arial" w:hAnsi="Arial"/>
          <w:sz w:val="16"/>
          <w:szCs w:val="16"/>
          <w:color w:val="auto"/>
        </w:rPr>
        <w:t>”) from and with respect to any and all claims, wages, demands, actions, class actions, rights, liens, agreements, contracts, covenants, suits,</w:t>
      </w:r>
      <w:r>
        <w:rPr>
          <w:rFonts w:ascii="Arial" w:cs="Arial" w:eastAsia="Arial" w:hAnsi="Arial"/>
          <w:sz w:val="16"/>
          <w:szCs w:val="16"/>
          <w:b w:val="1"/>
          <w:bCs w:val="1"/>
          <w:color w:val="auto"/>
        </w:rPr>
        <w:t xml:space="preserve"> </w:t>
      </w:r>
      <w:r>
        <w:rPr>
          <w:rFonts w:ascii="Arial" w:cs="Arial" w:eastAsia="Arial" w:hAnsi="Arial"/>
          <w:sz w:val="16"/>
          <w:szCs w:val="16"/>
          <w:color w:val="auto"/>
        </w:rPr>
        <w:t>causes of action, charges, grievances, obligations, debts, costs, expenses, penalties, attorneys’ fees, damages, judgments, orders and liabilities of any kind, known or unknown, suspected or unsuspected, arising out of or in any way connected with Executive’s employment relationship with, or the ending of Executive’s employment with, any of the Company Parties (collectively, the “</w:t>
      </w:r>
      <w:r>
        <w:rPr>
          <w:rFonts w:ascii="Arial" w:cs="Arial" w:eastAsia="Arial" w:hAnsi="Arial"/>
          <w:sz w:val="16"/>
          <w:szCs w:val="16"/>
          <w:b w:val="1"/>
          <w:bCs w:val="1"/>
          <w:color w:val="auto"/>
        </w:rPr>
        <w:t>Company Claims</w:t>
      </w:r>
      <w:r>
        <w:rPr>
          <w:rFonts w:ascii="Arial" w:cs="Arial" w:eastAsia="Arial" w:hAnsi="Arial"/>
          <w:sz w:val="16"/>
          <w:szCs w:val="16"/>
          <w:color w:val="auto"/>
        </w:rPr>
        <w:t>”), including but in no way limited to, any act or omission committed or omitted prior to the date hereof; provided, however, that nothing herein shall release Executive from any claims arising out of or otherwise related to Executive’s fraud, willful misconduct or gross negligence or the Executive having intentionally misrepresented any facts or circumstances to, and that could reasonably be expected to have a material adverse impact on, Western Digital, SanDisk or their respective affiliates. Notwithstanding anything to the contrary, nothing herein shall release Executive or any other Executive Released Party from any Company Claims based on any right a Company Party may have to enforce this Agreement. The portion of Executive’s benefits under the Change of Control Agreement held in the Rabbi Trust shall not be subject to any forfeiture, offset or payment delay as a result of, or in connection with, any Company Claims.</w:t>
      </w:r>
    </w:p>
    <w:p>
      <w:pPr>
        <w:spacing w:after="0" w:line="169" w:lineRule="exact"/>
        <w:rPr>
          <w:sz w:val="20"/>
          <w:szCs w:val="20"/>
          <w:color w:val="auto"/>
        </w:rPr>
      </w:pPr>
    </w:p>
    <w:p>
      <w:pPr>
        <w:jc w:val="both"/>
        <w:ind w:firstLine="656"/>
        <w:spacing w:after="0" w:line="256" w:lineRule="auto"/>
        <w:tabs>
          <w:tab w:leader="none" w:pos="963"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Release; Full Satisfaction</w:t>
      </w:r>
      <w:r>
        <w:rPr>
          <w:rFonts w:ascii="Arial" w:cs="Arial" w:eastAsia="Arial" w:hAnsi="Arial"/>
          <w:sz w:val="18"/>
          <w:szCs w:val="18"/>
          <w:color w:val="auto"/>
        </w:rPr>
        <w:t>. In consideration of the covenants and obligations set forth herein, Executive agrees to execute upon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Date, deliver and not revoke the release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Release</w:t>
      </w:r>
      <w:r>
        <w:rPr>
          <w:rFonts w:ascii="Arial" w:cs="Arial" w:eastAsia="Arial" w:hAnsi="Arial"/>
          <w:sz w:val="18"/>
          <w:szCs w:val="18"/>
          <w:color w:val="auto"/>
        </w:rPr>
        <w:t>”). Executive acknowledges that the foregoing actions shall be in full satisfaction of Western Digital’s, SanDisk’s or their respective affiliates’ obligations with respect to the items set forth in Sections 1 through 4 above. Executive hereby waives his right to assert any claim with respect to the nature of the consideration received for Vested RSUs, with respect to the timing of the funding of the trust under the Change of Control Agreement or the payment of the COBRA Lump Sum Amount (except to the extent such claim is to enforce the provisions hereof).</w:t>
      </w:r>
    </w:p>
    <w:p>
      <w:pPr>
        <w:spacing w:after="0" w:line="187" w:lineRule="exact"/>
        <w:rPr>
          <w:rFonts w:ascii="Arial" w:cs="Arial" w:eastAsia="Arial" w:hAnsi="Arial"/>
          <w:sz w:val="18"/>
          <w:szCs w:val="18"/>
          <w:b w:val="1"/>
          <w:bCs w:val="1"/>
          <w:color w:val="auto"/>
        </w:rPr>
      </w:pPr>
    </w:p>
    <w:p>
      <w:pPr>
        <w:jc w:val="both"/>
        <w:ind w:firstLine="656"/>
        <w:spacing w:after="0" w:line="266" w:lineRule="auto"/>
        <w:tabs>
          <w:tab w:leader="none" w:pos="1004"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From Service. </w:t>
      </w:r>
      <w:r>
        <w:rPr>
          <w:rFonts w:ascii="Arial" w:cs="Arial" w:eastAsia="Arial" w:hAnsi="Arial"/>
          <w:sz w:val="18"/>
          <w:szCs w:val="18"/>
          <w:color w:val="auto"/>
        </w:rPr>
        <w:t>The parties agree that as of the Employment Termination Date Executive will have a Separation from Service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Change in Control Agreement) and to not take a position inconsistent with such characterization with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unless required to do so by the IRS in the event of an audit.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Distribution from Rabbi Trust</w:t>
      </w:r>
      <w:r>
        <w:rPr>
          <w:rFonts w:ascii="Arial" w:cs="Arial" w:eastAsia="Arial" w:hAnsi="Arial"/>
          <w:sz w:val="18"/>
          <w:szCs w:val="18"/>
          <w:color w:val="auto"/>
        </w:rPr>
        <w:t>. Subject in all cases to the terms of the Rabbi Trust Agreement, including without limitation Section 1(d)</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Western Digital agrees that any amounts contributed to the Rabbi Trust for the benefit of Executive to comply with Section 5.01(f) of the Change of Control Agreement, shall be distributed to Executive (or Executive’s estate) as soon as practicable and in no event more than five (5) days following the earlier of (x) the date that is six months and one day following the Executive’s Separation from Service, as characterized in Section 6 or (y) the date of Executive’s death.</w:t>
      </w:r>
    </w:p>
    <w:p>
      <w:pPr>
        <w:sectPr>
          <w:pgSz w:w="11900" w:h="16838" w:orient="portrait"/>
          <w:cols w:equalWidth="0" w:num="1">
            <w:col w:w="11420"/>
          </w:cols>
          <w:pgMar w:left="240" w:top="581" w:right="239" w:bottom="1440" w:gutter="0" w:footer="0" w:header="0"/>
        </w:sectPr>
      </w:pPr>
    </w:p>
    <w:bookmarkStart w:id="174" w:name="page175"/>
    <w:bookmarkEnd w:id="174"/>
    <w:p>
      <w:pPr>
        <w:jc w:val="both"/>
        <w:ind w:firstLine="656"/>
        <w:spacing w:after="0" w:line="285" w:lineRule="auto"/>
        <w:tabs>
          <w:tab w:leader="none" w:pos="99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Cooperation</w:t>
      </w:r>
      <w:r>
        <w:rPr>
          <w:rFonts w:ascii="Arial" w:cs="Arial" w:eastAsia="Arial" w:hAnsi="Arial"/>
          <w:sz w:val="16"/>
          <w:szCs w:val="16"/>
          <w:color w:val="auto"/>
        </w:rPr>
        <w:t>. Executive agrees to cooperate with Western Digital regarding any threatened, pending or subsequently filed litigation, claims,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disputes, or in any investigation or proceeding by any governmental agency or body, involving Western Digital that relate to matters within Executive’s knowledge or responsibility during Executive’s employment with Western Digital and/or SanDisk. In addition, Executive agrees to cooperate with the prosecution, filing and/or enforcement of any pending or future patents, including providing all information necessary to obtain and enforce pending or future patents, executing any documents necessary to obtain such patents and transferring ownership of such patents to Western Digital. This may include, but is not limited to, providing documents or information in Executive’s possession or under Executive’s control that may relate to the matter or patent prosecution, participating in interviews with representatives of the Western Digital, attending depositions, hearings, trials, or other similar proceedings without requiring a subpoena, and/or providing truthful sworn statements in connection with any such matter. Executive believes he or she has disclosed to SanDisk’s Chief Legal Officer all material information within Executive’s knowledge as of the date of this Agreement related to any pending or threatened legal matter with which Executive has had any direct or indirect involvement. Furthermore, Executive agrees to cooperate in the prosecution of any claims and lawsuits brought by Western Digital that are currently outstanding or that may in the future be brought relating to matters which occurred during or prior to the term of Executive’s employment with Western Digital and/or SanDisk. Without limiting the foregoing, Executive agrees (a) to meet with Western Digital representatives, its counsel, or other designees at mutually convenient times and places with respect to any items with the scope of this provision; (b) to provide truthful testimony regarding same to any court, agency, or other adjudicatory body; and (c) to provide Western Digital with notice of contact by any adverse party or such adverse party’s representative, except as may be required by law. Executive further agrees to cooperate with Western Digital to provide any necessary signatures regarding the transition of director and officer roles and bank authorization or signatory status with SanDisk or any of its subsidiaries. As a condition to Executive’s obligation to provide reasonable assistance and cooperation under this paragraph, Western Digital will (i) provide Executive with reasonable notice in advance of any request for assistance or cooperation and (ii) reimburse Executive for all reasonable expenses in connection with the assistance and cooperation described in this paragraph, including reimbursing Executive for Executive’s reasonable and documented time spent providing such assistance at an hourly rate of $500. Notwithstanding anything in this paragraph to the contrary, Executive shall not be obligated to provide the assistance and cooperation described in this paragraph if it would materially interfere with Executive’s new employment or other business activities. Executive’s obligations under this paragraph shall expire on the eighteen month anniversary of the consummation of the Merger.</w:t>
      </w:r>
    </w:p>
    <w:p>
      <w:pPr>
        <w:spacing w:after="0" w:line="163" w:lineRule="exact"/>
        <w:rPr>
          <w:rFonts w:ascii="Arial" w:cs="Arial" w:eastAsia="Arial" w:hAnsi="Arial"/>
          <w:sz w:val="16"/>
          <w:szCs w:val="16"/>
          <w:b w:val="1"/>
          <w:bCs w:val="1"/>
          <w:color w:val="auto"/>
        </w:rPr>
      </w:pPr>
    </w:p>
    <w:p>
      <w:pPr>
        <w:ind w:firstLine="656"/>
        <w:spacing w:after="0" w:line="282" w:lineRule="auto"/>
        <w:tabs>
          <w:tab w:leader="none" w:pos="963"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or more counterparts, all of which shall be considered one and the same instrument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become effective when one or more counterparts have been signed by each of the parties and delivered to the other party.</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20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Resignation</w:t>
      </w:r>
      <w:r>
        <w:rPr>
          <w:rFonts w:ascii="Arial" w:cs="Arial" w:eastAsia="Arial" w:hAnsi="Arial"/>
          <w:sz w:val="18"/>
          <w:szCs w:val="18"/>
          <w:color w:val="auto"/>
        </w:rPr>
        <w:t>. Executive hereby resigns Executive’s positions with Western Digital, SanDisk and any of their respective affiliates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effective as of the Employment Termination Date unless provided for sooner in a separate written agreement by Executive.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FOLLOW ON NEXT PAGE]</w:t>
      </w:r>
    </w:p>
    <w:p>
      <w:pPr>
        <w:sectPr>
          <w:pgSz w:w="11900" w:h="16838" w:orient="portrait"/>
          <w:cols w:equalWidth="0" w:num="1">
            <w:col w:w="11420"/>
          </w:cols>
          <w:pgMar w:left="240" w:top="581"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340" w:type="dxa"/>
            <w:vAlign w:val="bottom"/>
            <w:gridSpan w:val="7"/>
          </w:tcPr>
          <w:p>
            <w:pPr>
              <w:spacing w:after="0"/>
              <w:rPr>
                <w:sz w:val="20"/>
                <w:szCs w:val="20"/>
                <w:color w:val="auto"/>
              </w:rPr>
            </w:pPr>
            <w:r>
              <w:rPr>
                <w:rFonts w:ascii="Arial" w:cs="Arial" w:eastAsia="Arial" w:hAnsi="Arial"/>
                <w:sz w:val="18"/>
                <w:szCs w:val="18"/>
                <w:b w:val="1"/>
                <w:bCs w:val="1"/>
                <w:color w:val="auto"/>
              </w:rPr>
              <w:t>APPROVED AND AGREED TO:</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5340" w:type="dxa"/>
            <w:vAlign w:val="bottom"/>
            <w:gridSpan w:val="7"/>
          </w:tcPr>
          <w:p>
            <w:pPr>
              <w:spacing w:after="0"/>
              <w:rPr>
                <w:sz w:val="20"/>
                <w:szCs w:val="20"/>
                <w:color w:val="auto"/>
              </w:rPr>
            </w:pPr>
            <w:r>
              <w:rPr>
                <w:rFonts w:ascii="Arial" w:cs="Arial" w:eastAsia="Arial" w:hAnsi="Arial"/>
                <w:sz w:val="18"/>
                <w:szCs w:val="18"/>
                <w:b w:val="1"/>
                <w:bCs w:val="1"/>
                <w:color w:val="auto"/>
              </w:rPr>
              <w:t>EXECUTIVE</w:t>
            </w:r>
          </w:p>
        </w:tc>
        <w:tc>
          <w:tcPr>
            <w:tcW w:w="3120" w:type="dxa"/>
            <w:vAlign w:val="bottom"/>
            <w:gridSpan w:val="4"/>
          </w:tcPr>
          <w:p>
            <w:pPr>
              <w:spacing w:after="0"/>
              <w:rPr>
                <w:sz w:val="20"/>
                <w:szCs w:val="20"/>
                <w:color w:val="auto"/>
              </w:rPr>
            </w:pPr>
            <w:r>
              <w:rPr>
                <w:rFonts w:ascii="Arial" w:cs="Arial" w:eastAsia="Arial" w:hAnsi="Arial"/>
                <w:sz w:val="18"/>
                <w:szCs w:val="18"/>
                <w:b w:val="1"/>
                <w:bCs w:val="1"/>
                <w:color w:val="auto"/>
              </w:rPr>
              <w:t>WESTERN DIGITAL CORPORATION</w:t>
            </w:r>
          </w:p>
        </w:tc>
      </w:tr>
      <w:tr>
        <w:trPr>
          <w:trHeight w:val="824"/>
        </w:trPr>
        <w:tc>
          <w:tcPr>
            <w:tcW w:w="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rPr>
              <w:t>/s/ Sanjay Mehrotra</w:t>
            </w:r>
          </w:p>
        </w:tc>
        <w:tc>
          <w:tcPr>
            <w:tcW w:w="3120" w:type="dxa"/>
            <w:vAlign w:val="bottom"/>
            <w:gridSpan w:val="4"/>
          </w:tcPr>
          <w:p>
            <w:pPr>
              <w:spacing w:after="0"/>
              <w:rPr>
                <w:sz w:val="20"/>
                <w:szCs w:val="20"/>
                <w:color w:val="auto"/>
              </w:rPr>
            </w:pPr>
            <w:r>
              <w:rPr>
                <w:rFonts w:ascii="Arial" w:cs="Arial" w:eastAsia="Arial" w:hAnsi="Arial"/>
                <w:sz w:val="18"/>
                <w:szCs w:val="18"/>
                <w:color w:val="auto"/>
              </w:rPr>
              <w:t>/s/ Michael Ray</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420" w:type="dxa"/>
            <w:vAlign w:val="bottom"/>
            <w:gridSpan w:val="6"/>
          </w:tcPr>
          <w:p>
            <w:pPr>
              <w:spacing w:after="0"/>
              <w:rPr>
                <w:sz w:val="20"/>
                <w:szCs w:val="20"/>
                <w:color w:val="auto"/>
              </w:rPr>
            </w:pPr>
            <w:r>
              <w:rPr>
                <w:rFonts w:ascii="Arial" w:cs="Arial" w:eastAsia="Arial" w:hAnsi="Arial"/>
                <w:sz w:val="18"/>
                <w:szCs w:val="18"/>
                <w:color w:val="auto"/>
              </w:rPr>
              <w:t>Executive</w:t>
            </w:r>
          </w:p>
        </w:tc>
        <w:tc>
          <w:tcPr>
            <w:tcW w:w="3920" w:type="dxa"/>
            <w:vAlign w:val="bottom"/>
          </w:tcPr>
          <w:p>
            <w:pPr>
              <w:spacing w:after="0"/>
              <w:rPr>
                <w:sz w:val="20"/>
                <w:szCs w:val="20"/>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Authorized Representative</w:t>
            </w:r>
          </w:p>
        </w:tc>
      </w:tr>
      <w:tr>
        <w:trPr>
          <w:trHeight w:val="392"/>
        </w:trPr>
        <w:tc>
          <w:tcPr>
            <w:tcW w:w="60" w:type="dxa"/>
            <w:vAlign w:val="bottom"/>
          </w:tcPr>
          <w:p>
            <w:pPr>
              <w:spacing w:after="0"/>
              <w:rPr>
                <w:sz w:val="24"/>
                <w:szCs w:val="24"/>
                <w:color w:val="auto"/>
              </w:rPr>
            </w:pPr>
          </w:p>
        </w:tc>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May 12, 2016</w:t>
            </w:r>
          </w:p>
        </w:tc>
        <w:tc>
          <w:tcPr>
            <w:tcW w:w="4320" w:type="dxa"/>
            <w:vAlign w:val="bottom"/>
            <w:gridSpan w:val="3"/>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May 2, 2016</w:t>
            </w:r>
          </w:p>
        </w:tc>
        <w:tc>
          <w:tcPr>
            <w:tcW w:w="2200" w:type="dxa"/>
            <w:vAlign w:val="bottom"/>
            <w:gridSpan w:val="3"/>
          </w:tcPr>
          <w:p>
            <w:pPr>
              <w:spacing w:after="0"/>
              <w:rPr>
                <w:sz w:val="24"/>
                <w:szCs w:val="24"/>
                <w:color w:val="auto"/>
              </w:rPr>
            </w:pPr>
          </w:p>
        </w:tc>
      </w:tr>
      <w:tr>
        <w:trPr>
          <w:trHeight w:val="237"/>
        </w:trPr>
        <w:tc>
          <w:tcPr>
            <w:tcW w:w="60" w:type="dxa"/>
            <w:vAlign w:val="bottom"/>
          </w:tcPr>
          <w:p>
            <w:pPr>
              <w:spacing w:after="0"/>
              <w:rPr>
                <w:sz w:val="20"/>
                <w:szCs w:val="20"/>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rPr>
              <w:t>Date</w:t>
            </w:r>
          </w:p>
        </w:tc>
        <w:tc>
          <w:tcPr>
            <w:tcW w:w="3120" w:type="dxa"/>
            <w:vAlign w:val="bottom"/>
            <w:gridSpan w:val="4"/>
          </w:tcPr>
          <w:p>
            <w:pPr>
              <w:spacing w:after="0"/>
              <w:rPr>
                <w:sz w:val="20"/>
                <w:szCs w:val="20"/>
                <w:color w:val="auto"/>
              </w:rPr>
            </w:pPr>
            <w:r>
              <w:rPr>
                <w:rFonts w:ascii="Arial" w:cs="Arial" w:eastAsia="Arial" w:hAnsi="Arial"/>
                <w:sz w:val="18"/>
                <w:szCs w:val="18"/>
                <w:color w:val="auto"/>
              </w:rPr>
              <w:t>Date</w:t>
            </w:r>
          </w:p>
        </w:tc>
      </w:tr>
      <w:tr>
        <w:trPr>
          <w:trHeight w:val="392"/>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Michael Ray</w:t>
            </w:r>
          </w:p>
        </w:tc>
      </w:tr>
      <w:tr>
        <w:trPr>
          <w:trHeight w:val="20"/>
        </w:trPr>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Printed name</w:t>
            </w:r>
          </w:p>
        </w:tc>
      </w:tr>
      <w:tr>
        <w:trPr>
          <w:trHeight w:val="392"/>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EVP, Chief Legal Officer and Secretary</w:t>
            </w:r>
          </w:p>
        </w:tc>
        <w:tc>
          <w:tcPr>
            <w:tcW w:w="260" w:type="dxa"/>
            <w:vAlign w:val="bottom"/>
          </w:tcPr>
          <w:p>
            <w:pPr>
              <w:spacing w:after="0"/>
              <w:rPr>
                <w:sz w:val="24"/>
                <w:szCs w:val="24"/>
                <w:color w:val="auto"/>
              </w:rPr>
            </w:pPr>
          </w:p>
        </w:tc>
      </w:tr>
      <w:tr>
        <w:trPr>
          <w:trHeight w:val="237"/>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Title</w:t>
            </w:r>
          </w:p>
        </w:tc>
      </w:tr>
      <w:tr>
        <w:trPr>
          <w:trHeight w:val="891"/>
        </w:trPr>
        <w:tc>
          <w:tcPr>
            <w:tcW w:w="5400" w:type="dxa"/>
            <w:vAlign w:val="bottom"/>
            <w:gridSpan w:val="8"/>
          </w:tcPr>
          <w:p>
            <w:pPr>
              <w:spacing w:after="0"/>
              <w:rPr>
                <w:sz w:val="20"/>
                <w:szCs w:val="20"/>
                <w:color w:val="auto"/>
              </w:rPr>
            </w:pPr>
            <w:r>
              <w:rPr>
                <w:rFonts w:ascii="Arial" w:cs="Arial" w:eastAsia="Arial" w:hAnsi="Arial"/>
                <w:sz w:val="18"/>
                <w:szCs w:val="18"/>
                <w:b w:val="1"/>
                <w:bCs w:val="1"/>
                <w:color w:val="auto"/>
              </w:rPr>
              <w:t>SANDISK CORPORATION</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24"/>
        </w:trPr>
        <w:tc>
          <w:tcPr>
            <w:tcW w:w="5400" w:type="dxa"/>
            <w:vAlign w:val="bottom"/>
            <w:gridSpan w:val="8"/>
          </w:tcPr>
          <w:p>
            <w:pPr>
              <w:spacing w:after="0"/>
              <w:rPr>
                <w:sz w:val="20"/>
                <w:szCs w:val="20"/>
                <w:color w:val="auto"/>
              </w:rPr>
            </w:pPr>
            <w:r>
              <w:rPr>
                <w:rFonts w:ascii="Arial" w:cs="Arial" w:eastAsia="Arial" w:hAnsi="Arial"/>
                <w:sz w:val="18"/>
                <w:szCs w:val="18"/>
                <w:color w:val="auto"/>
              </w:rPr>
              <w:t>/s/ Mark Brazeal</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5400" w:type="dxa"/>
            <w:vAlign w:val="bottom"/>
            <w:gridSpan w:val="8"/>
          </w:tcPr>
          <w:p>
            <w:pPr>
              <w:spacing w:after="0"/>
              <w:rPr>
                <w:sz w:val="20"/>
                <w:szCs w:val="20"/>
                <w:color w:val="auto"/>
              </w:rPr>
            </w:pPr>
            <w:r>
              <w:rPr>
                <w:rFonts w:ascii="Arial" w:cs="Arial" w:eastAsia="Arial" w:hAnsi="Arial"/>
                <w:sz w:val="18"/>
                <w:szCs w:val="18"/>
                <w:color w:val="auto"/>
              </w:rPr>
              <w:t>Authorized Representative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2"/>
        </w:trPr>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May 12, 2016</w:t>
            </w:r>
          </w:p>
        </w:tc>
        <w:tc>
          <w:tcPr>
            <w:tcW w:w="438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7"/>
        </w:trPr>
        <w:tc>
          <w:tcPr>
            <w:tcW w:w="5400" w:type="dxa"/>
            <w:vAlign w:val="bottom"/>
            <w:gridSpan w:val="8"/>
          </w:tcPr>
          <w:p>
            <w:pPr>
              <w:spacing w:after="0"/>
              <w:rPr>
                <w:sz w:val="20"/>
                <w:szCs w:val="20"/>
                <w:color w:val="auto"/>
              </w:rPr>
            </w:pPr>
            <w:r>
              <w:rPr>
                <w:rFonts w:ascii="Arial" w:cs="Arial" w:eastAsia="Arial" w:hAnsi="Arial"/>
                <w:sz w:val="18"/>
                <w:szCs w:val="18"/>
                <w:color w:val="auto"/>
              </w:rPr>
              <w:t>Date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2"/>
        </w:trPr>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Mark Brazeal</w:t>
            </w:r>
          </w:p>
        </w:tc>
        <w:tc>
          <w:tcPr>
            <w:tcW w:w="440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7"/>
        </w:trPr>
        <w:tc>
          <w:tcPr>
            <w:tcW w:w="5400" w:type="dxa"/>
            <w:vAlign w:val="bottom"/>
            <w:gridSpan w:val="8"/>
          </w:tcPr>
          <w:p>
            <w:pPr>
              <w:spacing w:after="0"/>
              <w:rPr>
                <w:sz w:val="20"/>
                <w:szCs w:val="20"/>
                <w:color w:val="auto"/>
              </w:rPr>
            </w:pPr>
            <w:r>
              <w:rPr>
                <w:rFonts w:ascii="Arial" w:cs="Arial" w:eastAsia="Arial" w:hAnsi="Arial"/>
                <w:sz w:val="18"/>
                <w:szCs w:val="18"/>
                <w:color w:val="auto"/>
              </w:rPr>
              <w:t>Printed name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2"/>
        </w:trPr>
        <w:tc>
          <w:tcPr>
            <w:tcW w:w="5400" w:type="dxa"/>
            <w:vAlign w:val="bottom"/>
            <w:gridSpan w:val="8"/>
          </w:tcPr>
          <w:p>
            <w:pPr>
              <w:spacing w:after="0"/>
              <w:rPr>
                <w:sz w:val="20"/>
                <w:szCs w:val="20"/>
                <w:color w:val="auto"/>
              </w:rPr>
            </w:pPr>
            <w:r>
              <w:rPr>
                <w:rFonts w:ascii="Arial" w:cs="Arial" w:eastAsia="Arial" w:hAnsi="Arial"/>
                <w:sz w:val="18"/>
                <w:szCs w:val="18"/>
                <w:color w:val="auto"/>
              </w:rPr>
              <w:t>CLO</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7"/>
        </w:trPr>
        <w:tc>
          <w:tcPr>
            <w:tcW w:w="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Title</w:t>
            </w:r>
          </w:p>
        </w:tc>
        <w:tc>
          <w:tcPr>
            <w:tcW w:w="5040" w:type="dxa"/>
            <w:vAlign w:val="bottom"/>
            <w:gridSpan w:val="6"/>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ectPr>
          <w:pgSz w:w="11900" w:h="16838" w:orient="portrait"/>
          <w:cols w:equalWidth="0" w:num="1">
            <w:col w:w="10219"/>
          </w:cols>
          <w:pgMar w:left="240" w:top="959" w:right="1440" w:bottom="1440" w:gutter="0" w:footer="0" w:header="0"/>
        </w:sectPr>
      </w:pPr>
    </w:p>
    <w:bookmarkStart w:id="176" w:name="page177"/>
    <w:bookmarkEnd w:id="1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ind w:left="182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630"/>
        </w:trPr>
        <w:tc>
          <w:tcPr>
            <w:tcW w:w="3620" w:type="dxa"/>
            <w:vAlign w:val="bottom"/>
          </w:tcPr>
          <w:p>
            <w:pPr>
              <w:spacing w:after="0"/>
              <w:rPr>
                <w:sz w:val="24"/>
                <w:szCs w:val="24"/>
                <w:color w:val="auto"/>
              </w:rPr>
            </w:pPr>
          </w:p>
        </w:tc>
        <w:tc>
          <w:tcPr>
            <w:tcW w:w="7800" w:type="dxa"/>
            <w:vAlign w:val="bottom"/>
            <w:gridSpan w:val="3"/>
          </w:tcPr>
          <w:p>
            <w:pPr>
              <w:jc w:val="center"/>
              <w:ind w:right="3511"/>
              <w:spacing w:after="0"/>
              <w:rPr>
                <w:sz w:val="20"/>
                <w:szCs w:val="20"/>
                <w:color w:val="auto"/>
              </w:rPr>
            </w:pPr>
            <w:r>
              <w:rPr>
                <w:rFonts w:ascii="Arial" w:cs="Arial" w:eastAsia="Arial" w:hAnsi="Arial"/>
                <w:sz w:val="18"/>
                <w:szCs w:val="18"/>
                <w:b w:val="1"/>
                <w:bCs w:val="1"/>
                <w:color w:val="auto"/>
              </w:rPr>
              <w:t>WESTERN DIGITAL CORPORATION</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7800" w:type="dxa"/>
            <w:vAlign w:val="bottom"/>
            <w:gridSpan w:val="3"/>
          </w:tcPr>
          <w:p>
            <w:pPr>
              <w:jc w:val="center"/>
              <w:ind w:right="3511"/>
              <w:spacing w:after="0"/>
              <w:rPr>
                <w:sz w:val="20"/>
                <w:szCs w:val="20"/>
                <w:color w:val="auto"/>
              </w:rPr>
            </w:pPr>
            <w:r>
              <w:rPr>
                <w:rFonts w:ascii="Arial" w:cs="Arial" w:eastAsia="Arial" w:hAnsi="Arial"/>
                <w:sz w:val="18"/>
                <w:szCs w:val="18"/>
                <w:b w:val="1"/>
                <w:bCs w:val="1"/>
                <w:color w:val="auto"/>
                <w:w w:val="99"/>
              </w:rPr>
              <w:t>SUBSIDIARIES OF THE COMPANY</w:t>
            </w:r>
          </w:p>
        </w:tc>
        <w:tc>
          <w:tcPr>
            <w:tcW w:w="0" w:type="dxa"/>
            <w:vAlign w:val="bottom"/>
          </w:tcPr>
          <w:p>
            <w:pPr>
              <w:spacing w:after="0"/>
              <w:rPr>
                <w:sz w:val="1"/>
                <w:szCs w:val="1"/>
                <w:color w:val="auto"/>
              </w:rPr>
            </w:pPr>
          </w:p>
        </w:tc>
      </w:tr>
      <w:tr>
        <w:trPr>
          <w:trHeight w:val="504"/>
        </w:trPr>
        <w:tc>
          <w:tcPr>
            <w:tcW w:w="3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Entity</w:t>
            </w: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vMerge w:val="continue"/>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Incorporation or Organization</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Amplidata N.V.</w:t>
            </w:r>
          </w:p>
        </w:tc>
        <w:tc>
          <w:tcPr>
            <w:tcW w:w="5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Amplidata, Inc.</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Arkeia Software SARL</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EasyStore Memory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Fabrik, LLC</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 Multisystems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Fusion-io (Beijing) Info Tech Co.,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Fusion-io GmbH</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Fusion-io Holdings S.A.R.L.</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Fusion-io Limited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Fusion-io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Fusion-io Poland SP.Z.O.O.</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Fusion-io SAS</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Fusion-io Singapore Private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Fusion-io Technology Limited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Fusion-io Tecnologica Brasil Ltda</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Fusion-io, LLC</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G-Tech, LLC</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HGSP (Shenzhen) Co.,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(Shenzhen) Co.,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(Thailand)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Asia Pte.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Consulting (Shanghai) Co.,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Europe,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Japan,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Malaysia Sdn. Bhd.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Netherlands B.V.</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Philippines Corp.</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Singapore Pte.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Technologies India Private Limited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Technologies Malaysia Sdn. Bhd.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Technologies Santa Ana, Inc.</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HGST, Inc.</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HICAP Properties Corp.</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ID7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Keen Personal Media, Inc.</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M-Systems (Cayman) Ltd</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M-Systems B.V.</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M-Systems Finance Inc.</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M-Systems Inc.</w:t>
            </w:r>
          </w:p>
        </w:tc>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P.P.S. Van Koppen Pensioen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Pacifica Insurance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Prestadora SD,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Read-Rite International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Read-Rite Philippines,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Sandbox Expansion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(Cayman)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(Ireland)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3D IP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3D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Bermuda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Bermuda Unlimited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BiCS IP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SanDisk Brasil Comercio de Semicondutores LTDA</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SanDIsk Brasil Industria de Semicondutor (RS) LTDA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SanDisk Brasil Participações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Brazil Manufacturing Holding I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Brazil Manufacturing Holding II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China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China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Enterprise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Enterprise IP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Equipment Y.K.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Flash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G.K.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Holding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IL Ltd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SanDisk India Device Design Centre Private Limited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SanDisk Information Technology (Shanghai) Co. Ltd.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SanDIsk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International Middle East FZE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Israel (Tefen)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Italy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Korea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Latin America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lnternational Holdco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Manufacturing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Manufacturing Americas,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Hawaii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8060" w:space="720"/>
            <w:col w:w="1580"/>
          </w:cols>
          <w:pgMar w:left="280" w:top="747" w:right="12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SanDisk Operations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Pazarlama Ve Ticaret Limited Sirketi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Scotland,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Semi-Conductor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Spain,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Storage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Sweden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Switzerland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Technologies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Trading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Trading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Schrader Acquisition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SCST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SD International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Shenzhen Hailiang Storage Products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Skyera,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SMART Storage Systems (SG),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SMART Storage Systems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STEC Bermuda,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STEC Europe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STEC Germany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STEC Hong Kong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STEC International Holding,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STEC Italy SRL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STEC Memory Technology Service (Shanghai) Co. Ltd.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STEC R&amp;D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STEC Taiwan Holding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Suntech Realty,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Virident Systems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Virident Systems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Virident Systems International Holding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Viviti Technologies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WD Media (Malaysia) Sdn.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WD Media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WD Media,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(Argentina)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(France)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(Fremont),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(I.S.)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(S.E. Asia)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(Thailand)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ectPr>
          <w:pgSz w:w="11900" w:h="16838" w:orient="portrait"/>
          <w:cols w:equalWidth="0" w:num="2">
            <w:col w:w="8060" w:space="720"/>
            <w:col w:w="1399"/>
          </w:cols>
          <w:pgMar w:left="280" w:top="747" w:right="1440"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Western Digital Canada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Capital Global,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Capital,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Deutschland GmbH</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Western Digital Do Brasil Comercio E Distribuicao De Produtos De Informatica Ltda.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Information Technology (Shanghai) Company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International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Ireland,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Japan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Korea,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Latin America,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Netherlands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Taiwan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Ontario, 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Republic of Korea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8060" w:space="720"/>
            <w:col w:w="1399"/>
          </w:cols>
          <w:pgMar w:left="280" w:top="747"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S-8 (Nos. 333-41423, 333-42991, 33-56128, 333-122475, 333-129813, 333-155661, 333-163133, 333-180286, 333-185194, 333-190290, 333-191216, 333-191910, 333-202646, 333-207842, 333-211420, 333-107227, 33-60168, and 333-95499) of Western Digital Corporation and subsidiaries of our reports dated August 26, 2016, with respect to the consolidated balance sheets of Western Digital Corporation and subsidiaries as of July 1, 2016 and July 3, 2015, and the related consolidated statements of income, comprehensive income, shareholders’ equity, and cash flows for each of the years in the three-year period ended July 1, 2016, and the related financial statement schedule, and the effectiveness of internal control over financial reporting as of July 1, 2016, which reports appear in the July 1, 2016, Annual Report on Form 10-K of Western Digital Corporation and subsidiaries.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report dated August 26, 2016, on the effectiveness of internal control over financial reporting as of July 1, 2016, contains an explanatory paragraph that states Western Digital Corporation and subsidiaries acquired SanDisk Corporation on May 12, 2016, and management excluded from its assessment of the effectiveness of Western Digital Corporation and subsidiaries’ internal control over financial reporting as of July 1, 2016, SanDisk Corporation’s internal control over financial reporting associated with total assets of 17% and total revenues of 6% of the related consolidated financial statement amounts included in the consolidated financial statements of Western Digital Corporation and subsidiaries as of and for the year ended July 1, 2016. Our audit of internal control over financial reporting of Western Digital Corporation and subsidiaries also excluded an evaluation of the internal control over financial reporting of SanDisk Corporation.</w:t>
      </w:r>
    </w:p>
    <w:p>
      <w:pPr>
        <w:spacing w:after="0" w:line="13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ectPr>
          <w:pgSz w:w="11900" w:h="16838" w:orient="portrait"/>
          <w:cols w:equalWidth="0" w:num="1">
            <w:col w:w="11420"/>
          </w:cols>
          <w:pgMar w:left="240" w:top="58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1160" w:hanging="180"/>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90" w:lineRule="exact"/>
        <w:rPr>
          <w:rFonts w:ascii="Arial" w:cs="Arial" w:eastAsia="Arial" w:hAnsi="Arial"/>
          <w:sz w:val="18"/>
          <w:szCs w:val="18"/>
          <w:color w:val="auto"/>
        </w:rPr>
      </w:pPr>
    </w:p>
    <w:p>
      <w:pPr>
        <w:ind w:right="60" w:firstLine="980"/>
        <w:spacing w:after="0" w:line="334" w:lineRule="auto"/>
        <w:tabs>
          <w:tab w:leader="none" w:pos="1152"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20" w:firstLine="980"/>
        <w:spacing w:after="0" w:line="308" w:lineRule="auto"/>
        <w:tabs>
          <w:tab w:leader="none" w:pos="1152"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right="40" w:firstLine="980"/>
        <w:spacing w:after="0" w:line="264" w:lineRule="auto"/>
        <w:tabs>
          <w:tab w:leader="none" w:pos="11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right="60" w:firstLine="972"/>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sz w:val="20"/>
          <w:szCs w:val="20"/>
          <w:color w:val="auto"/>
        </w:rPr>
      </w:pPr>
    </w:p>
    <w:p>
      <w:pPr>
        <w:ind w:right="20" w:firstLine="972"/>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sz w:val="20"/>
          <w:szCs w:val="20"/>
          <w:color w:val="auto"/>
        </w:rPr>
      </w:pPr>
    </w:p>
    <w:p>
      <w:pPr>
        <w:ind w:right="560" w:firstLine="972"/>
        <w:spacing w:after="0" w:line="334" w:lineRule="auto"/>
        <w:rPr>
          <w:sz w:val="20"/>
          <w:szCs w:val="20"/>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right="40" w:firstLine="972"/>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sz w:val="20"/>
          <w:szCs w:val="20"/>
          <w:color w:val="auto"/>
        </w:rPr>
      </w:pPr>
    </w:p>
    <w:p>
      <w:pPr>
        <w:ind w:right="680" w:firstLine="980"/>
        <w:spacing w:after="0" w:line="334" w:lineRule="auto"/>
        <w:tabs>
          <w:tab w:leader="none" w:pos="1152"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right="780" w:firstLine="972"/>
        <w:spacing w:after="0" w:line="308" w:lineRule="auto"/>
        <w:rPr>
          <w:sz w:val="20"/>
          <w:szCs w:val="20"/>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sz w:val="20"/>
          <w:szCs w:val="20"/>
          <w:color w:val="auto"/>
        </w:rPr>
      </w:pPr>
    </w:p>
    <w:p>
      <w:pPr>
        <w:ind w:right="460" w:firstLine="972"/>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8"/>
          <w:szCs w:val="18"/>
          <w:color w:val="auto"/>
        </w:rPr>
        <w:t>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2016</w:t>
      </w:r>
    </w:p>
    <w:p>
      <w:pPr>
        <w:sectPr>
          <w:pgSz w:w="11900" w:h="16838" w:orient="portrait"/>
          <w:cols w:equalWidth="0" w:num="1">
            <w:col w:w="11420"/>
          </w:cols>
          <w:pgMar w:left="240" w:top="58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Olivier C. Leonetti, certify that:</w:t>
      </w:r>
    </w:p>
    <w:p>
      <w:pPr>
        <w:spacing w:after="0" w:line="90" w:lineRule="exact"/>
        <w:rPr>
          <w:sz w:val="20"/>
          <w:szCs w:val="20"/>
          <w:color w:val="auto"/>
        </w:rPr>
      </w:pPr>
    </w:p>
    <w:p>
      <w:pPr>
        <w:ind w:left="1240" w:hanging="179"/>
        <w:spacing w:after="0"/>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90" w:lineRule="exact"/>
        <w:rPr>
          <w:rFonts w:ascii="Arial" w:cs="Arial" w:eastAsia="Arial" w:hAnsi="Arial"/>
          <w:sz w:val="18"/>
          <w:szCs w:val="18"/>
          <w:color w:val="auto"/>
        </w:rPr>
      </w:pPr>
    </w:p>
    <w:p>
      <w:pPr>
        <w:ind w:right="260" w:firstLine="1061"/>
        <w:spacing w:after="0" w:line="264" w:lineRule="auto"/>
        <w:tabs>
          <w:tab w:leader="none" w:pos="1233"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right="560" w:firstLine="1061"/>
        <w:spacing w:after="0" w:line="308" w:lineRule="auto"/>
        <w:tabs>
          <w:tab w:leader="none" w:pos="1233"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right="40" w:firstLine="1061"/>
        <w:spacing w:after="0" w:line="264" w:lineRule="auto"/>
        <w:tabs>
          <w:tab w:leader="none" w:pos="123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right="160" w:firstLine="1053"/>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sz w:val="20"/>
          <w:szCs w:val="20"/>
          <w:color w:val="auto"/>
        </w:rPr>
      </w:pPr>
    </w:p>
    <w:p>
      <w:pPr>
        <w:ind w:right="20" w:firstLine="1053"/>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sz w:val="20"/>
          <w:szCs w:val="20"/>
          <w:color w:val="auto"/>
        </w:rPr>
      </w:pPr>
    </w:p>
    <w:p>
      <w:pPr>
        <w:ind w:right="480" w:firstLine="1053"/>
        <w:spacing w:after="0" w:line="334" w:lineRule="auto"/>
        <w:rPr>
          <w:sz w:val="20"/>
          <w:szCs w:val="20"/>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jc w:val="both"/>
        <w:ind w:right="420" w:firstLine="1053"/>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sz w:val="20"/>
          <w:szCs w:val="20"/>
          <w:color w:val="auto"/>
        </w:rPr>
      </w:pPr>
    </w:p>
    <w:p>
      <w:pPr>
        <w:ind w:right="600" w:firstLine="1061"/>
        <w:spacing w:after="0" w:line="334" w:lineRule="auto"/>
        <w:tabs>
          <w:tab w:leader="none" w:pos="1233"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right="700" w:firstLine="1053"/>
        <w:spacing w:after="0" w:line="308" w:lineRule="auto"/>
        <w:rPr>
          <w:sz w:val="20"/>
          <w:szCs w:val="20"/>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sz w:val="20"/>
          <w:szCs w:val="20"/>
          <w:color w:val="auto"/>
        </w:rPr>
      </w:pPr>
    </w:p>
    <w:p>
      <w:pPr>
        <w:ind w:right="380" w:firstLine="1053"/>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OLIVIER C.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2016</w:t>
      </w:r>
    </w:p>
    <w:p>
      <w:pPr>
        <w:sectPr>
          <w:pgSz w:w="11900" w:h="16838" w:orient="portrait"/>
          <w:cols w:equalWidth="0" w:num="1">
            <w:col w:w="11420"/>
          </w:cols>
          <w:pgMar w:left="240" w:top="581" w:right="239" w:bottom="1440" w:gutter="0" w:footer="0" w:header="0"/>
        </w:sectPr>
      </w:pPr>
    </w:p>
    <w:bookmarkStart w:id="183" w:name="page184"/>
    <w:bookmarkEnd w:id="183"/>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840" w:firstLine="440"/>
        <w:spacing w:after="0" w:line="308" w:lineRule="auto"/>
        <w:tabs>
          <w:tab w:leader="none" w:pos="647"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July 1, 2016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700" w:hanging="260"/>
        <w:spacing w:after="0"/>
        <w:tabs>
          <w:tab w:leader="none" w:pos="7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jc w:val="center"/>
        <w:ind w:left="652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8"/>
          <w:szCs w:val="18"/>
          <w:color w:val="auto"/>
        </w:rPr>
        <w:t>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2016</w:t>
      </w:r>
    </w:p>
    <w:p>
      <w:pPr>
        <w:sectPr>
          <w:pgSz w:w="11900" w:h="16838" w:orient="portrait"/>
          <w:cols w:equalWidth="0" w:num="1">
            <w:col w:w="11420"/>
          </w:cols>
          <w:pgMar w:left="240" w:top="580" w:right="239" w:bottom="1440" w:gutter="0" w:footer="0" w:header="0"/>
        </w:sectPr>
      </w:pPr>
    </w:p>
    <w:bookmarkStart w:id="184" w:name="page185"/>
    <w:bookmarkEnd w:id="184"/>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840" w:firstLine="440"/>
        <w:spacing w:after="0" w:line="308" w:lineRule="auto"/>
        <w:tabs>
          <w:tab w:leader="none" w:pos="647"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July 1, 2016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700" w:hanging="260"/>
        <w:spacing w:after="0"/>
        <w:tabs>
          <w:tab w:leader="none" w:pos="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OLIVIER C.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2016</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x"/>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lvl w:ilvl="1">
      <w:lvlJc w:val="left"/>
      <w:lvlText w:val="•"/>
      <w:numFmt w:val="bullet"/>
      <w:start w:val="1"/>
    </w:lvl>
  </w:abstractNum>
  <w:abstractNum w:abstractNumId="3">
    <w:nsid w:val="749ABB43"/>
    <w:multiLevelType w:val="hybridMultilevel"/>
    <w:lvl w:ilvl="0">
      <w:lvlJc w:val="left"/>
      <w:lvlText w:val="%1."/>
      <w:numFmt w:val="decimal"/>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1)"/>
      <w:numFmt w:val="decimal"/>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1)"/>
      <w:numFmt w:val="lowerRoman"/>
      <w:start w:val="2"/>
    </w:lvl>
  </w:abstractNum>
  <w:abstractNum w:abstractNumId="37">
    <w:nsid w:val="1F48EAA1"/>
    <w:multiLevelType w:val="hybridMultilevel"/>
    <w:lvl w:ilvl="0">
      <w:lvlJc w:val="left"/>
      <w:lvlText w:val="(%1)"/>
      <w:numFmt w:val="lowerLetter"/>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1)"/>
      <w:numFmt w:val="decimal"/>
      <w:start w:val="1"/>
    </w:lvl>
  </w:abstractNum>
  <w:abstractNum w:abstractNumId="43">
    <w:nsid w:val="5F5E7FD0"/>
    <w:multiLevelType w:val="hybridMultilevel"/>
    <w:lvl w:ilvl="0">
      <w:lvlJc w:val="left"/>
      <w:lvlText w:val="%1."/>
      <w:numFmt w:val="decimal"/>
      <w:start w:val="1"/>
    </w:lvl>
    <w:lvl w:ilvl="1">
      <w:lvlJc w:val="left"/>
      <w:lvlText w:val="%2."/>
      <w:numFmt w:val="upperLetter"/>
      <w:start w:val="1"/>
    </w:lvl>
  </w:abstractNum>
  <w:abstractNum w:abstractNumId="44">
    <w:nsid w:val="98A3148"/>
    <w:multiLevelType w:val="hybridMultilevel"/>
    <w:lvl w:ilvl="0">
      <w:lvlJc w:val="left"/>
      <w:lvlText w:val="%1."/>
      <w:numFmt w:val="upperLetter"/>
      <w:start w:val="2"/>
    </w:lvl>
  </w:abstractNum>
  <w:abstractNum w:abstractNumId="45">
    <w:nsid w:val="799D0247"/>
    <w:multiLevelType w:val="hybridMultilevel"/>
    <w:lvl w:ilvl="0">
      <w:lvlJc w:val="left"/>
      <w:lvlText w:val="%1."/>
      <w:numFmt w:val="upperLetter"/>
      <w:start w:val="5"/>
    </w:lvl>
  </w:abstractNum>
  <w:abstractNum w:abstractNumId="46">
    <w:nsid w:val="6B94764"/>
    <w:multiLevelType w:val="hybridMultilevel"/>
    <w:lvl w:ilvl="0">
      <w:lvlJc w:val="left"/>
      <w:lvlText w:val="%1."/>
      <w:numFmt w:val="upperLetter"/>
      <w:start w:val="8"/>
    </w:lvl>
  </w:abstractNum>
  <w:abstractNum w:abstractNumId="47">
    <w:nsid w:val="42C296BD"/>
    <w:multiLevelType w:val="hybridMultilevel"/>
    <w:lvl w:ilvl="0">
      <w:lvlJc w:val="left"/>
      <w:lvlText w:val="%1."/>
      <w:numFmt w:val="decimal"/>
      <w:start w:val="3"/>
    </w:lvl>
    <w:lvl w:ilvl="1">
      <w:lvlJc w:val="left"/>
      <w:lvlText w:val="%2."/>
      <w:numFmt w:val="upperLetter"/>
      <w:start w:val="1"/>
    </w:lvl>
  </w:abstractNum>
  <w:abstractNum w:abstractNumId="48">
    <w:nsid w:val="168E121F"/>
    <w:multiLevelType w:val="hybridMultilevel"/>
    <w:lvl w:ilvl="0">
      <w:lvlJc w:val="left"/>
      <w:lvlText w:val="%1."/>
      <w:numFmt w:val="upperLetter"/>
      <w:start w:val="2"/>
    </w:lvl>
  </w:abstractNum>
  <w:abstractNum w:abstractNumId="49">
    <w:nsid w:val="1EBA5D23"/>
    <w:multiLevelType w:val="hybridMultilevel"/>
    <w:lvl w:ilvl="0">
      <w:lvlJc w:val="left"/>
      <w:lvlText w:val="%1"/>
      <w:numFmt w:val="decimal"/>
      <w:start w:val="1"/>
    </w:lvl>
    <w:lvl w:ilvl="1">
      <w:lvlJc w:val="left"/>
      <w:lvlText w:val="%2."/>
      <w:numFmt w:val="upperLetter"/>
      <w:start w:val="7"/>
    </w:lvl>
  </w:abstractNum>
  <w:abstractNum w:abstractNumId="50">
    <w:nsid w:val="661E3F1E"/>
    <w:multiLevelType w:val="hybridMultilevel"/>
    <w:lvl w:ilvl="0">
      <w:lvlJc w:val="left"/>
      <w:lvlText w:val="%1."/>
      <w:numFmt w:val="decimal"/>
      <w:start w:val="4"/>
    </w:lvl>
    <w:lvl w:ilvl="1">
      <w:lvlJc w:val="left"/>
      <w:lvlText w:val="%2"/>
      <w:numFmt w:val="upperLetter"/>
      <w:start w:val="1"/>
    </w:lvl>
  </w:abstractNum>
  <w:abstractNum w:abstractNumId="51">
    <w:nsid w:val="5DC79EA8"/>
    <w:multiLevelType w:val="hybridMultilevel"/>
    <w:lvl w:ilvl="0">
      <w:lvlJc w:val="left"/>
      <w:lvlText w:val="%1."/>
      <w:numFmt w:val="decimal"/>
      <w:start w:val="5"/>
    </w:lvl>
  </w:abstractNum>
  <w:abstractNum w:abstractNumId="52">
    <w:nsid w:val="540A471C"/>
    <w:multiLevelType w:val="hybridMultilevel"/>
    <w:lvl w:ilvl="0">
      <w:lvlJc w:val="left"/>
      <w:lvlText w:val="%1."/>
      <w:numFmt w:val="decimal"/>
      <w:start w:val="9"/>
    </w:lvl>
  </w:abstractNum>
  <w:abstractNum w:abstractNumId="53">
    <w:nsid w:val="7BD3EE7B"/>
    <w:multiLevelType w:val="hybridMultilevel"/>
    <w:lvl w:ilvl="0">
      <w:lvlJc w:val="left"/>
      <w:lvlText w:val="%1."/>
      <w:numFmt w:val="decimal"/>
      <w:start w:val="14"/>
    </w:lvl>
  </w:abstractNum>
  <w:abstractNum w:abstractNumId="54">
    <w:nsid w:val="51D9C564"/>
    <w:multiLevelType w:val="hybridMultilevel"/>
    <w:lvl w:ilvl="0">
      <w:lvlJc w:val="left"/>
      <w:lvlText w:val="%1."/>
      <w:numFmt w:val="decimal"/>
      <w:start w:val="18"/>
    </w:lvl>
  </w:abstractNum>
  <w:abstractNum w:abstractNumId="55">
    <w:nsid w:val="613EFDC5"/>
    <w:multiLevelType w:val="hybridMultilevel"/>
    <w:lvl w:ilvl="0">
      <w:lvlJc w:val="left"/>
      <w:lvlText w:val="%1"/>
      <w:numFmt w:val="decimal"/>
      <w:start w:val="1"/>
    </w:lvl>
    <w:lvl w:ilvl="1">
      <w:lvlJc w:val="left"/>
      <w:lvlText w:val="%2."/>
      <w:numFmt w:val="decimal"/>
      <w:start w:val="26"/>
    </w:lvl>
    <w:lvl w:ilvl="2">
      <w:lvlJc w:val="left"/>
      <w:lvlText w:val="%3."/>
      <w:numFmt w:val="upperLetter"/>
      <w:start w:val="1"/>
    </w:lvl>
  </w:abstractNum>
  <w:abstractNum w:abstractNumId="56">
    <w:nsid w:val="BF72B14"/>
    <w:multiLevelType w:val="hybridMultilevel"/>
    <w:lvl w:ilvl="0">
      <w:lvlJc w:val="left"/>
      <w:lvlText w:val="%1."/>
      <w:numFmt w:val="decimal"/>
      <w:start w:val="27"/>
    </w:lvl>
    <w:lvl w:ilvl="1">
      <w:lvlJc w:val="left"/>
      <w:lvlText w:val="%2"/>
      <w:numFmt w:val="decimal"/>
      <w:start w:val="1"/>
    </w:lvl>
    <w:lvl w:ilvl="2">
      <w:lvlJc w:val="left"/>
      <w:lvlText w:val="%3"/>
      <w:numFmt w:val="upperLetter"/>
      <w:start w:val="1"/>
    </w:lvl>
  </w:abstractNum>
  <w:abstractNum w:abstractNumId="57">
    <w:nsid w:val="11447B73"/>
    <w:multiLevelType w:val="hybridMultilevel"/>
    <w:lvl w:ilvl="0">
      <w:lvlJc w:val="left"/>
      <w:lvlText w:val="%1."/>
      <w:numFmt w:val="decimal"/>
      <w:start w:val="1"/>
    </w:lvl>
    <w:lvl w:ilvl="1">
      <w:lvlJc w:val="left"/>
      <w:lvlText w:val="%2."/>
      <w:numFmt w:val="upperLetter"/>
      <w:start w:val="1"/>
    </w:lvl>
  </w:abstractNum>
  <w:abstractNum w:abstractNumId="58">
    <w:nsid w:val="42963E5A"/>
    <w:multiLevelType w:val="hybridMultilevel"/>
    <w:lvl w:ilvl="0">
      <w:lvlJc w:val="left"/>
      <w:lvlText w:val="%1."/>
      <w:numFmt w:val="upperLetter"/>
      <w:start w:val="2"/>
    </w:lvl>
  </w:abstractNum>
  <w:abstractNum w:abstractNumId="59">
    <w:nsid w:val="A0382C5"/>
    <w:multiLevelType w:val="hybridMultilevel"/>
    <w:lvl w:ilvl="0">
      <w:lvlJc w:val="left"/>
      <w:lvlText w:val="%1"/>
      <w:numFmt w:val="decimal"/>
      <w:start w:val="1"/>
    </w:lvl>
    <w:lvl w:ilvl="1">
      <w:lvlJc w:val="left"/>
      <w:lvlText w:val="%2."/>
      <w:numFmt w:val="upperLetter"/>
      <w:start w:val="7"/>
    </w:lvl>
  </w:abstractNum>
  <w:abstractNum w:abstractNumId="60">
    <w:nsid w:val="8F2B15E"/>
    <w:multiLevelType w:val="hybridMultilevel"/>
    <w:lvl w:ilvl="0">
      <w:lvlJc w:val="left"/>
      <w:lvlText w:val="%1."/>
      <w:numFmt w:val="decimal"/>
      <w:start w:val="2"/>
    </w:lvl>
    <w:lvl w:ilvl="1">
      <w:lvlJc w:val="left"/>
      <w:lvlText w:val="%2"/>
      <w:numFmt w:val="upperLetter"/>
      <w:start w:val="1"/>
    </w:lvl>
  </w:abstractNum>
  <w:abstractNum w:abstractNumId="61">
    <w:nsid w:val="1A32234B"/>
    <w:multiLevelType w:val="hybridMultilevel"/>
    <w:lvl w:ilvl="0">
      <w:lvlJc w:val="left"/>
      <w:lvlText w:val="%1."/>
      <w:numFmt w:val="decimal"/>
      <w:start w:val="3"/>
    </w:lvl>
  </w:abstractNum>
  <w:abstractNum w:abstractNumId="62">
    <w:nsid w:val="3B0FD379"/>
    <w:multiLevelType w:val="hybridMultilevel"/>
    <w:lvl w:ilvl="0">
      <w:lvlJc w:val="left"/>
      <w:lvlText w:val="%1."/>
      <w:numFmt w:val="decimal"/>
      <w:start w:val="4"/>
    </w:lvl>
    <w:lvl w:ilvl="1">
      <w:lvlJc w:val="left"/>
      <w:lvlText w:val="%2."/>
      <w:numFmt w:val="decimal"/>
      <w:start w:val="7"/>
    </w:lvl>
  </w:abstractNum>
  <w:abstractNum w:abstractNumId="63">
    <w:nsid w:val="68EB2F63"/>
    <w:multiLevelType w:val="hybridMultilevel"/>
    <w:lvl w:ilvl="0">
      <w:lvlJc w:val="left"/>
      <w:lvlText w:val="%1."/>
      <w:numFmt w:val="decimal"/>
      <w:start w:val="10"/>
    </w:lvl>
  </w:abstractNum>
  <w:abstractNum w:abstractNumId="64">
    <w:nsid w:val="4962813B"/>
    <w:multiLevelType w:val="hybridMultilevel"/>
    <w:lvl w:ilvl="0">
      <w:lvlJc w:val="left"/>
      <w:lvlText w:val="%1."/>
      <w:numFmt w:val="decimal"/>
      <w:start w:val="1"/>
    </w:lvl>
    <w:lvl w:ilvl="1">
      <w:lvlJc w:val="left"/>
      <w:lvlText w:val="%2."/>
      <w:numFmt w:val="upperLetter"/>
      <w:start w:val="1"/>
    </w:lvl>
  </w:abstractNum>
  <w:abstractNum w:abstractNumId="65">
    <w:nsid w:val="60B6DF70"/>
    <w:multiLevelType w:val="hybridMultilevel"/>
    <w:lvl w:ilvl="0">
      <w:lvlJc w:val="left"/>
      <w:lvlText w:val="%1."/>
      <w:numFmt w:val="upperLetter"/>
      <w:start w:val="3"/>
    </w:lvl>
  </w:abstractNum>
  <w:abstractNum w:abstractNumId="66">
    <w:nsid w:val="6A5EE64"/>
    <w:multiLevelType w:val="hybridMultilevel"/>
    <w:lvl w:ilvl="0">
      <w:lvlJc w:val="left"/>
      <w:lvlText w:val="%1."/>
      <w:numFmt w:val="upperLetter"/>
      <w:start w:val="6"/>
    </w:lvl>
  </w:abstractNum>
  <w:abstractNum w:abstractNumId="67">
    <w:nsid w:val="14330624"/>
    <w:multiLevelType w:val="hybridMultilevel"/>
    <w:lvl w:ilvl="0">
      <w:lvlJc w:val="left"/>
      <w:lvlText w:val="%1."/>
      <w:numFmt w:val="decimal"/>
      <w:start w:val="3"/>
    </w:lvl>
    <w:lvl w:ilvl="1">
      <w:lvlJc w:val="left"/>
      <w:lvlText w:val="%2."/>
      <w:numFmt w:val="upperLetter"/>
      <w:start w:val="1"/>
    </w:lvl>
  </w:abstractNum>
  <w:abstractNum w:abstractNumId="68">
    <w:nsid w:val="7FFFCA11"/>
    <w:multiLevelType w:val="hybridMultilevel"/>
    <w:lvl w:ilvl="0">
      <w:lvlJc w:val="left"/>
      <w:lvlText w:val="%1."/>
      <w:numFmt w:val="upperLetter"/>
      <w:start w:val="2"/>
    </w:lvl>
  </w:abstractNum>
  <w:abstractNum w:abstractNumId="69">
    <w:nsid w:val="1A27709E"/>
    <w:multiLevelType w:val="hybridMultilevel"/>
    <w:lvl w:ilvl="0">
      <w:lvlJc w:val="left"/>
      <w:lvlText w:val="%1."/>
      <w:numFmt w:val="upperLetter"/>
      <w:start w:val="4"/>
    </w:lvl>
  </w:abstractNum>
  <w:abstractNum w:abstractNumId="70">
    <w:nsid w:val="71EA1109"/>
    <w:multiLevelType w:val="hybridMultilevel"/>
    <w:lvl w:ilvl="0">
      <w:lvlJc w:val="left"/>
      <w:lvlText w:val="%1."/>
      <w:numFmt w:val="decimal"/>
      <w:start w:val="4"/>
    </w:lvl>
  </w:abstractNum>
  <w:abstractNum w:abstractNumId="71">
    <w:nsid w:val="100F59DC"/>
    <w:multiLevelType w:val="hybridMultilevel"/>
    <w:lvl w:ilvl="0">
      <w:lvlJc w:val="left"/>
      <w:lvlText w:val="%1"/>
      <w:numFmt w:val="decimal"/>
      <w:start w:val="1"/>
    </w:lvl>
    <w:lvl w:ilvl="1">
      <w:lvlJc w:val="left"/>
      <w:lvlText w:val="%2."/>
      <w:numFmt w:val="decimal"/>
      <w:start w:val="5"/>
    </w:lvl>
  </w:abstractNum>
  <w:abstractNum w:abstractNumId="72">
    <w:nsid w:val="7FB7E0AA"/>
    <w:multiLevelType w:val="hybridMultilevel"/>
    <w:lvl w:ilvl="0">
      <w:lvlJc w:val="left"/>
      <w:lvlText w:val="(%1)"/>
      <w:numFmt w:val="decimal"/>
      <w:start w:val="7"/>
    </w:lvl>
    <w:lvl w:ilvl="1">
      <w:lvlJc w:val="left"/>
      <w:lvlText w:val="%2."/>
      <w:numFmt w:val="decimal"/>
      <w:start w:val="7"/>
    </w:lvl>
  </w:abstractNum>
  <w:abstractNum w:abstractNumId="73">
    <w:nsid w:val="6EB5BD4"/>
    <w:multiLevelType w:val="hybridMultilevel"/>
    <w:lvl w:ilvl="0">
      <w:lvlJc w:val="left"/>
      <w:lvlText w:val="%1."/>
      <w:numFmt w:val="decimal"/>
      <w:start w:val="8"/>
    </w:lvl>
  </w:abstractNum>
  <w:abstractNum w:abstractNumId="74">
    <w:nsid w:val="6F6DD9AC"/>
    <w:multiLevelType w:val="hybridMultilevel"/>
    <w:lvl w:ilvl="0">
      <w:lvlJc w:val="left"/>
      <w:lvlText w:val="%1."/>
      <w:numFmt w:val="decimal"/>
      <w:start w:val="13"/>
    </w:lvl>
  </w:abstractNum>
  <w:abstractNum w:abstractNumId="75">
    <w:nsid w:val="94211F2"/>
    <w:multiLevelType w:val="hybridMultilevel"/>
    <w:lvl w:ilvl="0">
      <w:lvlJc w:val="left"/>
      <w:lvlText w:val="%1."/>
      <w:numFmt w:val="decimal"/>
      <w:start w:val="17"/>
    </w:lvl>
  </w:abstractNum>
  <w:abstractNum w:abstractNumId="76">
    <w:nsid w:val="885E1B"/>
    <w:multiLevelType w:val="hybridMultilevel"/>
    <w:lvl w:ilvl="0">
      <w:lvlJc w:val="left"/>
      <w:lvlText w:val="%1."/>
      <w:numFmt w:val="decimal"/>
      <w:start w:val="22"/>
    </w:lvl>
    <w:lvl w:ilvl="1">
      <w:lvlJc w:val="left"/>
      <w:lvlText w:val="%2."/>
      <w:numFmt w:val="upperLetter"/>
      <w:start w:val="1"/>
    </w:lvl>
  </w:abstractNum>
  <w:abstractNum w:abstractNumId="77">
    <w:nsid w:val="76272110"/>
    <w:multiLevelType w:val="hybridMultilevel"/>
    <w:lvl w:ilvl="0">
      <w:lvlJc w:val="left"/>
      <w:lvlText w:val="%1"/>
      <w:numFmt w:val="decimal"/>
      <w:start w:val="1"/>
    </w:lvl>
    <w:lvl w:ilvl="1">
      <w:lvlJc w:val="left"/>
      <w:lvlText w:val="%2."/>
      <w:numFmt w:val="upperLetter"/>
      <w:start w:val="3"/>
    </w:lvl>
  </w:abstractNum>
  <w:abstractNum w:abstractNumId="78">
    <w:nsid w:val="4C04A8AF"/>
    <w:multiLevelType w:val="hybridMultilevel"/>
    <w:lvl w:ilvl="0">
      <w:lvlJc w:val="left"/>
      <w:lvlText w:val="%1."/>
      <w:numFmt w:val="decimal"/>
      <w:start w:val="28"/>
    </w:lvl>
    <w:lvl w:ilvl="1">
      <w:lvlJc w:val="left"/>
      <w:lvlText w:val="%2"/>
      <w:numFmt w:val="upperLetter"/>
      <w:start w:val="1"/>
    </w:lvl>
  </w:abstractNum>
  <w:abstractNum w:abstractNumId="79">
    <w:nsid w:val="1716703B"/>
    <w:multiLevelType w:val="hybridMultilevel"/>
    <w:lvl w:ilvl="0">
      <w:lvlJc w:val="left"/>
      <w:lvlText w:val="%1."/>
      <w:numFmt w:val="decimal"/>
      <w:start w:val="1"/>
    </w:lvl>
    <w:lvl w:ilvl="1">
      <w:lvlJc w:val="left"/>
      <w:lvlText w:val="%2."/>
      <w:numFmt w:val="upperLetter"/>
      <w:start w:val="1"/>
    </w:lvl>
  </w:abstractNum>
  <w:abstractNum w:abstractNumId="80">
    <w:nsid w:val="14E17E33"/>
    <w:multiLevelType w:val="hybridMultilevel"/>
    <w:lvl w:ilvl="0">
      <w:lvlJc w:val="left"/>
      <w:lvlText w:val="%1."/>
      <w:numFmt w:val="upperLetter"/>
      <w:start w:val="2"/>
    </w:lvl>
  </w:abstractNum>
  <w:abstractNum w:abstractNumId="81">
    <w:nsid w:val="3222E7CD"/>
    <w:multiLevelType w:val="hybridMultilevel"/>
    <w:lvl w:ilvl="0">
      <w:lvlJc w:val="left"/>
      <w:lvlText w:val="%1"/>
      <w:numFmt w:val="decimal"/>
      <w:start w:val="1"/>
    </w:lvl>
    <w:lvl w:ilvl="1">
      <w:lvlJc w:val="left"/>
      <w:lvlText w:val="%2."/>
      <w:numFmt w:val="upperLetter"/>
      <w:start w:val="7"/>
    </w:lvl>
  </w:abstractNum>
  <w:abstractNum w:abstractNumId="82">
    <w:nsid w:val="74DE0EE3"/>
    <w:multiLevelType w:val="hybridMultilevel"/>
    <w:lvl w:ilvl="0">
      <w:lvlJc w:val="left"/>
      <w:lvlText w:val="%1."/>
      <w:numFmt w:val="decimal"/>
      <w:start w:val="2"/>
    </w:lvl>
    <w:lvl w:ilvl="1">
      <w:lvlJc w:val="left"/>
      <w:lvlText w:val="%2"/>
      <w:numFmt w:val="upperLetter"/>
      <w:start w:val="1"/>
    </w:lvl>
  </w:abstractNum>
  <w:abstractNum w:abstractNumId="83">
    <w:nsid w:val="68EBC550"/>
    <w:multiLevelType w:val="hybridMultilevel"/>
    <w:lvl w:ilvl="0">
      <w:lvlJc w:val="left"/>
      <w:lvlText w:val="%1."/>
      <w:numFmt w:val="decimal"/>
      <w:start w:val="3"/>
    </w:lvl>
  </w:abstractNum>
  <w:abstractNum w:abstractNumId="84">
    <w:nsid w:val="2DF6D648"/>
    <w:multiLevelType w:val="hybridMultilevel"/>
    <w:lvl w:ilvl="0">
      <w:lvlJc w:val="left"/>
      <w:lvlText w:val="%1."/>
      <w:numFmt w:val="decimal"/>
      <w:start w:val="4"/>
    </w:lvl>
  </w:abstractNum>
  <w:abstractNum w:abstractNumId="85">
    <w:nsid w:val="46B7D447"/>
    <w:multiLevelType w:val="hybridMultilevel"/>
    <w:lvl w:ilvl="0">
      <w:lvlJc w:val="left"/>
      <w:lvlText w:val="%1."/>
      <w:numFmt w:val="decimal"/>
      <w:start w:val="10"/>
    </w:lvl>
  </w:abstractNum>
  <w:abstractNum w:abstractNumId="86">
    <w:nsid w:val="4A2AC315"/>
    <w:multiLevelType w:val="hybridMultilevel"/>
    <w:lvl w:ilvl="0">
      <w:lvlJc w:val="left"/>
      <w:lvlText w:val="%1"/>
      <w:numFmt w:val="decimal"/>
      <w:start w:val="1"/>
    </w:lvl>
    <w:lvl w:ilvl="1">
      <w:lvlJc w:val="left"/>
      <w:lvlText w:val="%2."/>
      <w:numFmt w:val="decimal"/>
      <w:start w:val="1"/>
    </w:lvl>
  </w:abstractNum>
  <w:abstractNum w:abstractNumId="87">
    <w:nsid w:val="39EE015C"/>
    <w:multiLevelType w:val="hybridMultilevel"/>
    <w:lvl w:ilvl="0">
      <w:lvlJc w:val="left"/>
      <w:lvlText w:val="(%1)"/>
      <w:numFmt w:val="decimal"/>
      <w:start w:val="15"/>
    </w:lvl>
    <w:lvl w:ilvl="1">
      <w:lvlJc w:val="left"/>
      <w:lvlText w:val="%2"/>
      <w:numFmt w:val="decimal"/>
      <w:start w:val="1"/>
    </w:lvl>
  </w:abstractNum>
  <w:abstractNum w:abstractNumId="88">
    <w:nsid w:val="57FC4FBB"/>
    <w:multiLevelType w:val="hybridMultilevel"/>
    <w:lvl w:ilvl="0">
      <w:lvlJc w:val="left"/>
      <w:lvlText w:val="%1."/>
      <w:numFmt w:val="decimal"/>
      <w:start w:val="5"/>
    </w:lvl>
  </w:abstractNum>
  <w:abstractNum w:abstractNumId="89">
    <w:nsid w:val="CC1016F"/>
    <w:multiLevelType w:val="hybridMultilevel"/>
    <w:lvl w:ilvl="0">
      <w:lvlJc w:val="left"/>
      <w:lvlText w:val="%1."/>
      <w:numFmt w:val="decimal"/>
      <w:start w:val="8"/>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decimal"/>
      <w:start w:val="5"/>
    </w:lvl>
  </w:abstractNum>
  <w:abstractNum w:abstractNumId="92">
    <w:nsid w:val="26F324BA"/>
    <w:multiLevelType w:val="hybridMultilevel"/>
    <w:lvl w:ilvl="0">
      <w:lvlJc w:val="left"/>
      <w:lvlText w:val="%1."/>
      <w:numFmt w:val="decimal"/>
      <w:start w:val="1"/>
    </w:lvl>
  </w:abstractNum>
  <w:abstractNum w:abstractNumId="93">
    <w:nsid w:val="7F01579B"/>
    <w:multiLevelType w:val="hybridMultilevel"/>
    <w:lvl w:ilvl="0">
      <w:lvlJc w:val="left"/>
      <w:lvlText w:val="%1."/>
      <w:numFmt w:val="decimal"/>
      <w:start w:val="5"/>
    </w:lvl>
  </w:abstractNum>
  <w:abstractNum w:abstractNumId="94">
    <w:nsid w:val="49DA307D"/>
    <w:multiLevelType w:val="hybridMultilevel"/>
    <w:lvl w:ilvl="0">
      <w:lvlJc w:val="left"/>
      <w:lvlText w:val="(%1)"/>
      <w:numFmt w:val="lowerRoman"/>
      <w:start w:val="1"/>
    </w:lvl>
  </w:abstractNum>
  <w:abstractNum w:abstractNumId="95">
    <w:nsid w:val="7055A5F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2019-12-29T10:56:51Z</dcterms:created>
  <dcterms:modified xsi:type="dcterms:W3CDTF">2019-12-29T10:56:51Z</dcterms:modified>
</cp:coreProperties>
</file>