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27, 2024</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167640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390525</wp:posOffset>
            </wp:positionV>
            <wp:extent cx="2966085" cy="985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985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ectPr>
          <w:pgSz w:w="11900" w:h="16838" w:orient="portrait"/>
          <w:cols w:equalWidth="0" w:num="1">
            <w:col w:w="11180"/>
          </w:cols>
          <w:pgMar w:left="320" w:top="1037" w:right="39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2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53340</wp:posOffset>
            </wp:positionV>
            <wp:extent cx="2768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97" w:lineRule="exact"/>
        <w:rPr>
          <w:sz w:val="24"/>
          <w:szCs w:val="24"/>
          <w:color w:val="auto"/>
        </w:rPr>
      </w:pPr>
    </w:p>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63" w:lineRule="exact"/>
        <w:rPr>
          <w:sz w:val="24"/>
          <w:szCs w:val="24"/>
          <w:color w:val="auto"/>
        </w:rPr>
      </w:pPr>
    </w:p>
    <w:p>
      <w:pPr>
        <w:jc w:val="right"/>
        <w:ind w:right="154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40" w:space="720"/>
            <w:col w:w="6920"/>
          </w:cols>
          <w:pgMar w:left="320" w:top="1037" w:right="399" w:bottom="1440" w:gutter="0" w:footer="0" w:header="0"/>
          <w:type w:val="continuous"/>
        </w:sectPr>
      </w:pPr>
    </w:p>
    <w:p>
      <w:pPr>
        <w:ind w:left="800"/>
        <w:spacing w:after="0"/>
        <w:tabs>
          <w:tab w:leader="none" w:pos="2780" w:val="left"/>
          <w:tab w:leader="none" w:pos="3620" w:val="left"/>
          <w:tab w:leader="none" w:pos="854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4"/>
          <w:szCs w:val="14"/>
          <w:b w:val="1"/>
          <w:bCs w:val="1"/>
          <w:color w:val="auto"/>
        </w:rPr>
        <w:t>95119</w:t>
      </w:r>
    </w:p>
    <w:p>
      <w:pPr>
        <w:spacing w:after="0" w:line="46" w:lineRule="exact"/>
        <w:rPr>
          <w:sz w:val="24"/>
          <w:szCs w:val="24"/>
          <w:color w:val="auto"/>
        </w:rPr>
      </w:pPr>
    </w:p>
    <w:p>
      <w:pPr>
        <w:ind w:left="1500"/>
        <w:spacing w:after="0"/>
        <w:tabs>
          <w:tab w:leader="none" w:pos="844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3"/>
          </w:tcPr>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WDC</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9"/>
        </w:trPr>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Pr>
          <w:p>
            <w:pPr>
              <w:spacing w:after="0"/>
              <w:rPr>
                <w:sz w:val="17"/>
                <w:szCs w:val="17"/>
                <w:color w:val="auto"/>
              </w:rPr>
            </w:pPr>
          </w:p>
        </w:tc>
      </w:tr>
    </w:tbl>
    <w:p>
      <w:pPr>
        <w:spacing w:after="0" w:line="234"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2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type w:val="continuous"/>
        </w:sectPr>
      </w:pPr>
    </w:p>
    <w:bookmarkStart w:id="1" w:name="page2"/>
    <w:bookmarkEnd w:id="1"/>
    <w:p>
      <w:pPr>
        <w:ind w:firstLine="324"/>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1048" w:right="45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0"/>
          <w:szCs w:val="20"/>
          <w:color w:val="auto"/>
        </w:rPr>
      </w:pPr>
    </w:p>
    <w:p>
      <w:pPr>
        <w:sectPr>
          <w:pgSz w:w="11900" w:h="16838" w:orient="portrait"/>
          <w:cols w:equalWidth="0" w:num="5">
            <w:col w:w="2140" w:space="720"/>
            <w:col w:w="1400" w:space="720"/>
            <w:col w:w="1340" w:space="720"/>
            <w:col w:w="1580" w:space="680"/>
            <w:col w:w="1820"/>
          </w:cols>
          <w:pgMar w:left="320" w:top="1048" w:right="45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1100"/>
          </w:cols>
          <w:pgMar w:left="320" w:top="1048" w:right="459" w:bottom="1440" w:gutter="0" w:footer="0" w:header="0"/>
          <w:type w:val="continuous"/>
        </w:sectPr>
      </w:pPr>
    </w:p>
    <w:p>
      <w:pPr>
        <w:spacing w:after="0" w:line="106" w:lineRule="exact"/>
        <w:rPr>
          <w:sz w:val="20"/>
          <w:szCs w:val="20"/>
          <w:color w:val="auto"/>
        </w:rPr>
      </w:pPr>
    </w:p>
    <w:p>
      <w:pPr>
        <w:ind w:right="1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the close of business on January 22, 2025, 347,823,902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8"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4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980" w:type="dxa"/>
            <w:vAlign w:val="bottom"/>
          </w:tcPr>
          <w:p>
            <w:pPr>
              <w:ind w:left="34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Financial Statements (unaudited)</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Balance Sheets — As of December 27, 2024 and June 28, 2024</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Operations — Three and Six Months Ended December 27, 2024 and December 29, 2023</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7</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Comprehensive Income (Loss) — Three and Six Months Ended December 27, 2024 and</w:t>
            </w:r>
          </w:p>
        </w:tc>
        <w:tc>
          <w:tcPr>
            <w:tcW w:w="680" w:type="dxa"/>
            <w:vAlign w:val="bottom"/>
            <w:gridSpan w:val="2"/>
            <w:vMerge w:val="restart"/>
          </w:tcPr>
          <w:p>
            <w:pPr>
              <w:spacing w:after="0"/>
              <w:rPr>
                <w:sz w:val="14"/>
                <w:szCs w:val="14"/>
                <w:color w:val="auto"/>
              </w:rPr>
            </w:pPr>
          </w:p>
        </w:tc>
        <w:tc>
          <w:tcPr>
            <w:tcW w:w="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3635D6"/>
                <w:w w:val="99"/>
              </w:rPr>
              <w:t>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December 29, 2023</w:t>
            </w:r>
          </w:p>
        </w:tc>
        <w:tc>
          <w:tcPr>
            <w:tcW w:w="6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rPr>
                <w:sz w:val="15"/>
                <w:szCs w:val="15"/>
                <w:color w:val="auto"/>
              </w:rPr>
            </w:pPr>
          </w:p>
        </w:tc>
        <w:tc>
          <w:tcPr>
            <w:tcW w:w="8980" w:type="dxa"/>
            <w:vAlign w:val="bottom"/>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Cash Flows — Six Months Ended December 27, 2024 and December 29, 2023</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9</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8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898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Convertible Preferred Stock and Shareholders’ Equity — Six Months Ended December</w:t>
            </w:r>
          </w:p>
        </w:tc>
        <w:tc>
          <w:tcPr>
            <w:tcW w:w="800" w:type="dxa"/>
            <w:vAlign w:val="bottom"/>
            <w:gridSpan w:val="4"/>
            <w:vMerge w:val="restart"/>
          </w:tcPr>
          <w:p>
            <w:pPr>
              <w:jc w:val="center"/>
              <w:ind w:left="559"/>
              <w:spacing w:after="0"/>
              <w:rPr>
                <w:sz w:val="20"/>
                <w:szCs w:val="20"/>
                <w:color w:val="auto"/>
              </w:rPr>
            </w:pPr>
            <w:r>
              <w:rPr>
                <w:rFonts w:ascii="Times New Roman" w:cs="Times New Roman" w:eastAsia="Times New Roman" w:hAnsi="Times New Roman"/>
                <w:sz w:val="16"/>
                <w:szCs w:val="16"/>
                <w:color w:val="3635D6"/>
                <w:w w:val="99"/>
              </w:rPr>
              <w:t>10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980" w:type="dxa"/>
            <w:vAlign w:val="bottom"/>
          </w:tcPr>
          <w:p>
            <w:pPr>
              <w:ind w:left="520"/>
              <w:spacing w:after="0" w:line="175" w:lineRule="exact"/>
              <w:rPr>
                <w:sz w:val="20"/>
                <w:szCs w:val="20"/>
                <w:color w:val="auto"/>
              </w:rPr>
            </w:pPr>
            <w:r>
              <w:rPr>
                <w:rFonts w:ascii="Times New Roman" w:cs="Times New Roman" w:eastAsia="Times New Roman" w:hAnsi="Times New Roman"/>
                <w:sz w:val="16"/>
                <w:szCs w:val="16"/>
                <w:color w:val="auto"/>
              </w:rPr>
              <w:t>27, 2024 and December 29, 2023</w:t>
            </w:r>
          </w:p>
        </w:tc>
        <w:tc>
          <w:tcPr>
            <w:tcW w:w="80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8980" w:type="dxa"/>
            <w:vAlign w:val="bottom"/>
            <w:tcBorders>
              <w:bottom w:val="single" w:sz="8" w:color="CCEEFF"/>
            </w:tcBorders>
            <w:shd w:val="clear" w:color="auto" w:fill="CCEEFF"/>
          </w:tcPr>
          <w:p>
            <w:pPr>
              <w:ind w:left="520"/>
              <w:spacing w:after="0" w:line="175" w:lineRule="exact"/>
              <w:rPr>
                <w:sz w:val="20"/>
                <w:szCs w:val="20"/>
                <w:color w:val="auto"/>
              </w:rPr>
            </w:pPr>
            <w:r>
              <w:rPr>
                <w:rFonts w:ascii="Times New Roman" w:cs="Times New Roman" w:eastAsia="Times New Roman" w:hAnsi="Times New Roman"/>
                <w:sz w:val="16"/>
                <w:szCs w:val="16"/>
                <w:color w:val="auto"/>
              </w:rPr>
              <w:t>Notes to Condensed Consolidated Financial Statements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12</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39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3.</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56</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4.</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Controls and Procedures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4"/>
        </w:trPr>
        <w:tc>
          <w:tcPr>
            <w:tcW w:w="820" w:type="dxa"/>
            <w:vAlign w:val="bottom"/>
          </w:tcPr>
          <w:p>
            <w:pPr>
              <w:spacing w:after="0"/>
              <w:rPr>
                <w:sz w:val="24"/>
                <w:szCs w:val="24"/>
                <w:color w:val="auto"/>
              </w:rPr>
            </w:pPr>
          </w:p>
        </w:tc>
        <w:tc>
          <w:tcPr>
            <w:tcW w:w="8980" w:type="dxa"/>
            <w:vAlign w:val="bottom"/>
          </w:tcPr>
          <w:p>
            <w:pPr>
              <w:ind w:left="356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tc>
        <w:tc>
          <w:tcPr>
            <w:tcW w:w="64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Item 1.</w:t>
            </w:r>
          </w:p>
        </w:tc>
        <w:tc>
          <w:tcPr>
            <w:tcW w:w="8980" w:type="dxa"/>
            <w:vAlign w:val="bottom"/>
            <w:tcBorders>
              <w:bottom w:val="single" w:sz="8" w:color="CCEEFF"/>
            </w:tcBorders>
            <w:shd w:val="clear" w:color="auto" w:fill="CCEEFF"/>
          </w:tcPr>
          <w:p>
            <w:pPr>
              <w:ind w:left="200"/>
              <w:spacing w:after="0" w:line="178" w:lineRule="exact"/>
              <w:rPr>
                <w:sz w:val="20"/>
                <w:szCs w:val="20"/>
                <w:color w:val="auto"/>
              </w:rPr>
            </w:pPr>
            <w:r>
              <w:rPr>
                <w:rFonts w:ascii="Times New Roman" w:cs="Times New Roman" w:eastAsia="Times New Roman" w:hAnsi="Times New Roman"/>
                <w:sz w:val="16"/>
                <w:szCs w:val="16"/>
                <w:color w:val="auto"/>
              </w:rPr>
              <w:t>Legal Proceedings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3635D6"/>
                <w:w w:val="99"/>
              </w:rPr>
              <w:t>57</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1A.</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Risk Factors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57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5.</w:t>
            </w:r>
          </w:p>
        </w:tc>
        <w:tc>
          <w:tcPr>
            <w:tcW w:w="898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Other Information</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57</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6.</w:t>
            </w:r>
          </w:p>
        </w:tc>
        <w:tc>
          <w:tcPr>
            <w:tcW w:w="898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Exhibits</w:t>
            </w:r>
          </w:p>
        </w:tc>
        <w:tc>
          <w:tcPr>
            <w:tcW w:w="640" w:type="dxa"/>
            <w:vAlign w:val="bottom"/>
          </w:tcPr>
          <w:p>
            <w:pPr>
              <w:spacing w:after="0"/>
              <w:rPr>
                <w:sz w:val="15"/>
                <w:szCs w:val="15"/>
                <w:color w:val="auto"/>
              </w:rPr>
            </w:pPr>
          </w:p>
        </w:tc>
        <w:tc>
          <w:tcPr>
            <w:tcW w:w="160" w:type="dxa"/>
            <w:vAlign w:val="bottom"/>
            <w:tcBorders>
              <w:bottom w:val="single" w:sz="8" w:color="3635D6"/>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Western Digital, the Western Digital logo, SanDisk, and WD are registered trademarks or trademarks of Western Digital or its affiliates in the 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Examples of forward-looking statements include, but are not limited to, statements concerning: our expectations regarding our plan to separate our hard disk drives (“HDD”) and flash-based products (“Flash”) business units; the impact of the global macroeconomic environment; expectations regarding demand trends and market conditions for our products; expectations related to our sale of a portion of our equity interest in SanDisk Semiconductor (Shanghai) Co. Ltd.; expectations related to our joint ventures and partnerships including relating to our Flash Ventures joint venture with Kioxia Corporation (“Kioxia”); expectations regarding our tax resolutions, effective tax rate and our unrecognized tax benefits; expectations regarding the merits of our position and our plans with respect to certain litigation matters; and our beliefs regarding our capital allocation plans and the sufficiency of our available liquidity to meet our working capital, debt and capital expenditure needs.</w:t>
      </w:r>
    </w:p>
    <w:p>
      <w:pPr>
        <w:spacing w:after="0" w:line="21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management’s current expectations, represent the most current information available to us as of the date of this Quarterly Report on Form 10-Q and are subject to a number of risks, uncertainties and other factors that could cause actual results or performance to differ materially from those expressed or implied in the forward-looking statements. These risks and uncertainties include, but are not limited to:</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in global or regional economic conditions and our responsive actions thereto;</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financial and legal challenges and difficulties inherent in implementing a separation of our HDD and Flash business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dependence on a limited number of suppliers or disruptions in our supply chain;</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outcome, timing and impact of the planned separation of our HDD and Flash business units, including with respect to customer and supplier relationships, contractual restrictions, stock price volatility and the diversion of management’s attention from ongoing business operations and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responses to and effects of public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business and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hiring and retention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defects;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strategic relationships with key partners, including Kioxia;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competitive environment, including actions by our competitors, and the impact of competitive products and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respond to market and other changes in our distribution channel and retail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or unanticipated tax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currency exchange rates in connection with our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our goals relating to environmental, social and governance matters, including our ability to meet our GHG emissions reduction and other ESG goals;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reliance on intellectual property and other proprietary information; and</w:t>
      </w:r>
    </w:p>
    <w:p>
      <w:pPr>
        <w:spacing w:after="0" w:line="9" w:lineRule="exact"/>
        <w:rPr>
          <w:rFonts w:ascii="Times New Roman" w:cs="Times New Roman" w:eastAsia="Times New Roman" w:hAnsi="Times New Roman"/>
          <w:sz w:val="18"/>
          <w:szCs w:val="18"/>
          <w:color w:val="auto"/>
        </w:rPr>
      </w:pPr>
    </w:p>
    <w:p>
      <w:pPr>
        <w:ind w:left="660" w:right="28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June 28, 2024 (our “2024 Annual Report on Form 10-K”), as amended, supplemented or superseded in our other reports filed with the Securities and Exchange Commission, including under “Risk Factors” in Item 1A of our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2024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2024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60" w:type="dxa"/>
            <w:vAlign w:val="bottom"/>
            <w:vMerge w:val="continue"/>
          </w:tcPr>
          <w:p>
            <w:pPr>
              <w:spacing w:after="0"/>
              <w:rPr>
                <w:sz w:val="14"/>
                <w:szCs w:val="14"/>
                <w:color w:val="auto"/>
              </w:rPr>
            </w:pPr>
          </w:p>
        </w:tc>
        <w:tc>
          <w:tcPr>
            <w:tcW w:w="156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9, 10, 12 and 16)</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Convertible preferred stock, $0.01 par value; authorized — 5 shares; issued and outstanding — 0.2 shares; aggregate</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liquidation preference of $265 and $257, respectively</w:t>
            </w: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authorized — 750 shares; issued and outstanding — 348 shares and 343 shares,</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w:t>
            </w:r>
          </w:p>
        </w:tc>
        <w:tc>
          <w:tcPr>
            <w:tcW w:w="0" w:type="dxa"/>
            <w:vAlign w:val="bottom"/>
          </w:tcPr>
          <w:p>
            <w:pPr>
              <w:spacing w:after="0"/>
              <w:rPr>
                <w:sz w:val="1"/>
                <w:szCs w:val="1"/>
                <w:color w:val="auto"/>
              </w:rPr>
            </w:pPr>
          </w:p>
        </w:tc>
      </w:tr>
      <w:tr>
        <w:trPr>
          <w:trHeight w:val="207"/>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5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w:t>
            </w:r>
          </w:p>
        </w:tc>
      </w:tr>
      <w:tr>
        <w:trPr>
          <w:trHeight w:val="21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3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3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dividends allocated to preferred shareholders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57"/>
        </w:trPr>
        <w:tc>
          <w:tcPr>
            <w:tcW w:w="5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unrealized gain (loss) on derivative contracts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2"/>
        </w:trPr>
        <w:tc>
          <w:tcPr>
            <w:tcW w:w="5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before tax</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1"/>
                <w:szCs w:val="11"/>
                <w:color w:val="auto"/>
              </w:rPr>
            </w:pPr>
          </w:p>
        </w:tc>
        <w:tc>
          <w:tcPr>
            <w:tcW w:w="124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impairment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repurchase of debt</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business divestiture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from Flash Ventures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preferred stock issuance costs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debt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6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080" w:type="dxa"/>
            <w:vAlign w:val="bottom"/>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28, 2024</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27, 2024</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27,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8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tcPr>
          <w:p>
            <w:pPr>
              <w:spacing w:after="0"/>
              <w:rPr>
                <w:sz w:val="18"/>
                <w:szCs w:val="18"/>
                <w:color w:val="auto"/>
              </w:rPr>
            </w:pPr>
          </w:p>
        </w:tc>
        <w:tc>
          <w:tcPr>
            <w:tcW w:w="17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10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39"/>
        </w:trPr>
        <w:tc>
          <w:tcPr>
            <w:tcW w:w="26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3"/>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29,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Purchase of capped calls related to the</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convertible notes, net of tax</w:t>
            </w: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taxes</w:t>
            </w: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29,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25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based on both hard disk drive and NAND flash technologies.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addresses the following key end markets: Cloud, Client, and Consumer. The Company also generates immaterial license and royalty revenue from its extensive intellectual property portfolio, which is included in each of these three end market categories.</w:t>
      </w:r>
    </w:p>
    <w:p>
      <w:pPr>
        <w:spacing w:after="0" w:line="201"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the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In the opinion of management, all adjustments necessary to fairly state the Condensed Consolidated Financial Statements have been made. Such adjustments consist of items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The results of operations for interim periods are not necessarily indicative of results to be expected for the full year.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5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2025, which will end on June 27, 2025, and fiscal year 2024, which ended on June 28, 2024, are each comprised of 52 weeks, with all quarters presented consisting of 13 weeks.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United States (“U.S.”) and in foreign countries through its sales personnel, dealers, distributors, retailers, and subsidiaries. The Company manages and reports under two reportable segments: hard disk drives (“HDD”) and flash-based products (“Flash”).</w:t>
      </w:r>
    </w:p>
    <w:p>
      <w:pPr>
        <w:spacing w:after="0" w:line="19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Chief Executive Officer, who is the Company’s Chief Operating Decision Maker (“CODM”), evaluates the performance of the Company and makes decisions regarding the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Separation Costs</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October 30, 2023, the Company announced that its Board of Directors had completed its strategic review of the business and, after evaluating a comprehensive range of alternatives, authorized the Company to pursue a plan to separate its HDD and Flash business units to create two independent, public companies. As a result of the plan, the Company has incurred separation and transition costs and expects to incur such costs through the completion of the separation of the businesses. The separation and transition costs are recorded within Business separation costs in the Condensed Consolidated Statements of Operations.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5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an accounting standards update (“ASU”) No. 2022-04, “Liabilities— Supplier Finance Programs (Subtopic 405-50): Disclosure of Supplier Finance Program Obligations” (“ASU 2022-04”), which requires annual and interim disclosures for entities that use supplier finance programs in connection with the purchase of goods and services. As required by ASU 2022-04, the Company began to provide disclosure of outstanding obligations to such suppliers for all balance sheet dates presented beginning with the Company’s first quarter of 2024. ASU 2022-04 also requires the Company to provide certain annual rollforward information related to those obligations, which will be required beginning with the Company’s financial statements for the year ending June 27, 2025. The Company will provide this disclosure in its Annual Report on Form 10-K for the year ended June 27, 2025. ASU 2022-04 does not affect the recognition, measurement, or financial statement presentation of supplier finance program obligations. See Note 15, </w:t>
      </w:r>
      <w:r>
        <w:rPr>
          <w:rFonts w:ascii="Times New Roman" w:cs="Times New Roman" w:eastAsia="Times New Roman" w:hAnsi="Times New Roman"/>
          <w:sz w:val="18"/>
          <w:szCs w:val="18"/>
          <w:i w:val="1"/>
          <w:iCs w:val="1"/>
          <w:color w:val="auto"/>
        </w:rPr>
        <w:t>Supplier Finance Program</w:t>
      </w:r>
      <w:r>
        <w:rPr>
          <w:rFonts w:ascii="Times New Roman" w:cs="Times New Roman" w:eastAsia="Times New Roman" w:hAnsi="Times New Roman"/>
          <w:sz w:val="18"/>
          <w:szCs w:val="18"/>
          <w:color w:val="auto"/>
        </w:rPr>
        <w:t xml:space="preserve"> for information regarding the supplier finance program.</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41"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is intended to improve disclosures about the expenses of public entities. The new guidance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assessing the basis of adoption and expects to adopt the guidance for annual reporting periods in its annual report for the year ending June 30, 2028.</w:t>
      </w:r>
    </w:p>
    <w:p>
      <w:pPr>
        <w:spacing w:after="0" w:line="2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expands on segment reporting requirements primarily through enhanced disclosures surrounding significant segment expenses. ASU 2023-07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will be required beginning with the Company’s financial statements for the year ending June 27, 2025. The Company is currently assessing these reporting requirements and expects to provide any required disclosures at the required time.</w:t>
      </w:r>
    </w:p>
    <w:p>
      <w:pPr>
        <w:spacing w:after="0" w:line="216"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ASU 2023-09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June 26, 2026, with early adoption permitted. The Company expects to provide any required disclosures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Business Segments, Geographic Information, and Concentrations of Risk</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operating performance of the Company’s reportable segments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9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1,367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4,620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2,561</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3,221</w:t>
            </w:r>
          </w:p>
        </w:tc>
        <w:tc>
          <w:tcPr>
            <w:tcW w:w="0" w:type="dxa"/>
            <w:vAlign w:val="bottom"/>
          </w:tcPr>
          <w:p>
            <w:pPr>
              <w:spacing w:after="0"/>
              <w:rPr>
                <w:sz w:val="1"/>
                <w:szCs w:val="1"/>
                <w:color w:val="auto"/>
              </w:rPr>
            </w:pPr>
          </w:p>
        </w:tc>
      </w:tr>
      <w:tr>
        <w:trPr>
          <w:trHeight w:val="207"/>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5,782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7"/>
        </w:trPr>
        <w:tc>
          <w:tcPr>
            <w:tcW w:w="4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gross profit for segments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3,113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19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licenses related to a litigation matter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Recovery from contamination incident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7"/>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-2819400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-2819400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addresses multiple end markets. Cloud is comprised primarily of products for public or private cloud environments and end customers. Through the Client end market, the Company provides its original equipment manufacturer (“OEM”) and channel customers a broad array of high-performance HDD and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disaggregated revenue information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3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-1739265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-1739265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Company’s top 10 customers accounted for 51% and 50% of its net revenue for the three and six months ended December 27, 2024, respectively, and 39% of its net revenue for both the three and six months ended December 29, 2023. For the three and six months ended December 27, 2024, one customer accounted for 14% of the Company’s net revenue. No customer accounted for 10% or more of the Company’s net revenue for the three and six months ended December 29, 2023.</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is not amortized. Instead, it is tested for impairment annually as of the beginning of the Company’s fourth quarter, or more frequently if</w:t>
      </w:r>
    </w:p>
    <w:p>
      <w:pPr>
        <w:spacing w:after="0" w:line="5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events or changes in circumstances indicate that goodwill may be impaired. Management performed goodwill impairment assessments for each segment and concluded there were no indications of impairment for the periods presented. The following table provides a summary of goodwill activity for the period: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HDD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Flash</w:t>
            </w:r>
          </w:p>
        </w:tc>
        <w:tc>
          <w:tcPr>
            <w:tcW w:w="34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4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14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28, 2024</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10,032</w:t>
            </w:r>
          </w:p>
        </w:tc>
      </w:tr>
      <w:tr>
        <w:trPr>
          <w:trHeight w:val="222"/>
        </w:trPr>
        <w:tc>
          <w:tcPr>
            <w:tcW w:w="6760" w:type="dxa"/>
            <w:vAlign w:val="bottom"/>
            <w:gridSpan w:val="2"/>
            <w:shd w:val="clear" w:color="auto" w:fill="CCEEFF"/>
          </w:tcPr>
          <w:p>
            <w:pPr>
              <w:ind w:left="140"/>
              <w:spacing w:after="0" w:line="222" w:lineRule="exact"/>
              <w:rPr>
                <w:sz w:val="20"/>
                <w:szCs w:val="20"/>
                <w:color w:val="auto"/>
              </w:rPr>
            </w:pPr>
            <w:r>
              <w:rPr>
                <w:rFonts w:ascii="Times New Roman" w:cs="Times New Roman" w:eastAsia="Times New Roman" w:hAnsi="Times New Roman"/>
                <w:sz w:val="16"/>
                <w:szCs w:val="16"/>
                <w:color w:val="auto"/>
              </w:rPr>
              <w:t xml:space="preserve">Divestiture </w:t>
            </w:r>
            <w:r>
              <w:rPr>
                <w:rFonts w:ascii="Times New Roman" w:cs="Times New Roman" w:eastAsia="Times New Roman" w:hAnsi="Times New Roman"/>
                <w:sz w:val="21"/>
                <w:szCs w:val="21"/>
                <w:color w:val="auto"/>
                <w:vertAlign w:val="superscript"/>
              </w:rPr>
              <w:t>(1)</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December 27, 2024</w:t>
            </w: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5,410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9,729</w:t>
            </w:r>
          </w:p>
        </w:tc>
      </w:tr>
      <w:tr>
        <w:trPr>
          <w:trHeight w:val="21"/>
        </w:trPr>
        <w:tc>
          <w:tcPr>
            <w:tcW w:w="14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1480" w:type="dxa"/>
            <w:vAlign w:val="bottom"/>
            <w:tcBorders>
              <w:bottom w:val="single" w:sz="8" w:color="auto"/>
            </w:tcBorders>
          </w:tcPr>
          <w:p>
            <w:pPr>
              <w:spacing w:after="0"/>
              <w:rPr>
                <w:sz w:val="10"/>
                <w:szCs w:val="10"/>
                <w:color w:val="auto"/>
              </w:rPr>
            </w:pPr>
          </w:p>
        </w:tc>
        <w:tc>
          <w:tcPr>
            <w:tcW w:w="5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101" w:lineRule="exact"/>
        <w:rPr>
          <w:sz w:val="20"/>
          <w:szCs w:val="20"/>
          <w:color w:val="auto"/>
        </w:rPr>
      </w:pPr>
    </w:p>
    <w:p>
      <w:pPr>
        <w:ind w:left="340" w:right="820" w:hanging="332"/>
        <w:spacing w:after="0" w:line="230" w:lineRule="auto"/>
        <w:tabs>
          <w:tab w:leader="none" w:pos="37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On September 28, 2024, the Company sold a majority interest in a subsidiary. See further discussion in Note 9, </w:t>
      </w:r>
      <w:r>
        <w:rPr>
          <w:rFonts w:ascii="Times New Roman" w:cs="Times New Roman" w:eastAsia="Times New Roman" w:hAnsi="Times New Roman"/>
          <w:sz w:val="18"/>
          <w:szCs w:val="18"/>
          <w:i w:val="1"/>
          <w:iCs w:val="1"/>
          <w:color w:val="auto"/>
        </w:rPr>
        <w:t>Related Parties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Supplemental Financial Statement Data</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third-party purchasers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for cash. There were no trade accounts receivable sold during the six months ended December 27, 2024. During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 the Company sold trade accounts receivable aggregating to $392 million. The discounts on the trade accounts receivable sold were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and were recorded within Other income (expense), net in the Condensed Consolidated Statements of Operations. There were no factored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outstanding as of December 27, 2024 and June 28, 2024.</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 and improvements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12,023</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As of December 27, 2024 and June 28, 2024, IPR&amp;D included in intangible assets, net was $72 million. During the three and six months ended December 27, 2024 and December 29, 2023, the Company did not record any impairment charges related to IPR&amp;D.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-864870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300" w:firstLine="324"/>
        <w:spacing w:after="0" w:line="270" w:lineRule="auto"/>
        <w:rPr>
          <w:sz w:val="20"/>
          <w:szCs w:val="20"/>
          <w:color w:val="auto"/>
        </w:rPr>
      </w:pPr>
      <w:r>
        <w:rPr>
          <w:rFonts w:ascii="Times New Roman" w:cs="Times New Roman" w:eastAsia="Times New Roman" w:hAnsi="Times New Roman"/>
          <w:sz w:val="18"/>
          <w:szCs w:val="18"/>
          <w:color w:val="auto"/>
        </w:rPr>
        <w:t>The current portion of the warranty accrual was classified in Accrued expenses and the long-term portion was classified in Other liabilities as noted below:</w:t>
      </w:r>
    </w:p>
    <w:tbl>
      <w:tblPr>
        <w:tblLayout w:type="fixed"/>
        <w:tblInd w:w="0" w:type="dxa"/>
        <w:tblCellMar>
          <w:top w:w="0" w:type="dxa"/>
          <w:left w:w="0" w:type="dxa"/>
          <w:bottom w:w="0" w:type="dxa"/>
          <w:right w:w="0" w:type="dxa"/>
        </w:tblCellMar>
      </w:tblPr>
      <w:tr>
        <w:trPr>
          <w:trHeight w:val="147"/>
        </w:trPr>
        <w:tc>
          <w:tcPr>
            <w:tcW w:w="8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2"/>
                <w:szCs w:val="12"/>
                <w:color w:val="auto"/>
              </w:rPr>
            </w:pPr>
          </w:p>
        </w:tc>
        <w:tc>
          <w:tcPr>
            <w:tcW w:w="1060" w:type="dxa"/>
            <w:vAlign w:val="bottom"/>
          </w:tcPr>
          <w:p>
            <w:pPr>
              <w:jc w:val="right"/>
              <w:ind w:right="383"/>
              <w:spacing w:after="0" w:line="147" w:lineRule="exact"/>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2"/>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warranty accrual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-727710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-864870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54" w:lineRule="exact"/>
        <w:rPr>
          <w:sz w:val="20"/>
          <w:szCs w:val="20"/>
          <w:color w:val="auto"/>
        </w:rPr>
      </w:pPr>
    </w:p>
    <w:p>
      <w:pPr>
        <w:ind w:right="340" w:firstLine="324"/>
        <w:spacing w:after="0" w:line="270" w:lineRule="auto"/>
        <w:rPr>
          <w:sz w:val="20"/>
          <w:szCs w:val="20"/>
          <w:color w:val="auto"/>
        </w:rPr>
      </w:pPr>
      <w:r>
        <w:rPr>
          <w:rFonts w:ascii="Times New Roman" w:cs="Times New Roman" w:eastAsia="Times New Roman" w:hAnsi="Times New Roman"/>
          <w:sz w:val="18"/>
          <w:szCs w:val="18"/>
          <w:color w:val="auto"/>
        </w:rPr>
        <w:t>Accumulated other comprehensive loss (“AOCL”), net of tax, refers to expenses, gains, and losses that are recorded as an element of shareholders’ equity but are excluded from net income. The components of AOCL were as follows:</w:t>
      </w: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 on</w:t>
            </w:r>
          </w:p>
        </w:tc>
        <w:tc>
          <w:tcPr>
            <w:tcW w:w="120" w:type="dxa"/>
            <w:vAlign w:val="bottom"/>
          </w:tcPr>
          <w:p>
            <w:pPr>
              <w:spacing w:after="0"/>
              <w:rPr>
                <w:sz w:val="12"/>
                <w:szCs w:val="12"/>
                <w:color w:val="auto"/>
              </w:rPr>
            </w:pPr>
          </w:p>
        </w:tc>
        <w:tc>
          <w:tcPr>
            <w:tcW w:w="13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tcPr>
          <w:p>
            <w:pPr>
              <w:jc w:val="right"/>
              <w:ind w:right="2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28,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 income</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52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27,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27, 2024, the amounts reclassified out of AOCL were losses related to foreign exchange contracts that were substantially charged to Cost of revenue in the Condensed Consolidated Statements of Operations.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27, 2024, substantially all existing net losses related to cash flow hedges recorded in AOCL are expected to be reclassified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5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8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52" w:lineRule="exact"/>
        <w:rPr>
          <w:sz w:val="20"/>
          <w:szCs w:val="20"/>
          <w:color w:val="auto"/>
        </w:rPr>
      </w:pPr>
    </w:p>
    <w:p>
      <w:pPr>
        <w:ind w:left="980" w:right="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54" w:lineRule="exact"/>
        <w:rPr>
          <w:sz w:val="20"/>
          <w:szCs w:val="20"/>
          <w:color w:val="auto"/>
        </w:rPr>
      </w:pPr>
    </w:p>
    <w:p>
      <w:pPr>
        <w:ind w:right="50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34"/>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0"/>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9"/>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35"/>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-2828290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-2828290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-2828290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-1165225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-1165225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-1165225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instruments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2025 and the fourth quarter of 2024,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98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6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7,366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-1002030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5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December 27, 2024, the Company had outstanding foreign exchange forward contracts that were designated as either cash flow hedges or non-designated hedges. Substantially all of the contract maturity dates of these foreign exchange forward contracts do not exceed 12 months. As of December 27, 2024, the Company did not have any derivative contracts with credit-risk-related contingent features.</w:t>
      </w:r>
    </w:p>
    <w:p>
      <w:pPr>
        <w:spacing w:after="0" w:line="20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were recognized in Other income (expense), net and were largely offset by corresponding changes in the fair values of the foreign currency-denominated monetary assets and liabilities. For each of the three and six months ended December 27, 2024 and December 29, 2023, total net realized and unrealized transaction and foreign exchange contract currency gains and losses were not material to the Company’s Condensed Consolidated Financial Statements.</w:t>
      </w:r>
    </w:p>
    <w:p>
      <w:pPr>
        <w:spacing w:after="0" w:line="207" w:lineRule="exact"/>
        <w:rPr>
          <w:sz w:val="20"/>
          <w:szCs w:val="20"/>
          <w:color w:val="auto"/>
        </w:rPr>
      </w:pPr>
    </w:p>
    <w:p>
      <w:pPr>
        <w:ind w:right="160" w:firstLine="324"/>
        <w:spacing w:after="0" w:line="294" w:lineRule="auto"/>
        <w:rPr>
          <w:sz w:val="20"/>
          <w:szCs w:val="20"/>
          <w:color w:val="auto"/>
        </w:rPr>
      </w:pPr>
      <w:r>
        <w:rPr>
          <w:rFonts w:ascii="Times New Roman" w:cs="Times New Roman" w:eastAsia="Times New Roman" w:hAnsi="Times New Roman"/>
          <w:sz w:val="18"/>
          <w:szCs w:val="18"/>
          <w:color w:val="auto"/>
        </w:rPr>
        <w:t xml:space="preserve">Unrealized gains or losses on designated cash flow hedges were recognized in AOCL. For more information regarding cash flow hedges, see Note 4, </w:t>
      </w:r>
      <w:r>
        <w:rPr>
          <w:rFonts w:ascii="Times New Roman" w:cs="Times New Roman" w:eastAsia="Times New Roman" w:hAnsi="Times New Roman"/>
          <w:sz w:val="18"/>
          <w:szCs w:val="18"/>
          <w:i w:val="1"/>
          <w:iCs w:val="1"/>
          <w:color w:val="auto"/>
        </w:rPr>
        <w:t xml:space="preserve">Supplemental Financial Statement Data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i w:val="1"/>
          <w:iCs w:val="1"/>
          <w:color w:val="auto"/>
        </w:rPr>
        <w:t xml:space="preserve"> Accumulated other comprehensive loss.</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December 27, 2024 and June 28, 2024,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convertible notes due 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notes due 2029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notes due 2032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7"/>
        </w:trPr>
        <w:tc>
          <w:tcPr>
            <w:tcW w:w="8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r>
      <w:tr>
        <w:trPr>
          <w:trHeight w:val="21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r>
      <w:tr>
        <w:trPr>
          <w:trHeight w:val="212"/>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5,684</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-1567815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both"/>
        <w:ind w:right="20" w:firstLine="324"/>
        <w:spacing w:after="0" w:line="272" w:lineRule="auto"/>
        <w:rPr>
          <w:sz w:val="20"/>
          <w:szCs w:val="20"/>
          <w:color w:val="auto"/>
        </w:rPr>
      </w:pPr>
      <w:r>
        <w:rPr>
          <w:rFonts w:ascii="Times New Roman" w:cs="Times New Roman" w:eastAsia="Times New Roman" w:hAnsi="Times New Roman"/>
          <w:sz w:val="17"/>
          <w:szCs w:val="17"/>
          <w:color w:val="auto"/>
        </w:rPr>
        <w:t>During the three and six months ended December 27, 2024, the Company made scheduled repayments of the Term Loan A-2 maturing in January 2027 (the “Term Loan A-2”) of $38 million and $75 million, respectively. The Term Loan A-2 Loan bears interest, at the Company’s option, at a per annum rate equal to either (x) the Adjusted Term SOFR (as defined in the loan agreement governing the Term Loan A-2) plus an applicable margin varying from</w:t>
      </w:r>
    </w:p>
    <w:p>
      <w:pPr>
        <w:spacing w:after="0" w:line="2"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1.125% to 2.000% or (y) a base rate plus an applicable margin varying from 0.125% to 1.000%, in each case depending on the corporate family ratings of the Company from at least two of the Credit Rating Agencies, with an initial interest rate of Adjusted Term SOFR plus 1.500%. The all-in interest rate for Term Loan A-2 as of December 27, 2024 was 6.107%.</w:t>
      </w:r>
    </w:p>
    <w:p>
      <w:pPr>
        <w:spacing w:after="0" w:line="199"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During the six months ended December 27, 2024, the Company drew and repaid $150 million principal amount under its $2.25 billion revolving credit facility maturing in January 2027 (the “2027 Revolving Credit Facility”). As of December 27, 2024, the Company had no outstanding standby letters of credit and the available capacity under the 2027 Revolving Credit Facility was $2.25 billion as of that date.</w:t>
      </w:r>
    </w:p>
    <w:p>
      <w:pPr>
        <w:spacing w:after="0" w:line="20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loan agreements governing the Company’s 2027 Revolving Credit Facility and Term Loan A-2 require the Company to comply with a financial leverage ratio covenant. As of December 27, 2024, the Company was in compliance with the financial covenant.</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November 3, 2023, the Company issued $1.60 billion aggregate principal amount of convertible senior notes which bear interest at an annual rate of 3.00% and mature on November 15, 2028, unless earlier repurchased, redeemed or converted (the “2028 Convertible Notes”).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2028 Convertible Notes are convertible at the option of any holder at an initial conversion price of approximately $52.20 per share of common stock beginning August 15, 2028. Prior to that date, if the trading price of the Company’s common stock remains above 130% of the conversion price for at least 20 trading days (whether or not consecutive) during the 30 consecutive trading-day period prior to the end of a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During the calendar quarter ended June 30, 2024, the sale price conditional conversion feature of the 2028 Convertible Notes was triggered. As a result, the holder of the 2028 Convertible Notes had the right to convert the 2028 Convertible Notes during the next succeeding calendar quarter through September 30, 2024. Consequently, the Company classified the 2028 Convertible Notes in the Current portion of long-term debt in the Condensed Consolidated Financial Statements as of June 28, 2024. The sale price conditional conversion feature was not triggered during the calendar quarter ended December 31, 2024 and accordingly, the holders of the 2028 Convertible Notes no longer have the right to convert the notes during the succeeding calendar quarter ending March 31, 2025. As a result, the 2028 Convertible Notes were classified as Long-term debt in the Condensed Consolidated Financial Statements as of December 27, 2024. The Company will continue to evaluate the conversion feature quarterly to determine if the 2028 Convertible Notes become convertible in future periods.</w:t>
      </w:r>
    </w:p>
    <w:p>
      <w:pPr>
        <w:spacing w:after="0" w:line="22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2028 Convertible Notes, the Company also entered into privately negotiated capped call transactions with certain counterparties (the “Capped Calls”). The Capped Calls each have a strike price of approximately $52.20 per share, subject to certain adjustments, which correspond to the initial conversion price of the 2028 Convertible Notes. The Capped Calls have initial cap prices of $70.26 per share, subject to certain adjustments. The Capped Calls cover, subject to anti-dilution adjustments, approximately 8 million shares of the Company’s common stock. The Capped Calls are generally intended to reduce or offset the potential dilution to the Company’s common stock upon any conversion of the 2028 Convertible Notes with such reduction or offset, as the case may be, subject to a cap based on the cap price. However,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meet certain accounting criteria, the Capped Calls are recorded in shareholders’ equity and are not accounted for as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5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-591185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3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unfunded amounts related to the Pension Plans as recognized on the Company’s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Non-current liabilities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amount recognized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200" w:type="dxa"/>
            <w:vAlign w:val="bottom"/>
          </w:tcPr>
          <w:p>
            <w:pPr>
              <w:spacing w:after="0"/>
              <w:rPr>
                <w:sz w:val="12"/>
                <w:szCs w:val="12"/>
                <w:color w:val="auto"/>
              </w:rPr>
            </w:pPr>
          </w:p>
        </w:tc>
        <w:tc>
          <w:tcPr>
            <w:tcW w:w="134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2"/>
                <w:szCs w:val="12"/>
                <w:color w:val="auto"/>
              </w:rPr>
            </w:pPr>
          </w:p>
        </w:tc>
        <w:tc>
          <w:tcPr>
            <w:tcW w:w="1060" w:type="dxa"/>
            <w:vAlign w:val="bottom"/>
          </w:tcPr>
          <w:p>
            <w:pPr>
              <w:jc w:val="right"/>
              <w:ind w:right="383"/>
              <w:spacing w:after="0" w:line="147" w:lineRule="exact"/>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
        </w:trPr>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-591185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Net periodic benefit costs were immaterial for the three and six months ended December 27, 2024 and December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380" w:type="dxa"/>
            <w:vAlign w:val="bottom"/>
          </w:tcPr>
          <w:p>
            <w:pPr>
              <w:spacing w:after="0"/>
              <w:rPr>
                <w:sz w:val="13"/>
                <w:szCs w:val="13"/>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made net payments to Flash Ventures for purchased flash-based memory wafers and net loans of $1.1 billion and $2.0 billion during the three and six months ended December 27, 2024, respectively, and $0.8 billion and $1.8 billion during the three and six months ended December 29, 2023, respectively.</w:t>
      </w:r>
    </w:p>
    <w:p>
      <w:pPr>
        <w:spacing w:after="0" w:line="20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December 27, 2024 and June 28, 2024, the Company had accounts payable balances due to Flash Ventures of $252 million and $313 million, respectively.</w:t>
      </w:r>
    </w:p>
    <w:p>
      <w:pPr>
        <w:spacing w:after="0" w:line="189" w:lineRule="exact"/>
        <w:rPr>
          <w:sz w:val="20"/>
          <w:szCs w:val="20"/>
          <w:color w:val="auto"/>
        </w:rPr>
      </w:pPr>
    </w:p>
    <w:p>
      <w:pPr>
        <w:jc w:val="both"/>
        <w:ind w:right="200" w:firstLine="324"/>
        <w:spacing w:after="0" w:line="279" w:lineRule="auto"/>
        <w:rPr>
          <w:sz w:val="20"/>
          <w:szCs w:val="20"/>
          <w:color w:val="auto"/>
        </w:rPr>
      </w:pPr>
      <w:r>
        <w:rPr>
          <w:rFonts w:ascii="Times New Roman" w:cs="Times New Roman" w:eastAsia="Times New Roman" w:hAnsi="Times New Roman"/>
          <w:sz w:val="17"/>
          <w:szCs w:val="17"/>
          <w:color w:val="auto"/>
        </w:rPr>
        <w:t>The Company’s maximum reasonably estimable loss exposure (excluding lost profits) as a result of its involvement with Flash Ventures, based upon the Japanese yen to U.S. dollar exchange rate at December 27, 2024,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7"/>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2"/>
              <w:spacing w:after="0" w:line="147" w:lineRule="exact"/>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96"/>
        </w:trPr>
        <w:tc>
          <w:tcPr>
            <w:tcW w:w="9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9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14"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Flash Ventures has historically operated near 100% of its manufacturing capacity. During the three and six months ended December 29, 2023, as a result of flash market conditions, the Company temporarily reduced its utilization of its share of Flash Ventures’ manufacturing capacity to an abnormally low level to more closely align the Company’s flash-based wafer supply with projected demand. During the three and six months ended December 29, 2023, the Company incurred costs of $107 million and $249 million, respectively, associated with the reduction in utilization related to Flash Ventures, which was recorded as a charge to Cost of revenue. No such charges were incurred during the three and six months ended December 27, 2024.</w:t>
      </w:r>
    </w:p>
    <w:p>
      <w:pPr>
        <w:spacing w:after="0" w:line="19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Company has facility agreements with Kioxia related to the construction and operation of Kioxia’s “K1” 300-millimeter wafer fabrication facility in Kitakami, Japan, a wafer fabrication facility in Yokkaichi, Japan, referred to as “Y7”, and a wafer fabrication facility in Kitakami, Japan, referred to as “K2”. In connection with the start-up of these facilities, the Company has made prepayments toward future building depreciation. In connection with the start-up of the K1, K2 and Y7 facilities, the Company has made prepayments over time, and as of December 27, 2024, $944 million remains to be credited against future building depreciation charges. As of December 27, 2024, the Company is also committed to make additional building depreciation prepayments of $303 million, based on the Japanese yen to U.S. dollar exchange rate of 157.86 as of such date, payable as follows: $60 million for the remainder of fiscal year 2025, $30 million in fiscal year 2026, $111 million in fiscal year 2027, $89 million in fiscal year 2028 and $13 million in fiscal year 2029. As of December 27, 2024, in addition to the requirements to make building depreciation prepayments, the Company will also make payments for building depreciation of approximately $107 million at varying dates through fiscal year 2035.</w:t>
      </w:r>
    </w:p>
    <w:p>
      <w:pPr>
        <w:spacing w:after="0" w:line="213" w:lineRule="exact"/>
        <w:rPr>
          <w:sz w:val="20"/>
          <w:szCs w:val="20"/>
          <w:color w:val="auto"/>
        </w:rPr>
      </w:pPr>
    </w:p>
    <w:p>
      <w:pPr>
        <w:ind w:right="300" w:firstLine="16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85" w:lineRule="exact"/>
        <w:rPr>
          <w:sz w:val="20"/>
          <w:szCs w:val="20"/>
          <w:color w:val="auto"/>
        </w:rPr>
      </w:pPr>
    </w:p>
    <w:p>
      <w:pPr>
        <w:ind w:right="840" w:firstLine="162"/>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Activities. </w:t>
      </w:r>
      <w:r>
        <w:rPr>
          <w:rFonts w:ascii="Times New Roman" w:cs="Times New Roman" w:eastAsia="Times New Roman" w:hAnsi="Times New Roman"/>
          <w:sz w:val="17"/>
          <w:szCs w:val="17"/>
          <w:color w:val="auto"/>
        </w:rPr>
        <w:t>The Company participates in common research and development (“R&amp;D”) activities with Kioxia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contractually committed to a minimum funding level. R&amp;D commitments are immaterial to the Condensed Consolidated Financial Statements.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7"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December 27, 2024.</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31"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31" w:lineRule="exact"/>
              <w:rPr>
                <w:sz w:val="20"/>
                <w:szCs w:val="20"/>
                <w:color w:val="auto"/>
              </w:rPr>
            </w:pPr>
            <w:r>
              <w:rPr>
                <w:rFonts w:ascii="Times New Roman" w:cs="Times New Roman" w:eastAsia="Times New Roman" w:hAnsi="Times New Roman"/>
                <w:sz w:val="14"/>
                <w:szCs w:val="14"/>
                <w:i w:val="1"/>
                <w:iCs w:val="1"/>
                <w:color w:val="auto"/>
              </w:rPr>
              <w:t>(U.S. dollar, in</w:t>
            </w:r>
          </w:p>
        </w:tc>
      </w:tr>
      <w:tr>
        <w:trPr>
          <w:trHeight w:val="195"/>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26"/>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26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i w:val="1"/>
                <w:iCs w:val="1"/>
                <w:color w:val="auto"/>
              </w:rPr>
              <w:t>millions)</w:t>
            </w: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212</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firstLine="324"/>
        <w:spacing w:after="0" w:line="263"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December 27, 2024 in U.S. dollars, based upon the Japanese yen to U.S. dollar exchange rate as of December 27, 2024:</w:t>
      </w:r>
    </w:p>
    <w:tbl>
      <w:tblPr>
        <w:tblLayout w:type="fixed"/>
        <w:tblInd w:w="0" w:type="dxa"/>
        <w:tblCellMar>
          <w:top w:w="0" w:type="dxa"/>
          <w:left w:w="0" w:type="dxa"/>
          <w:bottom w:w="0" w:type="dxa"/>
          <w:right w:w="0" w:type="dxa"/>
        </w:tblCellMar>
      </w:tblPr>
      <w:tr>
        <w:trPr>
          <w:trHeight w:val="150"/>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of Principal</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0" w:lineRule="exact"/>
              <w:rPr>
                <w:sz w:val="20"/>
                <w:szCs w:val="20"/>
                <w:color w:val="auto"/>
              </w:rPr>
            </w:pPr>
            <w:r>
              <w:rPr>
                <w:rFonts w:ascii="Times New Roman" w:cs="Times New Roman" w:eastAsia="Times New Roman" w:hAnsi="Times New Roman"/>
                <w:sz w:val="14"/>
                <w:szCs w:val="14"/>
                <w:b w:val="1"/>
                <w:bCs w:val="1"/>
                <w:color w:val="auto"/>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Installments</w:t>
            </w:r>
          </w:p>
        </w:tc>
        <w:tc>
          <w:tcPr>
            <w:tcW w:w="1520" w:type="dxa"/>
            <w:vAlign w:val="bottom"/>
            <w:gridSpan w:val="3"/>
            <w:vMerge w:val="continue"/>
          </w:tcPr>
          <w:p>
            <w:pPr>
              <w:spacing w:after="0"/>
              <w:rPr>
                <w:sz w:val="12"/>
                <w:szCs w:val="12"/>
                <w:color w:val="auto"/>
              </w:rPr>
            </w:pPr>
          </w:p>
        </w:tc>
        <w:tc>
          <w:tcPr>
            <w:tcW w:w="154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Guarantee Amount</w:t>
            </w:r>
          </w:p>
        </w:tc>
        <w:tc>
          <w:tcPr>
            <w:tcW w:w="0" w:type="dxa"/>
            <w:vAlign w:val="bottom"/>
          </w:tcPr>
          <w:p>
            <w:pPr>
              <w:spacing w:after="0"/>
              <w:rPr>
                <w:sz w:val="1"/>
                <w:szCs w:val="1"/>
                <w:color w:val="auto"/>
              </w:rPr>
            </w:pPr>
          </w:p>
        </w:tc>
      </w:tr>
      <w:tr>
        <w:trPr>
          <w:trHeight w:val="198"/>
        </w:trPr>
        <w:tc>
          <w:tcPr>
            <w:tcW w:w="6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 Terms</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of 2025</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-1139190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-1139190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December 27, 2024, no amounts have been accrued in the Condensed Consolidated Financial Statements with respect to these indemnification agreements.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5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has a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six months ended December 27, 2024, the Company recognized approximately 3% of its consolidated revenue on products distributed by the Unis Venture. For the three and six months ended December 29, 2023, the Company recognized approximately 4% and 3% of its consolidated revenue, respectively, on products distributed by the Unis Venture. The outstanding accounts receivable due from the Unis Venture were 6% and 7% of Accounts receivable, net as of both December 27, 2024 and June 28, 2024, respectively.</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of a Majority Interest in a Subsidiary</w:t>
      </w:r>
    </w:p>
    <w:p>
      <w:pPr>
        <w:spacing w:after="0" w:line="24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7"/>
          <w:szCs w:val="17"/>
          <w:color w:val="auto"/>
        </w:rPr>
        <w:t>In connection with the Company’s strategic decision to outsource the manufacturing of certain components and assemblies in its flash-based products, on September 28, 2024, the Company’s wholly-owned subsidiary, SanDisk China Limited (“SanDisk China”) completed the sale of 80% of its equity interest in SanDisk Semiconductor (Shanghai) Co. Ltd. (“SDSS”), the Company’s indirect wholly-owned subsidiary in its Flash business that owned its Flash manufacturing facility, to JCET Management Co., Ltd. (“JCET”), a wholly-owned subsidiary of JCET Group Co., Ltd., a Chinese publicly listed company, thereby forming a venture between SanDisk China and JCET (the “Transaction”). The venture aims to provide independent semiconductor assembly, testing, and other related services in the People’s Republic of China for customers including, but not limited to, the Company and its affiliates.</w:t>
      </w:r>
    </w:p>
    <w:p>
      <w:pPr>
        <w:spacing w:after="0" w:line="203"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Proceeds from the sale, including working capital adjustments, are $659 million pre-tax. On October 1, 2024, the Company received an initial pre-tax installment of $262 million. On January 6, 2025, the Company received a second pre-tax installment of $210 million and expects to receive remaining pre-tax proceeds of $187 million in five installments of approximately $37 million on September 28 of each year through September 28, 2029. As of December 27, 2024, the outstanding consideration receivable was recognized at its present value of $370 million, with $243 million within Other current assets and $127 million within Other non-current assets in the Condensed Consolidated Balance Sheets. The present value discount of $27 million as of December 27, 2024 will be accreted using the effective interest method to Interest income in the Condensed Consolidated Statements of Operations over the next five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120" w:firstLine="324"/>
        <w:spacing w:after="0" w:line="281" w:lineRule="auto"/>
        <w:rPr>
          <w:sz w:val="20"/>
          <w:szCs w:val="20"/>
          <w:color w:val="auto"/>
        </w:rPr>
      </w:pPr>
      <w:r>
        <w:rPr>
          <w:rFonts w:ascii="Times New Roman" w:cs="Times New Roman" w:eastAsia="Times New Roman" w:hAnsi="Times New Roman"/>
          <w:sz w:val="17"/>
          <w:szCs w:val="17"/>
          <w:color w:val="auto"/>
        </w:rPr>
        <w:t>The Company’s 20% retained interest in SDSS was determined to be valued at $158 million based on the fair value of the total pre-tax consideration received and receivable from JCET for its purchase of its 80% interest in SDSS. The Company accounts for its 20% interest in SDSS as an equity method investment within Other non-current assets in the Condensed Consolidated Balance Sheets. The Company’s 20% interest in the earnings of SDSS will be recognized one quarter in arrears and will be reported in Other net income (expense), net in the Condensed Consolidated Statements of Operations.</w:t>
      </w:r>
    </w:p>
    <w:p>
      <w:pPr>
        <w:spacing w:after="0" w:line="19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Transaction resulted in a pre-tax gain of $113 million, calculated as the difference between the total consideration for the sale, including the outstanding consideration receivable and the fair value of the Company’s 20% retained interest, less the carrying value of the net assets divested, which included, among other items, $71 million of cash and cash equivalents and $303 million of goodwill allocated to SDSS.</w:t>
      </w:r>
    </w:p>
    <w:p>
      <w:pPr>
        <w:spacing w:after="0" w:line="20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Subsequent to and in connection with the SDSS sale, the Company entered into a five-year Supply Agreement with SDSS to purchase certain flash-based products with a minimum annual commitment of $550 million (“the minimum annual commitment”). The Supply Agreement contains specific penalties the Company must pay if SDSS’s revenue fails to meet the minimum annual commitment. The Supply Agreement also provides that if SDSS’s revenue is higher than the minimum annual commitment in any of the two years immediately succeeding any annual period where a shortfall penalty has been paid, SDSS shall reimburse the Company a true-up amount not exceeding the previously paid penalty amount. The Supply Agreement expires on September 28, 2029, and automatically renews for additional one-year terms unless earlier terminated by any of the parties. The Company also entered into an agreement to grant SDSS certain intellectual property rights on a royalty-free basis for use in manufacturing products on the Company’s behalf for the term of and under the Supply Agreement. For the six months ended December 27, 2024, the Company made purchases of $111 million under the Supply Agreement and had an account payable balance due to SDSS of $117 million as of December 27, 2024.</w:t>
      </w:r>
    </w:p>
    <w:p>
      <w:pPr>
        <w:spacing w:after="0" w:line="21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also entered into a Transaction Services Agreement (“TSA”) to provide certain transitional services for one year following the closing of the Transaction. Charges under the TSA were not material.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 center space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right-of-use lease assets and lease liabilities included in the Company’s Condensed Consolidated Balance Sheets: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440" w:type="dxa"/>
            <w:vAlign w:val="bottom"/>
          </w:tcPr>
          <w:p>
            <w:pPr>
              <w:spacing w:after="0"/>
              <w:rPr>
                <w:sz w:val="13"/>
                <w:szCs w:val="13"/>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321</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57"/>
        </w:trPr>
        <w:tc>
          <w:tcPr>
            <w:tcW w:w="8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operating lease liabilities (included in Accrued expenses)</w:t>
            </w:r>
          </w:p>
        </w:tc>
        <w:tc>
          <w:tcPr>
            <w:tcW w:w="20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298</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2"/>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343</w:t>
            </w: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700" w:type="dxa"/>
            <w:vAlign w:val="bottom"/>
            <w:gridSpan w:val="3"/>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1160" w:type="dxa"/>
            <w:vAlign w:val="bottom"/>
          </w:tcPr>
          <w:p>
            <w:pPr>
              <w:jc w:val="center"/>
              <w:ind w:left="166"/>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240" w:type="dxa"/>
            <w:vAlign w:val="bottom"/>
          </w:tcPr>
          <w:p>
            <w:pPr>
              <w:jc w:val="center"/>
              <w:ind w:left="246"/>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right"/>
              <w:ind w:right="264"/>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60" w:type="dxa"/>
            <w:vAlign w:val="bottom"/>
          </w:tcPr>
          <w:p>
            <w:pPr>
              <w:spacing w:after="0"/>
              <w:rPr>
                <w:sz w:val="11"/>
                <w:szCs w:val="11"/>
                <w:color w:val="auto"/>
              </w:rPr>
            </w:pPr>
          </w:p>
        </w:tc>
        <w:tc>
          <w:tcPr>
            <w:tcW w:w="1240" w:type="dxa"/>
            <w:vAlign w:val="bottom"/>
          </w:tcPr>
          <w:p>
            <w:pPr>
              <w:jc w:val="right"/>
              <w:ind w:right="223"/>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6"/>
        </w:trPr>
        <w:tc>
          <w:tcPr>
            <w:tcW w:w="5200" w:type="dxa"/>
            <w:vAlign w:val="bottom"/>
          </w:tcPr>
          <w:p>
            <w:pPr>
              <w:spacing w:after="0"/>
              <w:rPr>
                <w:sz w:val="17"/>
                <w:szCs w:val="17"/>
                <w:color w:val="auto"/>
              </w:rPr>
            </w:pPr>
          </w:p>
        </w:tc>
        <w:tc>
          <w:tcPr>
            <w:tcW w:w="11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5"/>
          </w:tcPr>
          <w:p>
            <w:pPr>
              <w:jc w:val="right"/>
              <w:ind w:right="110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6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-548005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5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10.4</w:t>
            </w: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5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5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-278765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WESTERN DIGITAL CORPORATION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9800" w:type="dxa"/>
            <w:vAlign w:val="bottom"/>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729"/>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27, 2024, minimum lease payments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6"/>
        </w:trPr>
        <w:tc>
          <w:tcPr>
            <w:tcW w:w="9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3"/>
        </w:trPr>
        <w:tc>
          <w:tcPr>
            <w:tcW w:w="9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Remaining six months of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9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9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2"/>
        </w:trPr>
        <w:tc>
          <w:tcPr>
            <w:tcW w:w="9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3"/>
        </w:trPr>
        <w:tc>
          <w:tcPr>
            <w:tcW w:w="9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7"/>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2023, the Company completed a sale and leaseback of its facility in Milpitas, California. The Company received net proceeds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$191 million in cash and recorded a gain of $85 million on the sale. In connection with the sale, the Company agreed to lease back the facility at an annual lease rate of $16 million for the first year, increasing by 3% per year thereafter through January 1, 2039. The lease includes three 5-year renewal options and one 4-year renewal option for the ability to extend through December 2057. The supplemental balance sheet information and supplemental disclosures of operating cost and cash flow information related to the lease are included in the tables above.</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December 27, 2024, the Company had the following minimum long-term commitments:</w:t>
      </w:r>
    </w:p>
    <w:tbl>
      <w:tblPr>
        <w:tblLayout w:type="fixed"/>
        <w:tblInd w:w="0" w:type="dxa"/>
        <w:tblCellMar>
          <w:top w:w="0" w:type="dxa"/>
          <w:left w:w="0" w:type="dxa"/>
          <w:bottom w:w="0" w:type="dxa"/>
          <w:right w:w="0" w:type="dxa"/>
        </w:tblCellMar>
      </w:tblPr>
      <w:tr>
        <w:trPr>
          <w:trHeight w:val="148"/>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02"/>
              <w:spacing w:after="0" w:line="148"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96"/>
        </w:trPr>
        <w:tc>
          <w:tcPr>
            <w:tcW w:w="9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96"/>
        </w:trPr>
        <w:tc>
          <w:tcPr>
            <w:tcW w:w="9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of 2025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Shareholders’ Equity and Convertible Preferred Stock</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right="120" w:firstLine="324"/>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120" w:type="dxa"/>
            <w:vAlign w:val="bottom"/>
          </w:tcPr>
          <w:p>
            <w:pPr>
              <w:jc w:val="center"/>
              <w:ind w:left="204"/>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4"/>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1"/>
                <w:szCs w:val="11"/>
                <w:color w:val="auto"/>
              </w:rPr>
            </w:pPr>
          </w:p>
        </w:tc>
        <w:tc>
          <w:tcPr>
            <w:tcW w:w="1240" w:type="dxa"/>
            <w:vAlign w:val="bottom"/>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5200" w:type="dxa"/>
            <w:vAlign w:val="bottom"/>
          </w:tcPr>
          <w:p>
            <w:pPr>
              <w:spacing w:after="0"/>
              <w:rPr>
                <w:sz w:val="16"/>
                <w:szCs w:val="16"/>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5"/>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6"/>
          </w:tcPr>
          <w:p>
            <w:pPr>
              <w:ind w:left="1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7"/>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5200" w:type="dxa"/>
            <w:vAlign w:val="bottom"/>
          </w:tcPr>
          <w:p>
            <w:pPr>
              <w:spacing w:after="0"/>
              <w:rPr>
                <w:sz w:val="24"/>
                <w:szCs w:val="24"/>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5200" w:type="dxa"/>
            <w:vAlign w:val="bottom"/>
          </w:tcPr>
          <w:p>
            <w:pPr>
              <w:spacing w:after="0"/>
              <w:rPr>
                <w:sz w:val="11"/>
                <w:szCs w:val="11"/>
                <w:color w:val="auto"/>
              </w:rPr>
            </w:pPr>
          </w:p>
        </w:tc>
        <w:tc>
          <w:tcPr>
            <w:tcW w:w="1120" w:type="dxa"/>
            <w:vAlign w:val="bottom"/>
          </w:tcPr>
          <w:p>
            <w:pPr>
              <w:jc w:val="center"/>
              <w:ind w:left="204"/>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204"/>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1"/>
                <w:szCs w:val="11"/>
                <w:color w:val="auto"/>
              </w:rPr>
            </w:pPr>
          </w:p>
        </w:tc>
        <w:tc>
          <w:tcPr>
            <w:tcW w:w="1240" w:type="dxa"/>
            <w:vAlign w:val="bottom"/>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6"/>
        </w:trPr>
        <w:tc>
          <w:tcPr>
            <w:tcW w:w="5200" w:type="dxa"/>
            <w:vAlign w:val="bottom"/>
          </w:tcPr>
          <w:p>
            <w:pPr>
              <w:spacing w:after="0"/>
              <w:rPr>
                <w:sz w:val="17"/>
                <w:szCs w:val="17"/>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6"/>
          </w:tcPr>
          <w:p>
            <w:pPr>
              <w:ind w:left="1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-2167890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-2167890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-1010920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-1010920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Any shortfalls or excess windfall tax benefits and tax deficiencies for shortfalls related to the vesting and exercise of stock-based awards, which are recognized as a component of the Company’s Income tax expense, were immaterial for the periods presented.</w:t>
      </w:r>
    </w:p>
    <w:p>
      <w:pPr>
        <w:spacing w:after="0" w:line="189" w:lineRule="exact"/>
        <w:rPr>
          <w:sz w:val="20"/>
          <w:szCs w:val="20"/>
          <w:color w:val="auto"/>
        </w:rPr>
      </w:pPr>
    </w:p>
    <w:p>
      <w:pPr>
        <w:ind w:right="440" w:firstLine="324"/>
        <w:spacing w:after="0" w:line="263"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are generally amortized on a straight-line basis over the remaining average service period. The following table presents the unamortized compensation cost and weighted average service period of all unvested outstanding awards as of December 27, 2024:</w:t>
      </w:r>
    </w:p>
    <w:tbl>
      <w:tblPr>
        <w:tblLayout w:type="fixed"/>
        <w:tblInd w:w="0" w:type="dxa"/>
        <w:tblCellMar>
          <w:top w:w="0" w:type="dxa"/>
          <w:left w:w="0" w:type="dxa"/>
          <w:bottom w:w="0" w:type="dxa"/>
          <w:right w:w="0" w:type="dxa"/>
        </w:tblCellMar>
      </w:tblPr>
      <w:tr>
        <w:trPr>
          <w:trHeight w:val="150"/>
        </w:trPr>
        <w:tc>
          <w:tcPr>
            <w:tcW w:w="148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41"/>
              <w:spacing w:after="0" w:line="150"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3"/>
                <w:szCs w:val="13"/>
                <w:color w:val="auto"/>
              </w:rPr>
            </w:pPr>
          </w:p>
        </w:tc>
        <w:tc>
          <w:tcPr>
            <w:tcW w:w="14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14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 Period</w:t>
            </w:r>
          </w:p>
        </w:tc>
      </w:tr>
      <w:tr>
        <w:trPr>
          <w:trHeight w:val="213"/>
        </w:trPr>
        <w:tc>
          <w:tcPr>
            <w:tcW w:w="14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41"/>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(years)</w:t>
            </w:r>
          </w:p>
        </w:tc>
      </w:tr>
      <w:tr>
        <w:trPr>
          <w:trHeight w:val="218"/>
        </w:trPr>
        <w:tc>
          <w:tcPr>
            <w:tcW w:w="826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5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1.9</w:t>
            </w:r>
          </w:p>
        </w:tc>
      </w:tr>
      <w:tr>
        <w:trPr>
          <w:trHeight w:val="237"/>
        </w:trPr>
        <w:tc>
          <w:tcPr>
            <w:tcW w:w="8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6"/>
        </w:trPr>
        <w:tc>
          <w:tcPr>
            <w:tcW w:w="148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87"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conditions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Value at Vest Date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4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June 28,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December 27,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January 31, 2023, the Board of Directors of the Company authorized the designation of 900,000 shares of Series A Convertible Perpetual Preferred Stock, par value $0.01 per share (the “Preferred Shares”), from the Company’s existing 5,000,000 authorized but unissued shares of preferred stock and issued the Preferred Shares through a private placement. As of December 27, 2024 and June 28, 2024, 235,000 of the Preferred Shares were outstanding.</w:t>
      </w:r>
    </w:p>
    <w:p>
      <w:pPr>
        <w:spacing w:after="0" w:line="20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Preferred Shares have a stated value of $1,000 per share and accrue a cumulative preferred dividend at an annual rate of 6.25% per annum (increasing to 7.25% per annum on January 31, 2030 and to 8.25% per annum on January 31, 2033) compounded on a quarterly basis. The Preferred Shares also participate in any dividends declared for common shareholders on an as-converted equivalent basis. No dividends have been declared or paid since the issuance of the Preferred Shares. As of December 27, 2024 and June 28, 2024, unpaid and cumulative dividends payable with respect to the Preferred Shares were $30 million and $22 million, respectively.</w:t>
      </w:r>
    </w:p>
    <w:p>
      <w:pPr>
        <w:spacing w:after="0" w:line="21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Preferred Shares are convertible into shares of the Company’s common stock at an initial conversion rate of $47.75 per share (the “Conversion Price”) (subject to anti-dilution adjustments and certain other one-time adjustments upon the occurrence of various specified spin-off transactions) applied to the aggregate sum of the stated value of the Preferred Shares plus any cumulative accrued but unpaid dividends. In the event of a standalone spin-off transaction, the holders of the Preferred Shares may have one third of their Preferred Shares converted to a similar class of preferred shares of the spin-off entity. The Preferred Shares will be convertible at the option of the Company after January 31, 2026 if the closing price per share of the Company’s common stock exceeds 150% of the Conversion Price for at least 20 out of 30 consecutive trading days immediately prior to the Company’s conversion notice.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27, 2024 and June 28, 2024, the Preferred Shares outstanding had an aggregate liquidation preference of $265 million and</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$257 million, respectively, and would have been convertible, if otherwise permitted, into approximately 6 million and 5 million shares of common stock, respectively, on each such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5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Beginning in fiscal year 2023, the Tax Cuts and Jobs Act requires the Company to capitalize and amortize R&amp;D expenses rather than expensing them in the year incurred. The tax effects related to the capitalization of R&amp;D expenses are included in the effective tax rate for the three and six months ended December 27, 2024 and December 29, 2023.</w:t>
      </w:r>
    </w:p>
    <w:p>
      <w:pPr>
        <w:spacing w:after="0" w:line="20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CAMT was effective for the Company beginning with fiscal year 2024. The Company does not expect to be subject to CAMT for fiscal year 2025 as its average annual AFSI did not exceed $1.0 billion for the preceding three-year period.</w:t>
      </w:r>
    </w:p>
    <w:p>
      <w:pPr>
        <w:spacing w:after="0" w:line="21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some of which are effective for the Company in fiscal year 2025. For fiscal year 2025, the Company currently expects to be able to meet certain transitional safe harbors and does not expect any material Pillar Two taxes. As more jurisdictions adopt this legislation in fiscal year 2026, there may be material increases in the Company’s future tax obligations in certain jurisdictions.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20" w:type="dxa"/>
            <w:vAlign w:val="bottom"/>
            <w:gridSpan w:val="3"/>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31"/>
        </w:trPr>
        <w:tc>
          <w:tcPr>
            <w:tcW w:w="4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84"/>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tcPr>
          <w:p>
            <w:pPr>
              <w:spacing w:after="0"/>
              <w:rPr>
                <w:sz w:val="11"/>
                <w:szCs w:val="11"/>
                <w:color w:val="auto"/>
              </w:rPr>
            </w:pPr>
          </w:p>
        </w:tc>
        <w:tc>
          <w:tcPr>
            <w:tcW w:w="1280" w:type="dxa"/>
            <w:vAlign w:val="bottom"/>
          </w:tcPr>
          <w:p>
            <w:pPr>
              <w:jc w:val="right"/>
              <w:ind w:right="244"/>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324"/>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60" w:type="dxa"/>
            <w:vAlign w:val="bottom"/>
          </w:tcPr>
          <w:p>
            <w:pPr>
              <w:spacing w:after="0"/>
              <w:rPr>
                <w:sz w:val="11"/>
                <w:szCs w:val="11"/>
                <w:color w:val="auto"/>
              </w:rPr>
            </w:pPr>
          </w:p>
        </w:tc>
        <w:tc>
          <w:tcPr>
            <w:tcW w:w="1300" w:type="dxa"/>
            <w:vAlign w:val="bottom"/>
          </w:tcPr>
          <w:p>
            <w:pPr>
              <w:jc w:val="right"/>
              <w:ind w:right="263"/>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4"/>
          </w:tcPr>
          <w:p>
            <w:pPr>
              <w:jc w:val="right"/>
              <w:ind w:right="1144"/>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741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1,369</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(941)</w:t>
            </w: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13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tcPr>
          <w:p>
            <w:pPr>
              <w:spacing w:after="0"/>
              <w:rPr>
                <w:sz w:val="18"/>
                <w:szCs w:val="18"/>
                <w:color w:val="auto"/>
              </w:rPr>
            </w:pPr>
          </w:p>
        </w:tc>
        <w:tc>
          <w:tcPr>
            <w:tcW w:w="13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20 %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21 %</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-548005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-548005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-548005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relative mix of earnings and losses by jurisdiction, the deduction for foreign-derived intangible income, credits, and tax holidays in Malaysia, the Philippines, and Thailand that have or will expire at various dates during years 2025 through 2031 resulted in decreases to the Company’s effective tax rate below the U.S. statutory rate for the three and six months ended December 27, 2024. However, the tax effects of the mandatory capitalization of R&amp;D expenses offset these decreases, resulting in the Company’s effective tax rate being closer to the U.S. Federal statutory rate for the three and six months ended December 27, 2024.</w:t>
      </w:r>
    </w:p>
    <w:p>
      <w:pPr>
        <w:spacing w:after="0" w:line="21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29, 2023 and the U.S. Federal statutory rate of 21% are the relative mix of earnings and losses by jurisdiction, and the deduction for foreign-derived intangible income, credits, and tax holidays in Malaysia, the Philippines, and Thailand that will expire at various dates during years 2024 through 2031. In addition, the effective tax rate for the six months ended December 29, 2023 includes the discrete effect of a net decrease of $30 million to the liability for unrecognized tax benefits, which includes interest and offsetting tax benefits, as a result of adjustments to align with IRS calculations.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 for the six months ended December 27, 2024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28, 2024</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w:t>
            </w: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3"/>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December 27, 2024</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December 27, 2024 were $72 million. Of the aggregate unrecognized tax benefits, including interest and penalties, as of December 27, 2024, approximately $594 million could result in potential cash payments. The Company is not able to provide a reasonable estimate of the timing of future tax payments related to these obligations.</w:t>
      </w:r>
    </w:p>
    <w:p>
      <w:pPr>
        <w:spacing w:after="0" w:line="21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six months ended December 27, 2024, the Company made a payment of $130 million for interest with respect to years 2008 through 2012 and $32 million for tax and interest with respect to years 2013 through 2015, resulting in no remaining liability as of December 27, 2024 related to all years from 2008 through 2015.</w:t>
      </w:r>
    </w:p>
    <w:p>
      <w:pPr>
        <w:spacing w:after="0" w:line="21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the Company expects to realize reductions to its mandatory deemed repatriation tax obligations and tax savings from interest deductions in future years aggregating to approximately $166 million. Of this amount, $65 million of the interest savings from the interest paid with respect to years 2008 through 2015 is classified as a deferred tax asset due to interest expense limitation rules.</w:t>
      </w:r>
    </w:p>
    <w:p>
      <w:pPr>
        <w:spacing w:after="0" w:line="20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December 27, 2024, with the exception of the IRS matter discussed above,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dividends allocated to preferred shareholders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Less: income attributable to participating securities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145"/>
        </w:trPr>
        <w:tc>
          <w:tcPr>
            <w:tcW w:w="52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Re-allocation of participating securities considered potentially dilutive</w:t>
            </w: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net income (loss) attributable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RSUs, PSUs, ESPP, and the convertible notes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2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-2468245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-2468245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-2468245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40" w:right="80" w:hanging="332"/>
        <w:spacing w:after="0" w:line="229" w:lineRule="auto"/>
        <w:tabs>
          <w:tab w:leader="none" w:pos="37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Preferred stock represents participating securities because they participate in any dividends on shares of common stock on a pari passu, pro rata basis. Preferred stock does not participate in undistributed net losses.</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Basic net income (loss) per share attributable to common shareholders is computed using (i) net income (loss) less (ii) dividends allocated to preferred shareholders less (iii) net income (loss) attributable to participating securities divided by (iv) weighted average basic shares outstanding. Diluted net income or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convertible notes and the preferred shares. The treasury stock method is used to determine the dilutive impact of unvested equity awards.</w:t>
      </w:r>
    </w:p>
    <w:p>
      <w:pPr>
        <w:spacing w:after="0" w:line="21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employee stock options, RSUs and PSUs, rights to purchase shares of common stock under the Company’s ESPP, shares issuable in connection with the Company’s convertible notes, and the preferred shares. For the three months and six months ended December 27, 2024, all common shares subject to outstanding equity awards are included in the calculation of diluted shares based on the Company’s average stock price during the period. For the three months and six months ended December 29, 2023, the Company recorded a net loss, and all shares subject to outstanding equity awards were excluded from the calculation of diluted shares for those periods because their impact would have been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41"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 xml:space="preserve">The Company periodically incurs charges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In this regard, for the six months ended December 29, 2023, the Company reassessed existing capacity development plans and made a decision to cancel certain projects, including projects to expand capacity in its Penang, Malaysia facility, resulting in the impairment of existing construction in progress, other assets and the recognition of a liability for certain contract termination costs. The Company also took actions to reduce the amount of capital invested in facilities, including the sale-leaseback of its facility in Milpitas, California in September 2023 as discussed in Note 10, </w:t>
      </w:r>
      <w:r>
        <w:rPr>
          <w:rFonts w:ascii="Times New Roman" w:cs="Times New Roman" w:eastAsia="Times New Roman" w:hAnsi="Times New Roman"/>
          <w:sz w:val="18"/>
          <w:szCs w:val="18"/>
          <w:i w:val="1"/>
          <w:iCs w:val="1"/>
          <w:color w:val="auto"/>
        </w:rPr>
        <w:t>Leases and Other Commitments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following net charges related to these actions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60" w:type="dxa"/>
            <w:vAlign w:val="bottom"/>
            <w:gridSpan w:val="4"/>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300" w:type="dxa"/>
            <w:vAlign w:val="bottom"/>
          </w:tcPr>
          <w:p>
            <w:pPr>
              <w:spacing w:after="0"/>
              <w:rPr>
                <w:sz w:val="11"/>
                <w:szCs w:val="11"/>
                <w:color w:val="auto"/>
              </w:rPr>
            </w:pPr>
          </w:p>
        </w:tc>
      </w:tr>
      <w:tr>
        <w:trPr>
          <w:trHeight w:val="195"/>
        </w:trPr>
        <w:tc>
          <w:tcPr>
            <w:tcW w:w="5200" w:type="dxa"/>
            <w:vAlign w:val="bottom"/>
          </w:tcPr>
          <w:p>
            <w:pPr>
              <w:spacing w:after="0"/>
              <w:rPr>
                <w:sz w:val="16"/>
                <w:szCs w:val="16"/>
                <w:color w:val="auto"/>
              </w:rPr>
            </w:pPr>
          </w:p>
        </w:tc>
        <w:tc>
          <w:tcPr>
            <w:tcW w:w="11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gridSpan w:val="3"/>
          </w:tcPr>
          <w:p>
            <w:pPr>
              <w:jc w:val="right"/>
              <w:ind w:right="76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229"/>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impairments</w:t>
            </w:r>
          </w:p>
        </w:tc>
        <w:tc>
          <w:tcPr>
            <w:tcW w:w="11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r>
      <w:tr>
        <w:trPr>
          <w:trHeight w:val="216"/>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charges (gains):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Recovery of non-cancellable PO</w:t>
            </w:r>
          </w:p>
        </w:tc>
        <w:tc>
          <w:tcPr>
            <w:tcW w:w="1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termination and other</w:t>
            </w:r>
          </w:p>
        </w:tc>
        <w:tc>
          <w:tcPr>
            <w:tcW w:w="11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sale-leaseback of facility</w:t>
            </w:r>
          </w:p>
        </w:tc>
        <w:tc>
          <w:tcPr>
            <w:tcW w:w="11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w:t>
            </w:r>
          </w:p>
        </w:tc>
      </w:tr>
      <w:tr>
        <w:trPr>
          <w:trHeight w:val="235"/>
        </w:trPr>
        <w:tc>
          <w:tcPr>
            <w:tcW w:w="5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employee termination, asset impairment and other</w:t>
            </w:r>
          </w:p>
        </w:tc>
        <w:tc>
          <w:tcPr>
            <w:tcW w:w="116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-1165225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-1165225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-1165225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both"/>
        <w:ind w:right="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(included in Accrued expenses) during the six months ended December 27, 2024:</w:t>
      </w:r>
    </w:p>
    <w:tbl>
      <w:tblPr>
        <w:tblLayout w:type="fixed"/>
        <w:tblInd w:w="0" w:type="dxa"/>
        <w:tblCellMar>
          <w:top w:w="0" w:type="dxa"/>
          <w:left w:w="0" w:type="dxa"/>
          <w:bottom w:w="0" w:type="dxa"/>
          <w:right w:w="0" w:type="dxa"/>
        </w:tblCellMar>
      </w:tblPr>
      <w:tr>
        <w:trPr>
          <w:trHeight w:val="149"/>
        </w:trPr>
        <w:tc>
          <w:tcPr>
            <w:tcW w:w="6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5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2"/>
                <w:szCs w:val="12"/>
                <w:color w:val="auto"/>
              </w:rPr>
            </w:pPr>
          </w:p>
        </w:tc>
        <w:tc>
          <w:tcPr>
            <w:tcW w:w="110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June 28, 2024</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Recovery of non-cancellable PO</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December 27, 2024</w:t>
            </w: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Supplier Finance Program</w:t>
      </w:r>
    </w:p>
    <w:p>
      <w:pPr>
        <w:spacing w:after="0" w:line="256"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current payment terms with its suppliers under these programs generally range from 60 to 90 days. The Company does not provide any guarantees to any third parties and no assets are pledged in connection with the arrangements.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outstanding payment obligations to vendors eligible to participate under its supplier finance program were $37 million and $37 million as of December 27, 2024 and June 28, 2024, respectively, and are included within Accounts payable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41"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disclosures regarding the status of statutory notices of deficiency issued by the IRS with regard to tax years 2008 through 2015, see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Intellectual Property Litigation</w:t>
      </w:r>
    </w:p>
    <w:p>
      <w:pPr>
        <w:spacing w:after="0" w:line="25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August 26, 2022, MR Technologies, GmbH (“MRT”) filed an action in the United States District Court for the Central District of California (the “Central District Court”) against the Company’s wholly-owned subsidiary, Western Digital Technologies, Inc., alleging infringement of U.S. Patent Nos. 9,978,413, 9,928,864, 11,133,031 and 11,138,997, each of which relate to hard disk drive media. As the case progressed, MRT dropped its claims with respect to U.S. Patent Nos. 9,978,413 and 11,133,031, and the case proceeded to trial in July 2024 on the remaining two patents (together, the “MRT Patents”). The trial concluded on July 26, 2024, and the jury awarded MRT a lump sum of $262 million for use of the MRT Patents in the past and through their remaining lives. MRT also requested and was awarded prejudgment interest totaling $117 million in a judgment entered on August 15, 2024. In addition, MRT requested attorney’s fees and post-judgment interest.</w:t>
      </w:r>
    </w:p>
    <w:p>
      <w:pPr>
        <w:spacing w:after="0" w:line="2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fourth quarter of fiscal year 2024, the Company recognized an aggregate liability for this matter of $384 million with $291 million recognized as an Operating expense under Litigation matter for the year ended June 28, 2024 and $93 million recognized as Other non-current assets for the patent licenses, to be amortized over their remaining lives. During the three and six months ended December 27, 2024, the Company recognized incremental charges of $0 and $3 million, respectively, related to plaintiff’s attorney’s fees in Operating expense under Litigation matter; $4 million and $6 million, respectively, of post-judgment interest in Other income (expense), net; and $10 million and $19 million, respectively, in Cost of revenue from the amortization of licenses related to this matter. The Company believes it has meritorious defenses, has filed post-trial motions, and if not successful, plans to appeal the judgment and continue to defend itself vigorously.</w:t>
      </w:r>
    </w:p>
    <w:p>
      <w:pPr>
        <w:spacing w:after="0" w:line="216"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under U.S. Patent No. 6,088,802 asserted against certain HDD products that may include certain encryption capabilities. The trial commenced on October 8, 2024, and concluded on October 18, 2024, and the jury awarded SPEX damages of</w:t>
      </w:r>
    </w:p>
    <w:p>
      <w:pPr>
        <w:spacing w:after="0" w:line="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$316 million for the use of one claim related to U.S. Patent No. 6,088,802 in the past, prior to its expiration in 2017. On January 8, 2025, the Court entered judgment for SPEX in accordance with the verdict and also awarded SPEX prejudgment interest of $237 million and legal costs. The Company intends to contest the verdict and, based on available arguments, the Company believes the jury verdict and the prejudgment interest and legal costs will be reversed, amended or vacated when the Company files motions for judgment as a matter of law in the district court or presents its appeal to the United States Court of Appeals for the Federal Circuit, if necessary. The Company therefore believes a loss is not probable and has not accrued a liability as a result of the jury verdict or the entry of judgment in its financial statements as of December 27, 2024.</w:t>
      </w:r>
    </w:p>
    <w:p>
      <w:pPr>
        <w:spacing w:after="0" w:line="21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ability to predict the ultimate outcome of these matters involves judgments, estimates and inherent uncertainties. The actual outcome of these matters could differ materially from management’s estimates.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3" w:lineRule="exact"/>
        <w:rPr>
          <w:sz w:val="20"/>
          <w:szCs w:val="20"/>
          <w:color w:val="auto"/>
        </w:rPr>
      </w:pPr>
    </w:p>
    <w:p>
      <w:pPr>
        <w:ind w:right="300" w:firstLine="324"/>
        <w:spacing w:after="0" w:line="216"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fiscal year ended June 28, 2024. See also “Forward-Looking Statements” immediately prior to Part I, Item 1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3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based on both hard disk drive and NAND flash technologies. With a differentiated innovation engine driving advancements in storage and semiconductor technologies, our broad and ever-expanding portfolio delivers powerful hard disk drives (“HDD”) and flash-based products (“Flash”) solutions for everyone from students, gamers, and home offices to the largest enterprises and public clouds to capture, preserve, access, and transform an ever-increasing diversity of data.</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broad portfolio of technology and products addresses our multiple end markets: “Cloud,” “Client,” and “Consumer”. Cloud is comprised primarily of products for public or private cloud environments and enterprise customers. Through the Client end market, we provide our original equipment manufacturer “OEM” and channel customers a broad array of high-performance HDD and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1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 2025, which will end on June 27, 2025, and fiscal year 2024, which ended on June 28, 2024, are each comprised of 52 weeks, with all quarters presented consisting of 13 weeks.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Separation of Business Units</w:t>
      </w:r>
    </w:p>
    <w:p>
      <w:pPr>
        <w:spacing w:after="0" w:line="254"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On October 30, 2023, we announced that our Board of Directors had completed its strategic review of our business and, after evaluating a comprehensive range of alternatives, authorized us to pursue a plan to separate our HDD and Flash business units to create two independent, public companies, with Sandisk Corporation, currently a wholly owned subsidiary of the Company, holding our Flash business, and Western Digital focusing on our existing HDD business. We believe the separation will better position each business unit to execute innovative technology and product development, capitalize on unique growth opportunities, extend respective leadership positions, and operate more efficiently with distinct capital structures. At the beginning of our second quarter of fiscal year 2025, we entered the soft-spin phase of our separation plan. The soft-spin phase represents the period when we begin testing critical processes and systems for each future HDD and Flash company to ensure that both are ready to operate independently at legal separation. We continue to make progress on the work required to execute the separation. The separation will be effected through a pro rata distribution of 80.1% of the outstanding shares of Sandisk Corporation to holders of the Company’s common stock as of February 12, 2025, the record date for the distribution. We expect the distribution to occur on or about February 21, 2025. However, completion of the planned separation is subject to certain conditions, and no assurance can be provided as to the timing of the distribution or that all conditions to the distribution will be met.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Operational Update</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Macroeconomic factors such as inflation, changes in interest rates, and recession concerns softened demand for our products during the first half of 2024. As a result, we and our industry experienced a supply-demand imbalance, which resulted in reduced shipments and negatively impacted pricing during those periods. To adapt to these conditions, we implemented measures to reduce operating expenses and proactively manage supply and inventory to align with demand and improve our capital efficiency while continuing to deploy innovative products. These actions enabled us to scale back on capital expenditures, consolidate production lines, and reduce production, which resulted in incremental charges for employee termination, asset impairment, and charges for unabsorbed manufacturing overhead costs in HDD and Flash due to the underutilization of facilities as we temporarily scaled back production.</w:t>
      </w:r>
    </w:p>
    <w:p>
      <w:pPr>
        <w:spacing w:after="0" w:line="214"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We have seen an improvement in the supply and demand dynamic in HDD, leading to improved revenues in the first half of fiscal 2025 from the comparable period in the prior year. However, in Flash, we are experiencing what we believe is a mid-cycle slowdown. We expect to incur charges for unabsorbed manufacturing overhead costs as a result of the reduced utilization of our manufacturing capacity in the remainder of fiscal 2025 as we moderate production levels to align with demand in Flash. We anticipate that digital transformation, including the artificial intelligence data-cycle, will drive improved market conditions in both HDD and Flash in the long term.</w:t>
      </w:r>
    </w:p>
    <w:p>
      <w:pPr>
        <w:spacing w:after="0" w:line="21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of a Majority Interest in a Subsidiary</w:t>
      </w:r>
    </w:p>
    <w:p>
      <w:pPr>
        <w:spacing w:after="0" w:line="239" w:lineRule="exact"/>
        <w:rPr>
          <w:sz w:val="20"/>
          <w:szCs w:val="20"/>
          <w:color w:val="auto"/>
        </w:rPr>
      </w:pPr>
    </w:p>
    <w:p>
      <w:pPr>
        <w:ind w:right="100" w:firstLine="324"/>
        <w:spacing w:after="0" w:line="241" w:lineRule="auto"/>
        <w:rPr>
          <w:sz w:val="20"/>
          <w:szCs w:val="20"/>
          <w:color w:val="auto"/>
        </w:rPr>
      </w:pPr>
      <w:r>
        <w:rPr>
          <w:rFonts w:ascii="Times New Roman" w:cs="Times New Roman" w:eastAsia="Times New Roman" w:hAnsi="Times New Roman"/>
          <w:sz w:val="18"/>
          <w:szCs w:val="18"/>
          <w:color w:val="auto"/>
        </w:rPr>
        <w:t xml:space="preserve">As discussed in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on September 28, 2024, our wholly-owned subsidiary, SanDisk China Limited (“SanDisk China”) completed the sale of 80% of its equity interest in SanDisk Semiconductor (Shanghai) Co. Ltd. (“SDSS”), our indirect wholly-owned subsidiary in our Flash business that owned our Flash manufacturing facility, to JCET Management Co., Ltd. (“JCET”), a wholly-owned subsidiary of JCET Group Co., Ltd., a Chinese publicly listed company, thereby forming a venture between SanDisk China and JCET. The transaction resulted in a pre-tax gain of $113 million.</w:t>
      </w:r>
    </w:p>
    <w:p>
      <w:pPr>
        <w:spacing w:after="0" w:line="21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Subsequent to and in connection with the SDSS sale, we entered into a five-year Supply Agreement with SDSS to purchase certain flash-based products with a minimum annual commitment of $550 million. As a result of this transaction, we expect to incur a modest reduction in annual operating expenses and a reduction in annual capital expenditures related to assembly and testing of flash-based products. We also anticipate that the transition to a contract manufacturing model through SDSS will result in a small increase in our annual cost of revenue for flash-based products.</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Resolution</w:t>
      </w:r>
    </w:p>
    <w:p>
      <w:pPr>
        <w:spacing w:after="0" w:line="241" w:lineRule="exact"/>
        <w:rPr>
          <w:sz w:val="20"/>
          <w:szCs w:val="20"/>
          <w:color w:val="auto"/>
        </w:rPr>
      </w:pPr>
    </w:p>
    <w:p>
      <w:pPr>
        <w:ind w:right="20" w:firstLine="324"/>
        <w:spacing w:after="0" w:line="239" w:lineRule="auto"/>
        <w:rPr>
          <w:sz w:val="20"/>
          <w:szCs w:val="20"/>
          <w:color w:val="auto"/>
        </w:rPr>
      </w:pPr>
      <w:r>
        <w:rPr>
          <w:rFonts w:ascii="Times New Roman" w:cs="Times New Roman" w:eastAsia="Times New Roman" w:hAnsi="Times New Roman"/>
          <w:sz w:val="18"/>
          <w:szCs w:val="18"/>
          <w:color w:val="auto"/>
        </w:rPr>
        <w:t xml:space="preserve">As previously disclosed, we had previously reached a final agreement with the IRS and received notices of deficiency with respect to years 2008 through 2012 and in February 2024, also reached a final agreement for resolving the notices of proposed adjustments with respect to years 2013 through 2015. During the six months ended December 27, 2024, we made payments aggregating $162 million for tax and interest with respect to years 2008 through 2015 and have no remaining liability as of December 27, 2024 related to all years from 2008 through 2015. Additional information regarding these settlements and our assessment of the potential tax and interest payments we expect to pay in connection with the settlements is provided in our discussion of Income tax expense in our “Results of Operations” below, as well as in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and in the “Short- and Long-term Liquidity – </w:t>
      </w:r>
      <w:r>
        <w:rPr>
          <w:rFonts w:ascii="Times New Roman" w:cs="Times New Roman" w:eastAsia="Times New Roman" w:hAnsi="Times New Roman"/>
          <w:sz w:val="18"/>
          <w:szCs w:val="18"/>
          <w:i w:val="1"/>
          <w:iCs w:val="1"/>
          <w:color w:val="auto"/>
        </w:rPr>
        <w:t>Unrecognized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section below.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Second Quarter and First Half Overview</w:t>
      </w:r>
    </w:p>
    <w:p>
      <w:pPr>
        <w:spacing w:after="0" w:line="254"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3"/>
          </w:tcPr>
          <w:p>
            <w:pPr>
              <w:jc w:val="right"/>
              <w:ind w:right="579"/>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60" w:type="dxa"/>
            <w:vAlign w:val="bottom"/>
          </w:tcPr>
          <w:p>
            <w:pPr>
              <w:spacing w:after="0"/>
              <w:rPr>
                <w:sz w:val="11"/>
                <w:szCs w:val="11"/>
                <w:color w:val="auto"/>
              </w:rPr>
            </w:pPr>
          </w:p>
        </w:tc>
        <w:tc>
          <w:tcPr>
            <w:tcW w:w="1740" w:type="dxa"/>
            <w:vAlign w:val="bottom"/>
            <w:gridSpan w:val="3"/>
          </w:tcPr>
          <w:p>
            <w:pPr>
              <w:jc w:val="right"/>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00" w:type="dxa"/>
            <w:vAlign w:val="bottom"/>
          </w:tcPr>
          <w:p>
            <w:pPr>
              <w:spacing w:after="0"/>
              <w:rPr>
                <w:sz w:val="11"/>
                <w:szCs w:val="11"/>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64.6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83.8</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229</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50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35.4</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1,024</w:t>
            </w:r>
          </w:p>
        </w:tc>
        <w:tc>
          <w:tcPr>
            <w:tcW w:w="10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2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11.7</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14.6</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 w:type="dxa"/>
            <w:vAlign w:val="bottom"/>
            <w:tcBorders>
              <w:top w:val="single" w:sz="8" w:color="auto"/>
              <w:bottom w:val="single" w:sz="8" w:color="auto"/>
            </w:tcBorders>
          </w:tcPr>
          <w:p>
            <w:pPr>
              <w:spacing w:after="0"/>
              <w:rPr>
                <w:sz w:val="17"/>
                <w:szCs w:val="17"/>
                <w:color w:val="auto"/>
              </w:rPr>
            </w:pPr>
          </w:p>
        </w:tc>
        <w:tc>
          <w:tcPr>
            <w:tcW w:w="120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rPr>
              <w:t>15.5</w:t>
            </w: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0" w:type="dxa"/>
            <w:vAlign w:val="bottom"/>
            <w:tcBorders>
              <w:top w:val="single" w:sz="8" w:color="auto"/>
              <w:bottom w:val="single" w:sz="8" w:color="auto"/>
            </w:tcBorders>
          </w:tcPr>
          <w:p>
            <w:pPr>
              <w:spacing w:after="0"/>
              <w:rPr>
                <w:sz w:val="17"/>
                <w:szCs w:val="17"/>
                <w:color w:val="auto"/>
              </w:rPr>
            </w:pPr>
          </w:p>
        </w:tc>
        <w:tc>
          <w:tcPr>
            <w:tcW w:w="114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23.2</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0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19.9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1,062</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4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Borders>
              <w:top w:val="single" w:sz="8" w:color="auto"/>
              <w:bottom w:val="single" w:sz="8" w:color="auto"/>
            </w:tcBorders>
          </w:tcPr>
          <w:p>
            <w:pPr>
              <w:spacing w:after="0"/>
              <w:rPr>
                <w:sz w:val="17"/>
                <w:szCs w:val="17"/>
                <w:color w:val="auto"/>
              </w:rPr>
            </w:pPr>
          </w:p>
        </w:tc>
        <w:tc>
          <w:tcPr>
            <w:tcW w:w="120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Borders>
              <w:top w:val="single" w:sz="8" w:color="auto"/>
              <w:bottom w:val="single" w:sz="8" w:color="auto"/>
            </w:tcBorders>
          </w:tcPr>
          <w:p>
            <w:pPr>
              <w:spacing w:after="0"/>
              <w:rPr>
                <w:sz w:val="17"/>
                <w:szCs w:val="17"/>
                <w:color w:val="auto"/>
              </w:rPr>
            </w:pPr>
          </w:p>
        </w:tc>
        <w:tc>
          <w:tcPr>
            <w:tcW w:w="11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10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17.3</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12"/>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881</w:t>
            </w:r>
          </w:p>
        </w:tc>
        <w:tc>
          <w:tcPr>
            <w:tcW w:w="104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3"/>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Less: dividends allocated to preferred shareholders</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13.6 %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gridSpan w:val="3"/>
          </w:tcPr>
          <w:p>
            <w:pPr>
              <w:jc w:val="right"/>
              <w:ind w:right="559"/>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20" w:type="dxa"/>
            <w:vAlign w:val="bottom"/>
          </w:tcPr>
          <w:p>
            <w:pPr>
              <w:spacing w:after="0"/>
              <w:rPr>
                <w:sz w:val="11"/>
                <w:szCs w:val="11"/>
                <w:color w:val="auto"/>
              </w:rPr>
            </w:pPr>
          </w:p>
        </w:tc>
        <w:tc>
          <w:tcPr>
            <w:tcW w:w="1740" w:type="dxa"/>
            <w:vAlign w:val="bottom"/>
            <w:gridSpan w:val="3"/>
          </w:tcPr>
          <w:p>
            <w:pPr>
              <w:jc w:val="center"/>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1"/>
                <w:szCs w:val="11"/>
                <w:color w:val="auto"/>
              </w:rPr>
            </w:pPr>
          </w:p>
        </w:tc>
        <w:tc>
          <w:tcPr>
            <w:tcW w:w="9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2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100.0 %</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2,598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w:t>
            </w: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63.4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3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89.8</w:t>
            </w:r>
          </w:p>
        </w:tc>
        <w:tc>
          <w:tcPr>
            <w:tcW w:w="1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8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36.6</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2,476</w:t>
            </w:r>
          </w:p>
        </w:tc>
        <w:tc>
          <w:tcPr>
            <w:tcW w:w="102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2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12.2</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3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business divestiture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matter</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2"/>
        </w:trPr>
        <w:tc>
          <w:tcPr>
            <w:tcW w:w="48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24.2</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19.0</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38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2,400</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4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(102)</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48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102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2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38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(16.3)</w:t>
            </w:r>
          </w:p>
        </w:tc>
        <w:tc>
          <w:tcPr>
            <w:tcW w:w="1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2,310</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0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20" w:type="dxa"/>
            <w:vAlign w:val="bottom"/>
            <w:tcBorders>
              <w:top w:val="single" w:sz="8" w:color="auto"/>
            </w:tcBorders>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38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2,059</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9"/>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dividends allocated to preferred shareholders</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Less: income attributable to preferred shareholders</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2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2"/>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12.7 %</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54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a summary of our segment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7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28"/>
        </w:trPr>
        <w:tc>
          <w:tcPr>
            <w:tcW w:w="49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6"/>
        </w:trPr>
        <w:tc>
          <w:tcPr>
            <w:tcW w:w="4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4,620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2,561</w:t>
            </w:r>
          </w:p>
        </w:tc>
      </w:tr>
      <w:tr>
        <w:trPr>
          <w:trHeight w:val="216"/>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3,221</w:t>
            </w:r>
          </w:p>
        </w:tc>
      </w:tr>
      <w:tr>
        <w:trPr>
          <w:trHeight w:val="212"/>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3,032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5,782</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612</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licenses related to a litigation matter</w:t>
            </w:r>
          </w:p>
        </w:tc>
        <w:tc>
          <w:tcPr>
            <w:tcW w:w="22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Recovery from contamination incident</w:t>
            </w:r>
          </w:p>
        </w:tc>
        <w:tc>
          <w:tcPr>
            <w:tcW w:w="2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4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591</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HDD</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Flash</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-2661920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-2661920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-2661920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9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Three and Six Months Ended December 27, 2024 to Three and Six Months Ended December 29, 2023</w:t>
      </w:r>
    </w:p>
    <w:p>
      <w:pPr>
        <w:spacing w:after="0" w:line="254"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increase in consolidated net revenue for the three and six months ended December 27, 2024 from the comparable periods in the prior year reflected increases in both HDD and Flash revenue as discussed in more detail below.</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HDD revenue increased by 76% for the three months ended December 27, 2024 from the comparable period in the prior year, as a result of a 93% increase in exabytes sold, primarily from higher shipments of our high capacity enterprise drives, partially offset by an 8% decline in average selling prices per gigabyte primarily due to a shift in the product mix to larger capacity drives. HDD revenue increased by 80% for the six months ended December 27, 2024 from the comparable period in the prior year, as a result of a 99% increase in exabytes sold, partially offset by a 9% decline in average selling prices per gigabyte, driven by the same factors described for the three-month period.</w:t>
      </w:r>
    </w:p>
    <w:p>
      <w:pPr>
        <w:spacing w:after="0" w:line="21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Flash revenue increased by 13% for the three months ended December 27, 2024 from the comparable period in the prior year, reflecting a 14% increase in average selling prices per gigabyte primarily due to improved pricing as the supply-demand balance improved. Flash revenue increased by 17% for the six months ended December 27, 2024 from the comparable period in the prior year, resulting from a 26% increase in average selling prices per gigabyte, partially offset by a 7% decline in exabytes sold. The increase in average selling prices per gigabyte was attributable to the same factors described above for the three-month period while the decrease in exabytes sold for the period was driven by softer demand in the Client and Consumer end markets in the first three months of the year.</w:t>
      </w:r>
    </w:p>
    <w:p>
      <w:pPr>
        <w:spacing w:after="0" w:line="21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Cloud revenue increased by 119% for the three months ended December 27, 2024 from the comparable period in the prior year, reflecting a 114% increase in exabytes sold and a 4% increase in average selling prices per gigabyte. The increase in exabytes sold was driven by higher shipments of our high capacity enterprise HDD products stemming from new data center builds. The increase in average selling prices per gigabyte was primarily due to improved pricing in Flash as the supply-demand balance improved. Cloud revenue increased by 134% for the six months ended December 27, 2024 from the comparable period in the prior year, reflecting a 126% increase in exabytes sold and a 5% increase in average selling prices per gigabyte. The increase in exabytes sold and average selling prices per gigabyte are attributed to the same factors described for the three-month period.</w:t>
      </w:r>
    </w:p>
    <w:p>
      <w:pPr>
        <w:spacing w:after="0" w:line="214"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Client revenue increased by 4% for the three months ended December 27, 2024 from the comparable period in the prior year, reflecting a 15% increase in average selling prices per gigabyte, partially offset by an 11% decrease in exabytes sold. The increase in average selling prices per gigabyte over the prior year period was primarily due to improved pricing in Flash, partially offset by a decline in pricing in HDD. The decline in exabytes sold reflected a near-term drop in demand for Flash products. Client revenue increased by 5% for the six months ended December 27, 2024 from the comparable period in the prior year, reflecting a 24% increase in average selling prices per gigabyte, partially offset by a 16% decrease in exabytes sold. The increase in average selling prices per gigabyte and the decline in exabytes sold over the prior year are attributed to the same factors described for the three-month period.</w:t>
      </w:r>
    </w:p>
    <w:p>
      <w:pPr>
        <w:spacing w:after="0" w:line="200"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Consumer revenue declined by 8% for the three months ended December 27, 2024 from the comparable period in the prior year, reflecting a 5% decrease in exabytes sold and a 3% decline in average selling prices per gigabyte, which were driven by softer demand and pricing declines in both HDD and Flash products. Consumer revenue declined by 8% for the six months ended December 27, 2024 from the comparable period in the prior year, reflecting a 10% decrease in exabytes sold, partially offset by a 3% increase in average selling prices per gigabyte. The decrease in exabytes sold was primarily driven by softer demand in both HDD and Flash products in this end market. The increase in average selling prices per gigabyte was primarily due to improved pricing in both HDD and Flash from the improvement in the supply-demand balance in the first quarter of the year.</w:t>
      </w:r>
    </w:p>
    <w:p>
      <w:pPr>
        <w:spacing w:after="0" w:line="214"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changes in net revenue by geography for the three and six months ended December 27, 2024 from the comparable period in the prior year reflected higher revenue in the Americas region from Cloud customers as noted above.</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top 10 customers accounted for 51% and 50% of our net revenue for the three and six months ended December 27, 2024, respectively, compared to 39% of our net revenue for both the three and six months ended December 29, 2023. For the three and six months ended December 27, 2024, one customer accounted for 14% of our net revenue. For the three and six months ended December 29, 2023, no single customer accounted for 10% or more of our net revenue.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These programs represented 15% and 14% of gross revenue for the three and six months ended December 27, 2024 and 18% and 19% for the three and six months ended December 29, 2023, respectively. The amounts attributed to our sales incentive and marketing programs generally vary according to several factors, including industry conditions, list pricing strategies, seasonal demand, competitor actions, channel mix, and overall availability of products. The decrease in program amounts in the current period reflects the improved demand and pricing environment. Changes in future customer demand and market conditions may require us to adjust our incentive programs as a percentage of gross revenue.</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Consolidated gross profit increased by $1.02 billion for the three months ended December 27, 2024 from the comparable period in the prior year, primarily due to higher product shipments, improved pricing, and favorable product mix. In addition, the prior year period included charges for unabsorbed manufacturing overhead costs as a result of the reduced utilization of our manufacturing capacity of $156 million ($49 million in HDD and $107 million in Flash), which were not incurred in the current period. Consolidated gross margin increased by 19 percentage points year over year, mainly due to improved pricing and favorable product mix with approximately 5 percentage points of the increase due to the unabsorbed manufacturing overhead costs incurred in the prior year period but not incurred in the current period.</w:t>
      </w:r>
    </w:p>
    <w:p>
      <w:pPr>
        <w:spacing w:after="0" w:line="21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HDD gross margin for the three months ended December 27, 2024 increased by approximately 14 percentage points year over year, primarily due to higher product shipments with approximately 4 percentage points of the increase due to the unabsorbed manufacturing overhead costs incurred in the prior year period but not incurred in the current period.</w:t>
      </w:r>
    </w:p>
    <w:p>
      <w:pPr>
        <w:spacing w:after="0" w:line="203"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Flash gross margin for the three months ended December 27, 2024 increased by approximately 25 percentage points year over year, primarily due to improved pricing and favorable product mix with approximately 6 percentage points of the increase due to the unabsorbed manufacturing overhead costs incurred in the prior year period but not incurred in the current period.</w:t>
      </w:r>
    </w:p>
    <w:p>
      <w:pPr>
        <w:spacing w:after="0" w:line="20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Consolidated gross profit increased by $2.48 billion for the six months ended December 27, 2024 from the comparable period in the prior year, primarily due to higher product shipments, improved pricing, and favorable product mix. In addition, the prior year period included charges for unabsorbed manufacturing overhead costs as a result of the reduced utilization of our manufacturing capacity of $381 million ($132 million in HDD and $249 million in Flash), which were not incurred in the current period. Consolidated gross margin increased by approximately 26 percentage points year over year, mainly due to improved pricing and favorable product mix with approximately 7 percentage points of the increase due to the unabsorbed manufacturing overhead costs incurred in the prior year period but not incurred in the current period.</w:t>
      </w:r>
    </w:p>
    <w:p>
      <w:pPr>
        <w:spacing w:after="0" w:line="21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HDD gross margin for the six months ended December 27, 2024 increased by approximately 15 percentage points year over year, primarily due to higher product shipments with approximately 5 percentage points of the increase due to the unabsorbed manufacturing overhead costs incurred in the prior year period but not incurred in the current period.</w:t>
      </w:r>
    </w:p>
    <w:p>
      <w:pPr>
        <w:spacing w:after="0" w:line="20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Flash gross margin for the six months ended December 27, 2024 increased by approximately 37 percentage points year over year, primarily due to improved pricing and favorable product mix with approximately 8 percentage points of the increase due to the unabsorbed manufacturing overhead costs incurred in the prior year period but not incurred in the current period.</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 increased by $58 million for the three months ended December 27, 2024 from the comparable period in the prior year. The increase was driven by a $39 million increase in compensation and benefits due to higher variable compensation and increased headcount and modest increases in spending for R&amp;D projects as we continue to invest in innovation. R&amp;D expense increased by $146 million for the six months ended December 27, 2024 from the comparable period in the prior year. The increase was primarily driven by a $95 million increase in compensation and benefits due to the same factors as the three-month period and a $36 million increase in material purchases, outside services, hardware and equipment spending due to an increase in spending for R&amp;D projects as we continue to invest in innovation.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(“SG&amp;A”) expense increased by $40 million for the three months ended December 27, 2024 from the comparable period in the prior year. The increase was primarily driven by a $27 million increase in compensation and benefits, which was driven by higher variable compensation and increased headcount, a $9 million increase in legal fees, and a $5 million increase in material purchases, partially offset by a $20 million decrease in strategic review costs. SG&amp;A expense increased by $75 million for the six months ended December 27, 2024 from the comparable period in the prior year. The increase was primarily driven by a $53 million increase in compensation and benefits, which was driven by higher variable compensation and increased headcount, a $19 million increase in legal fees, a $12 million increase in material purchases, and a modest increase in spending due to higher business volume, partially offset by a $37 million decrease in strategic review costs.</w:t>
      </w:r>
    </w:p>
    <w:p>
      <w:pPr>
        <w:spacing w:after="0" w:line="216" w:lineRule="exact"/>
        <w:rPr>
          <w:sz w:val="20"/>
          <w:szCs w:val="20"/>
          <w:color w:val="auto"/>
        </w:rPr>
      </w:pPr>
    </w:p>
    <w:p>
      <w:pPr>
        <w:ind w:right="300" w:firstLine="324"/>
        <w:spacing w:after="0" w:line="250" w:lineRule="auto"/>
        <w:rPr>
          <w:sz w:val="20"/>
          <w:szCs w:val="20"/>
          <w:color w:val="auto"/>
        </w:rPr>
      </w:pPr>
      <w:r>
        <w:rPr>
          <w:rFonts w:ascii="Times New Roman" w:cs="Times New Roman" w:eastAsia="Times New Roman" w:hAnsi="Times New Roman"/>
          <w:sz w:val="18"/>
          <w:szCs w:val="18"/>
          <w:color w:val="auto"/>
        </w:rPr>
        <w:t xml:space="preserve">The gain on business divestiture was $113 million for both the three and six months ended December 27, 2024, which resulted from our sale of a majority interest in SDSS. For information regarding Gain on business divestiture, see Part I, Item 1, Note 9, </w:t>
      </w:r>
      <w:r>
        <w:rPr>
          <w:rFonts w:ascii="Times New Roman" w:cs="Times New Roman" w:eastAsia="Times New Roman" w:hAnsi="Times New Roman"/>
          <w:sz w:val="18"/>
          <w:szCs w:val="18"/>
          <w:i w:val="1"/>
          <w:iCs w:val="1"/>
          <w:color w:val="auto"/>
        </w:rPr>
        <w:t>Related Parties and Related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of the Notes to Condensed Consolidated Financial Statements included in this Quarterly Report on Form 10-Q.</w:t>
      </w:r>
    </w:p>
    <w:p>
      <w:pPr>
        <w:spacing w:after="0" w:line="21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was a gain of $7 million for the three months ended December 27, 2024 compared to a loss of $24 million in the prior year. The change was primarily due to a recovery from previously accrued contract termination charges and fewer restructuring actions taken in the current period. Employee termination, asset impairment and other was a gain of $5 million for the six months ended December 27, 2024 compared to a loss of $81 million in the prior year. The change was due to fewer restructuring actions taken in the current period. For information regarding Employee termination, asset impairment and other, see Part I, Item 1, Note 14, </w:t>
      </w:r>
      <w:r>
        <w:rPr>
          <w:rFonts w:ascii="Times New Roman" w:cs="Times New Roman" w:eastAsia="Times New Roman" w:hAnsi="Times New Roman"/>
          <w:sz w:val="18"/>
          <w:szCs w:val="18"/>
          <w:i w:val="1"/>
          <w:iCs w:val="1"/>
          <w:color w:val="auto"/>
        </w:rPr>
        <w:t>Employee Termination, Asset Impairment and Other,</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214"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Business separation costs increased by $8 million for the three months ended December 27, 2024 and by $51 million for the six months ended December 27, 2024 from the comparable periods in the prior year. The increases for the three- and six-month periods primarily reflected the increase in outside service fees to support the planned separation of our HDD and Flash businesses.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Expense</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Total interest and other expense, net increased by $62 million for the three months ended December 27, 2024 from the comparable period in the prior year, reflecting a decrease in other income, net of $74 million, driven by a $62 million decrease in gains on our strategic investments. Total interest and other expense, net increased by $90 million for the six months ended December 27, 2024 from the comparable period in the prior year, primarily reflecting a decrease in other income, net of $102 million, driven by a $59 million decrease in gains on our strategic investments and a $24 million increase in foreign exchange transaction losses.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1"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Beginning in 2023, the Tax Cuts and Jobs Act (the “2017 Act”) has required us to capitalize and amortize R&amp;D expenses rather than expensing them in the year incurred. The tax effects related to the capitalization of R&amp;D expenses are included in our effective tax rate for the three and six months ended December 27, 2024 and December 29, 2023. The tax effects related to the capitalization of R&amp;D expenses had a material impact on our effective tax rate for the three and six months ended December 27, 2024 but did not have a material impact on the effective tax rate for the three and six months ended December 29, 2023.</w:t>
      </w:r>
    </w:p>
    <w:p>
      <w:pPr>
        <w:spacing w:after="0" w:line="21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CAMT is effective for us beginning with fiscal year 2024. We do not expect to be subject to the CAMT of 15% for fiscal year 2025 as our annual average AFSI did not exceed $1.0 billion for the preceding three-year period.</w:t>
      </w:r>
    </w:p>
    <w:p>
      <w:pPr>
        <w:spacing w:after="0" w:line="21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the Pillar Two, some of which are effective for us in fiscal year 2025. For fiscal year 2025, we currently expect to be able to meet certain transitional safe harbors and do not expect any material Pillar Two taxes. As more jurisdictions adopt this legislation in fiscal year 2026, there may be material increases in our future tax obligations in certain jurisdictions.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80" w:type="dxa"/>
            <w:vAlign w:val="bottom"/>
            <w:gridSpan w:val="3"/>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240" w:type="dxa"/>
            <w:vAlign w:val="bottom"/>
          </w:tcPr>
          <w:p>
            <w:pPr>
              <w:jc w:val="right"/>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300" w:type="dxa"/>
            <w:vAlign w:val="bottom"/>
          </w:tcPr>
          <w:p>
            <w:pPr>
              <w:spacing w:after="0"/>
              <w:rPr>
                <w:sz w:val="11"/>
                <w:szCs w:val="11"/>
                <w:color w:val="auto"/>
              </w:rPr>
            </w:pPr>
          </w:p>
        </w:tc>
        <w:tc>
          <w:tcPr>
            <w:tcW w:w="1240" w:type="dxa"/>
            <w:vAlign w:val="bottom"/>
          </w:tcPr>
          <w:p>
            <w:pPr>
              <w:jc w:val="right"/>
              <w:ind w:right="223"/>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6"/>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4"/>
          </w:tcPr>
          <w:p>
            <w:pPr>
              <w:jc w:val="right"/>
              <w:ind w:right="1004"/>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1,369</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(941)</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8"/>
                <w:szCs w:val="18"/>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147</w:t>
            </w:r>
          </w:p>
        </w:tc>
        <w:tc>
          <w:tcPr>
            <w:tcW w:w="300" w:type="dxa"/>
            <w:vAlign w:val="bottom"/>
          </w:tcPr>
          <w:p>
            <w:pPr>
              <w:spacing w:after="0"/>
              <w:rPr>
                <w:sz w:val="18"/>
                <w:szCs w:val="18"/>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282</w:t>
            </w:r>
          </w:p>
        </w:tc>
        <w:tc>
          <w:tcPr>
            <w:tcW w:w="30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-556895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-556895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-556895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relative mix of earnings and losses by jurisdiction, the deduction for foreign-derived intangible income, credits, and tax holidays in Malaysia, the Philippines and Thailand that have or will expire at various dates during years 2025 through 2031 resulted in decreases to our effective tax rate below the U.S. Federal statutory rate for the three and six months ended December 27, 2024. However, the tax effects of the mandatory capitalization of R&amp;D expenses offset these decreases, resulting in our effective tax rate being closer to the U.S. Federal statutory rate for the three and six months ended December 27, 2024.</w:t>
      </w:r>
    </w:p>
    <w:p>
      <w:pPr>
        <w:spacing w:after="0" w:line="21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six months ended December 29, 2023 and the U.S. Federal statutory rate of 21% were the relative mix of earnings and losses by jurisdiction, the deduction for foreign-derived intangible income, credits, and tax holidays in Malaysia, the Philippines and Thailand that will expire at various dates during years 2024 through 2031. In addition, the effective tax rate for the six months ended December 29, 2023 includes the discrete effect of a net decrease of $30 million to the liability for unrecognized tax benefits, which includes interest and offsetting tax benefits, as a result of adjustments to align with IRS calculations.</w:t>
      </w:r>
    </w:p>
    <w:p>
      <w:pPr>
        <w:spacing w:after="0" w:line="208"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see Part I, Item 1,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00" w:type="dxa"/>
            <w:vAlign w:val="bottom"/>
          </w:tcPr>
          <w:p>
            <w:pPr>
              <w:spacing w:after="0"/>
              <w:rPr>
                <w:sz w:val="11"/>
                <w:szCs w:val="11"/>
                <w:color w:val="auto"/>
              </w:rPr>
            </w:pPr>
          </w:p>
        </w:tc>
        <w:tc>
          <w:tcPr>
            <w:tcW w:w="1240" w:type="dxa"/>
            <w:vAlign w:val="bottom"/>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106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-1002030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We had previously reached a final agreement with the IRS and received notices of deficiency with respect to years 2008 through 2012 and in February 2024 also reached a final agreement for resolving the notices of proposed adjustments with respect to years 2013 through 2015. During the six months ended December 27, 2024, the Company made payments of $130 million for interest with respect to years 2008 through 2012 and $32 million for tax and interest with respect to years 2013 through 2015, resulting in no remaining liability as of December 27, 2024 related to all years from 2008 through 2015.</w:t>
      </w:r>
    </w:p>
    <w:p>
      <w:pPr>
        <w:spacing w:after="0" w:line="19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settlements for the years 2008 through 2015, we expect to realize reductions to our mandatory deemed repatriation tax obligations and tax savings from interest deductions in future years aggregating to $166 million. Of this amount, $65 million of interest savings from the interest paid with respect to years 2008 through 2015 is classified as a deferred tax asset due to interest expense limitation rules. See Part I, Item 1, Note 12,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of the Notes to Condensed Consolidated Financial Statements included in this Quarterly Report on Form 10-Q for further details.</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August 2024, we filed a shelf registration statement (the “Shelf Registration Statement”) with the Securities and Exchange Commission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2024, we reduced our expenditures for property, plant and equipment and our portion of the Flash Ventures’ capital expenditures for its operations to approximately $825 million from approximately $2.22 billion in 2023. After consideration of the Flash Ventures’ lease financing of its capital expenditures and net operating cash flow, we reduced our net cash used for our purchases of property, plant and equipment and net activity in notes receivable relating to Flash Ventures to $53 million in 2024 from $794 million in 2023. We continue to be disciplined with our capital investments and expect our cash capital expenditures in 2025 to be higher than in 2024, but remain below 2023 expenditures.</w:t>
      </w:r>
    </w:p>
    <w:p>
      <w:pPr>
        <w:spacing w:after="0" w:line="21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believe our cash and cash equivalents and our available revolving credit facility will be sufficient to meet our working capital, debt and capital expenditure needs for at least the next twelve months and for the foreseeable future thereafter. We believe we can also access the various debt capital markets to further supplement our liquidity position if necessary. Our ability to sustain our working capital position is subject to a number of risks that we discuss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and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June 28, 2024.</w:t>
      </w:r>
    </w:p>
    <w:p>
      <w:pPr>
        <w:spacing w:after="0" w:line="210"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A total of $1.60 billion of our Cash and cash equivalents was held by our foreign subsidiaries as of December 27, 2024 and June 28, 2024, respectively. There are no material tax consequences that were not previously accrued for on the repatriation of this cash.</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or used in operating activities primarily consists of net income or loss, adjusted for non-cash charges, plus or minus changes in operating assets and liabilities. Net cash used for changes in operating assets and liabilities was $1.04 billion for the six months ended December 27, 2024, as compared to $102 million for the six months ended December 29, 2023, which largely reflects an increase in the volume of our business, as discussed above.</w:t>
      </w:r>
    </w:p>
    <w:p>
      <w:pPr>
        <w:spacing w:after="0" w:line="207" w:lineRule="exact"/>
        <w:rPr>
          <w:sz w:val="20"/>
          <w:szCs w:val="20"/>
          <w:color w:val="auto"/>
        </w:rPr>
      </w:pPr>
    </w:p>
    <w:p>
      <w:pPr>
        <w:ind w:right="120" w:firstLine="324"/>
        <w:spacing w:after="0" w:line="263" w:lineRule="auto"/>
        <w:rPr>
          <w:sz w:val="20"/>
          <w:szCs w:val="20"/>
          <w:color w:val="auto"/>
        </w:rPr>
      </w:pPr>
      <w:r>
        <w:rPr>
          <w:rFonts w:ascii="Times New Roman" w:cs="Times New Roman" w:eastAsia="Times New Roman" w:hAnsi="Times New Roman"/>
          <w:sz w:val="18"/>
          <w:szCs w:val="18"/>
          <w:color w:val="auto"/>
        </w:rPr>
        <w:t>Changes in our operating assets and liabilities are largely affected by our working capital requirements, which are dependent on our volume of business and the effective management of our cash conversion cycle as well as the timing of payments for taxes. Our cash conversion cycle measures how quickly we can convert our products into cash through sales. The cash conversion cycles were as follows (in days):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6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1540" w:type="dxa"/>
            <w:vAlign w:val="bottom"/>
            <w:gridSpan w:val="2"/>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40" w:type="dxa"/>
            <w:vAlign w:val="bottom"/>
          </w:tcPr>
          <w:p>
            <w:pPr>
              <w:jc w:val="right"/>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 outstanding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timing of shipments to and collections from customers. Changes in days in inventory (“DIO”) are generally related to the timing of inventory builds and shipments to customers. Changes in days payables outstanding (“DPO”) are generally related to production volume and the timing of purchases during the period. From time to time, we make payment term modifications with vendors through negotiations with them or by granting to, or receiving from, our vendors payment term accommodations. We make modifications primarily to manage our vendor relationships and to manage our cash flows, including our cash balances.</w:t>
      </w:r>
    </w:p>
    <w:p>
      <w:pPr>
        <w:spacing w:after="0" w:line="21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27, 2024, DSO increased by 9 days from the comparable period in the prior year, of which 3 days reflected an increase from lower trade accounts receivable factoring and the remainder reflected the timing of shipments and customer collections. DIO decreased by 3 days from the comparable period in the prior year, primarily reflecting higher consumption of inventory driven by strong demand in HDD, partially offset by weaker shipments in Flash, in the current period. DPO increased by 3 days from the comparable period in the prior year primarily due to more favorable payment terms and routine variations in the timing of purchases and payments during the period.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December 27, 2024 primarily consisted of $191 million in net proceeds from our sale of a majority interest in one of our subsidiaries and $92 million in net proceeds from activity related to Flash Ventures, partially offset by $208 million in capital expenditures, net of proceeds from disposals of assets. Net cash provided by investing activities for the six months ended December 29, 2023 primarily consisted of $79 million in proceeds from net activity related to Flash Ventures and $26 million of proceeds from net activity related to strategic investments, partially offset by $81 million in capital expenditures, net of proceeds from disposals of assets, which includes the proceeds from the sale-leaseback of our Milpitas, California facility.</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December 27, 2024, net cash used in financing activities primarily consisted of $225 million for repayment of amounts borrowed under the revolving credit facility and scheduled repayments on the Term Loan A-2 and $80 million for taxes paid on vested stock awards under employee stock plans, partially offset by $150 million of proceeds from drawing on the revolving credit facility and $52 million of proceeds from the issuance of stock under employee stock plans. During the six months ended December 29, 2023, net cash provided by financing activities primarily consisted of $2.20 billion in proceeds from the issuance of the 2028 Convertible Notes and the drawdown of our delayed draw term loan, partially offset by $505 million used to repurchase a portion of the 2024 Convertible Notes, $338 million in repayments of our delayed draw term loan and Term Loan A-2 maturing 2027, and $155 million for the purchase of capped calls to hedge the potential dilution impact of the conversion feature of the 2028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Other than the Flash Ventures related commitments incurred in the normal course of business and certain indemnification provisions (see “Short- and Long-term Liquidity – </w:t>
      </w:r>
      <w:r>
        <w:rPr>
          <w:rFonts w:ascii="Times New Roman" w:cs="Times New Roman" w:eastAsia="Times New Roman" w:hAnsi="Times New Roman"/>
          <w:sz w:val="18"/>
          <w:szCs w:val="18"/>
          <w:i w:val="1"/>
          <w:iCs w:val="1"/>
          <w:color w:val="auto"/>
        </w:rPr>
        <w:t>Purchase Obligations and Other Commitments</w:t>
      </w:r>
      <w:r>
        <w:rPr>
          <w:rFonts w:ascii="Times New Roman" w:cs="Times New Roman" w:eastAsia="Times New Roman" w:hAnsi="Times New Roman"/>
          <w:sz w:val="18"/>
          <w:szCs w:val="18"/>
          <w:color w:val="auto"/>
        </w:rPr>
        <w:t xml:space="preserve">”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our venture with SDSS, and our venture with Unisplendour Corporation Limited and Unissoft (Wuxi) Group Co. Ltd., we do not have an interest in, or relationships with, any variable interest entities. For additional information regarding our off-balance sheet arrangements,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54" w:lineRule="exact"/>
        <w:rPr>
          <w:sz w:val="20"/>
          <w:szCs w:val="20"/>
          <w:color w:val="auto"/>
        </w:rPr>
      </w:pPr>
    </w:p>
    <w:p>
      <w:pPr>
        <w:ind w:right="220" w:firstLine="243"/>
        <w:spacing w:after="0" w:line="263" w:lineRule="auto"/>
        <w:rPr>
          <w:sz w:val="20"/>
          <w:szCs w:val="20"/>
          <w:color w:val="auto"/>
        </w:rPr>
      </w:pPr>
      <w:r>
        <w:rPr>
          <w:rFonts w:ascii="Times New Roman" w:cs="Times New Roman" w:eastAsia="Times New Roman" w:hAnsi="Times New Roman"/>
          <w:sz w:val="18"/>
          <w:szCs w:val="18"/>
          <w:color w:val="auto"/>
        </w:rPr>
        <w:t>The following is a summary of our known material cash requirements, including those for capital expenditures, as of December 27, 2024. In addition, see the discussions further below related to unrecognized tax benefits, litigation matters, dividend rights with respect to the Series A Preferred Stock, foreign exchange contracts and indemnifications.</w:t>
      </w: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40"/>
              <w:spacing w:after="0" w:line="150" w:lineRule="exact"/>
              <w:rPr>
                <w:sz w:val="20"/>
                <w:szCs w:val="20"/>
                <w:color w:val="auto"/>
              </w:rPr>
            </w:pPr>
            <w:r>
              <w:rPr>
                <w:rFonts w:ascii="Times New Roman" w:cs="Times New Roman" w:eastAsia="Times New Roman" w:hAnsi="Times New Roman"/>
                <w:sz w:val="14"/>
                <w:szCs w:val="14"/>
                <w:b w:val="1"/>
                <w:bCs w:val="1"/>
                <w:color w:val="auto"/>
              </w:rPr>
              <w:t>1 Year (Remaining</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2-3 Years (2026-</w:t>
            </w:r>
          </w:p>
        </w:tc>
        <w:tc>
          <w:tcPr>
            <w:tcW w:w="1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(2028-</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1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Six Months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(Beyond 2029)</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2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4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5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-1225550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-1225550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-1225550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-1225550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issuance costs.</w:t>
      </w:r>
    </w:p>
    <w:p>
      <w:pPr>
        <w:spacing w:after="0" w:line="1" w:lineRule="exact"/>
        <w:rPr>
          <w:rFonts w:ascii="Times New Roman" w:cs="Times New Roman" w:eastAsia="Times New Roman" w:hAnsi="Times New Roman"/>
          <w:sz w:val="23"/>
          <w:szCs w:val="23"/>
          <w:color w:val="auto"/>
          <w:vertAlign w:val="superscript"/>
        </w:rPr>
      </w:pPr>
    </w:p>
    <w:p>
      <w:pPr>
        <w:ind w:left="340" w:right="460" w:hanging="332"/>
        <w:spacing w:after="0" w:line="228"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December 27, 2024, the liability for unrecognized tax benefits (excluding accrued interest and penalties) was $688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December 27, 2024 was $72 million. Of these amounts, approximately $594 million could result in potential cash payments. As of December 27, 2024, it was not possible to estimate the amount of change, if any, in the unrecognized tax benefits that is reasonably possible within the next twelve months. Any significant change in the amount of our liability for unrecognized tax benefits would most likely result from additional information or settlements relating to the examination of our tax returns.</w:t>
      </w:r>
    </w:p>
    <w:p>
      <w:pPr>
        <w:spacing w:after="0" w:line="21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we had previously reached a final agreement with the IRS regarding notices of deficiency with respect to years 2008 through 2012 and in February 2024 also reached a final agreement for resolving the notices of proposed adjustments with respect to years 2013 through 2015. During the six months ended December 27, 2024, we made payments of $130 million for interest with respect to years 2008 through 2012 and $32 million for tax and interest with respect to years 2013 through 2015, resulting in no remaining liability as of December 27, 2024 related to all years from 2008 through 2015.</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settlements for the years 2008 through 2015, we expect to realize reductions to our mandatory deemed repatriation tax obligations and tax savings from interest deductions in future years aggregating to approximately $166 million. Of this amount, $65 million of interest savings from the interest paid with respect to years 2008 through 2015 is classified as a deferred tax asset due to interest expense limitation rules.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52"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litigation matters, see Part I, Item 1, Note 16,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5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27, 2024, 235,000 shares of our Series A Preferred Stock remained outstanding. These shares are entitled to cumulative preferred dividends and will also participate in any dividends declared for common shareholders on an as-converted equivalent basis. See Part II, Item 8, Note 12, </w:t>
      </w:r>
      <w:r>
        <w:rPr>
          <w:rFonts w:ascii="Times New Roman" w:cs="Times New Roman" w:eastAsia="Times New Roman" w:hAnsi="Times New Roman"/>
          <w:sz w:val="18"/>
          <w:szCs w:val="18"/>
          <w:i w:val="1"/>
          <w:iCs w:val="1"/>
          <w:color w:val="auto"/>
        </w:rPr>
        <w:t xml:space="preserve">Shareholders’ Equity and Convertible Preferred Stock, </w:t>
      </w:r>
      <w:r>
        <w:rPr>
          <w:rFonts w:ascii="Times New Roman" w:cs="Times New Roman" w:eastAsia="Times New Roman" w:hAnsi="Times New Roman"/>
          <w:sz w:val="18"/>
          <w:szCs w:val="18"/>
          <w:color w:val="auto"/>
        </w:rPr>
        <w:t>of the Notes to the Consolidated Financial Statements in our Annual Report on Form 10-K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 ended June 28, 2024 and Part I, Item 1, Note 11, </w:t>
      </w:r>
      <w:r>
        <w:rPr>
          <w:rFonts w:ascii="Times New Roman" w:cs="Times New Roman" w:eastAsia="Times New Roman" w:hAnsi="Times New Roman"/>
          <w:sz w:val="18"/>
          <w:szCs w:val="18"/>
          <w:i w:val="1"/>
          <w:iCs w:val="1"/>
          <w:color w:val="auto"/>
        </w:rPr>
        <w:t>Shareholders’ 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 Form 10-Q for more information regarding the dividend provisions.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described in Part I, Item 1,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the Company issued $1.60 billion aggregate principal amount of convertible senior notes in November 2023, which bear interest at an annual rate of 3.00% and mature on November 15, 2028 (the “2028 Convertible Notes”). The 2028 Convertible Notes are convertible at the option of any holder at an initial conversion price of approximately $52.20 per share of common stock beginning August 15, 2028. Prior to that date, if the trading price of our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that date upon the occurrence of certain corporate events. Upon any conversion of the 2028 Convertible Notes, we will pay cash for the aggregate principal amount of the notes to be converted and pay or deliver, as the case may be, cash, shares of our common stock or a combination thereof, at our election, in respect of the remainder, if any, of our conversion obligation in excess of the aggregate principal amount of the notes being converted.</w:t>
      </w:r>
    </w:p>
    <w:p>
      <w:pPr>
        <w:spacing w:after="0" w:line="201" w:lineRule="exact"/>
        <w:rPr>
          <w:sz w:val="20"/>
          <w:szCs w:val="20"/>
          <w:color w:val="auto"/>
        </w:rPr>
      </w:pPr>
    </w:p>
    <w:p>
      <w:pPr>
        <w:ind w:right="200" w:firstLine="324"/>
        <w:spacing w:after="0" w:line="242" w:lineRule="auto"/>
        <w:rPr>
          <w:sz w:val="20"/>
          <w:szCs w:val="20"/>
          <w:color w:val="auto"/>
        </w:rPr>
      </w:pPr>
      <w:r>
        <w:rPr>
          <w:rFonts w:ascii="Times New Roman" w:cs="Times New Roman" w:eastAsia="Times New Roman" w:hAnsi="Times New Roman"/>
          <w:sz w:val="18"/>
          <w:szCs w:val="18"/>
          <w:color w:val="auto"/>
        </w:rPr>
        <w:t>The sale price conditional conversion feature of the 2028 Convertible Notes was not triggered during the calendar quarter ended December 31, 2024 and, accordingly, the holders of the 2028 Convertible Notes no longer have the right to convert the notes during the succeeding calendar quarter ending March 31, 2025. As a result, the 2028 Convertible Notes were classified as Long-term debt in the Condensed Consolidated Financial Statements as of December 27, 2024. The Company will continue to evaluate the conversion feature quarterly to determine if the 2028 Convertible Notes become convertible in future periods.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outstanding debt, as of December 27, 2024, we had $2.25 billion available for borrowing under our revolving credit facility maturing in January 2027, subject to customary conditions under the loan agreement. The agreements governing our credit facilities each include limits on secured indebtedness and certain types of unsecured subsidiary indebtedness and require us and certain of our subsidiaries to provide guarantees and collateral to the extent the conditions providing for such guarantees and collateral are met. The loan agreements governing our revolving credit facility and our Term Loan A-2 maturing 2027 require us to comply with a financial leverage ratio covenant. As of December 27, 2024, we were in compliance with the financial covenant. Additional information regarding our indebtedness, including information about availability under our revolving credit facility and the principal repayment terms, interest rates, covenants, collateral and other key terms of our outstanding indebtedness, is included in Part II, Item 8,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the Consolidated Financial Statements included in our Annual Report on Form 10-K for the year ended June 28, 2024 and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Part I, Item 1 of this Quarterly Report on Form 10-Q.</w:t>
      </w:r>
    </w:p>
    <w:p>
      <w:pPr>
        <w:spacing w:after="0" w:line="21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planned separation of our HDD and Flash business units, we expect to enter into an amendment with our existing lenders under the loan agreements governing our Term Loan A-2 and the revolving credit facility maturing in January 2027, which amendment would permit the separation and, upon the consummation of the separation, reduce the commitments under the revolving credit facility, facilitate a potential future debt for equity exchange with respect to the term loan facility and adjust certain exceptions set forth therein. No assurance can be given that we will be able to enter into the amendment on our anticipated timeline or that we will be able to do so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216"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of the Obligor Group include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480" w:type="dxa"/>
            <w:vAlign w:val="bottom"/>
          </w:tcPr>
          <w:p>
            <w:pPr>
              <w:spacing w:after="0"/>
              <w:rPr>
                <w:sz w:val="13"/>
                <w:szCs w:val="13"/>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2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1,962</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2,456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intercompany receivables from non-guarantor subsidiaries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623</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1,426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7,878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-830580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operating results of the Obligor Group include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6"/>
                <w:szCs w:val="16"/>
                <w:color w:val="auto"/>
              </w:rPr>
            </w:pPr>
          </w:p>
        </w:tc>
        <w:tc>
          <w:tcPr>
            <w:tcW w:w="1080" w:type="dxa"/>
            <w:vAlign w:val="bottom"/>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8"/>
        </w:trPr>
        <w:tc>
          <w:tcPr>
            <w:tcW w:w="8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62"/>
              <w:spacing w:after="0" w:line="15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420" w:type="dxa"/>
            <w:vAlign w:val="bottom"/>
          </w:tcPr>
          <w:p>
            <w:pPr>
              <w:spacing w:after="0"/>
              <w:rPr>
                <w:sz w:val="13"/>
                <w:szCs w:val="13"/>
                <w:color w:val="auto"/>
              </w:rPr>
            </w:pPr>
          </w:p>
        </w:tc>
        <w:tc>
          <w:tcPr>
            <w:tcW w:w="1080" w:type="dxa"/>
            <w:vAlign w:val="bottom"/>
          </w:tcPr>
          <w:p>
            <w:pPr>
              <w:jc w:val="center"/>
              <w:ind w:right="283"/>
              <w:spacing w:after="0" w:line="159" w:lineRule="exact"/>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8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4"/>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8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2,905</w:t>
            </w:r>
          </w:p>
        </w:tc>
        <w:tc>
          <w:tcPr>
            <w:tcW w:w="4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spacing w:after="0"/>
              <w:rPr>
                <w:sz w:val="18"/>
                <w:szCs w:val="18"/>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1,141</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255</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-690245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Results for the Obligor Group include the following transactions with non-guarantor subsidiaries: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08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1"/>
        </w:trPr>
        <w:tc>
          <w:tcPr>
            <w:tcW w:w="8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400" w:type="dxa"/>
            <w:vAlign w:val="bottom"/>
          </w:tcPr>
          <w:p>
            <w:pPr>
              <w:spacing w:after="0"/>
              <w:rPr>
                <w:sz w:val="13"/>
                <w:szCs w:val="13"/>
                <w:color w:val="auto"/>
              </w:rPr>
            </w:pPr>
          </w:p>
        </w:tc>
        <w:tc>
          <w:tcPr>
            <w:tcW w:w="108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June 28,</w:t>
            </w:r>
          </w:p>
        </w:tc>
      </w:tr>
      <w:tr>
        <w:trPr>
          <w:trHeight w:val="195"/>
        </w:trPr>
        <w:tc>
          <w:tcPr>
            <w:tcW w:w="8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3"/>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8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597</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intercompany interest (income) expense</w:t>
            </w:r>
          </w:p>
        </w:tc>
        <w:tc>
          <w:tcPr>
            <w:tcW w:w="12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dividend income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539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-556895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December 27, 2024, we were in compliance with all covenants under these Japanese lease facilities. See Part I, Item 1, Note 9,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 for information regarding Flash Ventures.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5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December 27, 2024, our estimated mandatory deemed repatriation tax obligation was $331 million and was expected to be paid within the next twelve months.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Mandatory Research and Development Expense Capitalization</w:t>
      </w:r>
    </w:p>
    <w:p>
      <w:pPr>
        <w:spacing w:after="0" w:line="2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Since the beginning of 2023, the 2017 Act has required us to capitalize and amortize R&amp;D expenses rather than expensing them in the year incurred, which is expected to result in higher cash tax payments in future profitable periods, if not repealed or otherwise modified.</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 </w:t>
      </w:r>
      <w:r>
        <w:rPr>
          <w:rFonts w:ascii="Times New Roman" w:cs="Times New Roman" w:eastAsia="Times New Roman" w:hAnsi="Times New Roman"/>
          <w:sz w:val="18"/>
          <w:szCs w:val="18"/>
          <w:color w:val="auto"/>
        </w:rPr>
        <w:t>included in this Quarterly Report on Form 10-Q for additional information.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0" w:lineRule="exact"/>
        <w:rPr>
          <w:sz w:val="20"/>
          <w:szCs w:val="20"/>
          <w:color w:val="auto"/>
        </w:rPr>
      </w:pPr>
    </w:p>
    <w:p>
      <w:pPr>
        <w:ind w:right="20" w:firstLine="324"/>
        <w:spacing w:after="0" w:line="236"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Please refer to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June 28, 2024 for a discussion of our critical accounting policies and estimates.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12529"/>
        </w:rPr>
        <w:t xml:space="preserve">Except as disclosed below, there have been no material changes to our market risk during the </w:t>
      </w:r>
      <w:r>
        <w:rPr>
          <w:rFonts w:ascii="Times New Roman" w:cs="Times New Roman" w:eastAsia="Times New Roman" w:hAnsi="Times New Roman"/>
          <w:sz w:val="18"/>
          <w:szCs w:val="18"/>
          <w:color w:val="000000"/>
        </w:rPr>
        <w:t>six months ended December 27, 2024</w:t>
      </w:r>
      <w:r>
        <w:rPr>
          <w:rFonts w:ascii="Times New Roman" w:cs="Times New Roman" w:eastAsia="Times New Roman" w:hAnsi="Times New Roman"/>
          <w:sz w:val="18"/>
          <w:szCs w:val="18"/>
          <w:color w:val="212529"/>
        </w:rPr>
        <w:t xml:space="preserve">. See Part II, Item 7A, </w:t>
      </w:r>
      <w:r>
        <w:rPr>
          <w:rFonts w:ascii="Times New Roman" w:cs="Times New Roman" w:eastAsia="Times New Roman" w:hAnsi="Times New Roman"/>
          <w:sz w:val="18"/>
          <w:szCs w:val="18"/>
          <w:i w:val="1"/>
          <w:iCs w:val="1"/>
          <w:color w:val="212529"/>
        </w:rPr>
        <w:t>Quantitative and Qualitative Disclosures About Market Risk</w:t>
      </w:r>
      <w:r>
        <w:rPr>
          <w:rFonts w:ascii="Times New Roman" w:cs="Times New Roman" w:eastAsia="Times New Roman" w:hAnsi="Times New Roman"/>
          <w:sz w:val="18"/>
          <w:szCs w:val="18"/>
          <w:color w:val="212529"/>
        </w:rPr>
        <w:t xml:space="preserve"> in our Annual Report on Form 10-K for the year ended </w:t>
      </w:r>
      <w:r>
        <w:rPr>
          <w:rFonts w:ascii="Times New Roman" w:cs="Times New Roman" w:eastAsia="Times New Roman" w:hAnsi="Times New Roman"/>
          <w:sz w:val="18"/>
          <w:szCs w:val="18"/>
          <w:color w:val="000000"/>
        </w:rPr>
        <w:t>June 28, 2024</w:t>
      </w:r>
      <w:r>
        <w:rPr>
          <w:rFonts w:ascii="Times New Roman" w:cs="Times New Roman" w:eastAsia="Times New Roman" w:hAnsi="Times New Roman"/>
          <w:sz w:val="18"/>
          <w:szCs w:val="18"/>
          <w:color w:val="212529"/>
        </w:rPr>
        <w:t xml:space="preserve"> for further information about our exposure to market risk.</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performed sensitivity analyses as of December 27, 2024, using a modeling technique that measures the change in the fair values arising from a hypothetical 10% adverse moveme</w:t>
      </w:r>
      <w:r>
        <w:rPr>
          <w:rFonts w:ascii="Times New Roman" w:cs="Times New Roman" w:eastAsia="Times New Roman" w:hAnsi="Times New Roman"/>
          <w:sz w:val="18"/>
          <w:szCs w:val="18"/>
          <w:color w:val="212529"/>
        </w:rPr>
        <w:t>nt in the levels of foreign currency exchange rates relative to the U.S. dollar, with all other variables held constant.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analyses cover all of our foreign currency derivative contracts used to offset the underlying exposures. The foreign currency exchange rates used in performing the sensitivity analyses were based on market rates in effect at </w:t>
      </w:r>
      <w:r>
        <w:rPr>
          <w:rFonts w:ascii="Times New Roman" w:cs="Times New Roman" w:eastAsia="Times New Roman" w:hAnsi="Times New Roman"/>
          <w:sz w:val="18"/>
          <w:szCs w:val="18"/>
          <w:color w:val="000000"/>
        </w:rPr>
        <w:t>December 27, 2024</w:t>
      </w:r>
      <w:r>
        <w:rPr>
          <w:rFonts w:ascii="Times New Roman" w:cs="Times New Roman" w:eastAsia="Times New Roman" w:hAnsi="Times New Roman"/>
          <w:sz w:val="18"/>
          <w:szCs w:val="18"/>
          <w:color w:val="212529"/>
        </w:rPr>
        <w:t xml:space="preserve">. The sensitivity analyses indicated that a hypothetical 10% adverse movement in foreign currency exchange rates relative to the U.S. dollar would result in a foreign exchange fair value loss of $239 million at </w:t>
      </w:r>
      <w:r>
        <w:rPr>
          <w:rFonts w:ascii="Times New Roman" w:cs="Times New Roman" w:eastAsia="Times New Roman" w:hAnsi="Times New Roman"/>
          <w:sz w:val="18"/>
          <w:szCs w:val="18"/>
          <w:color w:val="000000"/>
        </w:rPr>
        <w:t>December 27, 2024</w:t>
      </w:r>
      <w:r>
        <w:rPr>
          <w:rFonts w:ascii="Times New Roman" w:cs="Times New Roman" w:eastAsia="Times New Roman" w:hAnsi="Times New Roman"/>
          <w:sz w:val="18"/>
          <w:szCs w:val="18"/>
          <w:color w:val="212529"/>
        </w:rPr>
        <w:t>.</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generally held a balance of fixed and variable rate debt. As of December 27, 2024, our variable rate debt outstanding consisted of our Term Loan A-2, which is based on various index rates as discussed further in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Condensed Consolidated Financial Statements included in this Quarterly Report on Form 10-Q. As of December 27, 2024, the outstanding balance on our variable rate debt was $2.5 billion and a one percent increase in the variable rate of interest would increase our annual interest expense by $25 million.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second quarter of fiscal year 2025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Note 16,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for disclosures regarding certain legal proceedings and the status of statutory notices of deficiency issued by the IRS with regards to tax years 2008 through 2015, respectively, which are incorporated by reference herein.</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Annual Report on Form 10-K for the year ended June 28, 2024 a number of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Part I, Item 1A of our Annual Report on Form 10-K for the year ended June 28, 2024.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the following officer (as defined in Rule 16a-1(f) of the Exchange Act) terminated a trading arrangement for the purchase or sale of securities of Western Digital that was intended to satisfy the affirmative defense conditions of Rule 10b5-1(c) of the Exchange Act (“Rule 10b5-1 Plan”):</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Goeckeler, Chief Executive Officer of the Company, terminated a Rule 10b5-1 Plan on November 17, 2024.</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3" w:lineRule="exact"/>
        <w:rPr>
          <w:sz w:val="20"/>
          <w:szCs w:val="20"/>
          <w:color w:val="auto"/>
        </w:rPr>
      </w:pPr>
    </w:p>
    <w:p>
      <w:pPr>
        <w:ind w:right="180" w:firstLine="8"/>
        <w:spacing w:after="0" w:line="25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ind w:right="20" w:firstLine="8"/>
        <w:spacing w:after="0" w:line="260" w:lineRule="auto"/>
        <w:tabs>
          <w:tab w:leader="none" w:pos="3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EXHIBIT INDEX</w:t>
            </w:r>
          </w:p>
        </w:tc>
        <w:tc>
          <w:tcPr>
            <w:tcW w:w="0" w:type="dxa"/>
            <w:vAlign w:val="bottom"/>
          </w:tcPr>
          <w:p>
            <w:pPr>
              <w:spacing w:after="0"/>
              <w:rPr>
                <w:sz w:val="1"/>
                <w:szCs w:val="1"/>
                <w:color w:val="auto"/>
              </w:rPr>
            </w:pPr>
          </w:p>
        </w:tc>
      </w:tr>
      <w:tr>
        <w:trPr>
          <w:trHeight w:val="197"/>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Exhibit</w:t>
            </w:r>
          </w:p>
        </w:tc>
        <w:tc>
          <w:tcPr>
            <w:tcW w:w="10000" w:type="dxa"/>
            <w:vAlign w:val="bottom"/>
            <w:vMerge w:val="restart"/>
          </w:tcPr>
          <w:p>
            <w:pPr>
              <w:ind w:left="462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Number</w:t>
            </w:r>
          </w:p>
        </w:tc>
        <w:tc>
          <w:tcPr>
            <w:tcW w:w="10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60" w:type="dxa"/>
            <w:vAlign w:val="bottom"/>
            <w:tcBorders>
              <w:top w:val="single" w:sz="8" w:color="auto"/>
            </w:tcBorders>
            <w:gridSpan w:val="3"/>
            <w:shd w:val="clear" w:color="auto" w:fill="CCEEFF"/>
          </w:tcPr>
          <w:p>
            <w:pPr>
              <w:jc w:val="center"/>
              <w:ind w:left="379"/>
              <w:spacing w:after="0" w:line="172" w:lineRule="exact"/>
              <w:rPr>
                <w:rFonts w:ascii="Times New Roman" w:cs="Times New Roman" w:eastAsia="Times New Roman" w:hAnsi="Times New Roman"/>
                <w:sz w:val="16"/>
                <w:szCs w:val="16"/>
                <w:color w:val="0000FF"/>
                <w:w w:val="99"/>
              </w:rPr>
            </w:pPr>
            <w:hyperlink r:id="rId12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Amended and Restated Certificate of Incorporation of Western Digital Corporation, as amended to date (Filed as Exhibit 3.1 to the Company’s Annual</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Report on Form 10-K (File No. 1-08703) with the Securities and Exchange Commission on August 20, 2024)</w:t>
            </w:r>
          </w:p>
        </w:tc>
        <w:tc>
          <w:tcPr>
            <w:tcW w:w="0" w:type="dxa"/>
            <w:vAlign w:val="bottom"/>
          </w:tcPr>
          <w:p>
            <w:pPr>
              <w:spacing w:after="0"/>
              <w:rPr>
                <w:sz w:val="1"/>
                <w:szCs w:val="1"/>
                <w:color w:val="auto"/>
              </w:rPr>
            </w:pPr>
          </w:p>
        </w:tc>
      </w:tr>
      <w:tr>
        <w:trPr>
          <w:trHeight w:val="176"/>
        </w:trPr>
        <w:tc>
          <w:tcPr>
            <w:tcW w:w="660" w:type="dxa"/>
            <w:vAlign w:val="bottom"/>
            <w:gridSpan w:val="3"/>
          </w:tcPr>
          <w:p>
            <w:pPr>
              <w:jc w:val="center"/>
              <w:ind w:left="379"/>
              <w:spacing w:after="0" w:line="175" w:lineRule="exact"/>
              <w:rPr>
                <w:rFonts w:ascii="Times New Roman" w:cs="Times New Roman" w:eastAsia="Times New Roman" w:hAnsi="Times New Roman"/>
                <w:sz w:val="16"/>
                <w:szCs w:val="16"/>
                <w:color w:val="0000FF"/>
                <w:w w:val="99"/>
              </w:rPr>
            </w:pPr>
            <w:hyperlink r:id="rId13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Certificate of Designations, Preferences and Rights of Series A Convertible Perpetual Preferred Stock (Filed as Exhibit 3.1 to the Company’s Current</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Report on Form 8-K (File No. 1-08703) with the Securities and Exchange Commission on February 1, 2023)</w:t>
            </w:r>
          </w:p>
        </w:tc>
        <w:tc>
          <w:tcPr>
            <w:tcW w:w="0" w:type="dxa"/>
            <w:vAlign w:val="bottom"/>
          </w:tcPr>
          <w:p>
            <w:pPr>
              <w:spacing w:after="0"/>
              <w:rPr>
                <w:sz w:val="1"/>
                <w:szCs w:val="1"/>
                <w:color w:val="auto"/>
              </w:rPr>
            </w:pPr>
          </w:p>
        </w:tc>
      </w:tr>
      <w:tr>
        <w:trPr>
          <w:trHeight w:val="175"/>
        </w:trPr>
        <w:tc>
          <w:tcPr>
            <w:tcW w:w="660" w:type="dxa"/>
            <w:vAlign w:val="bottom"/>
            <w:gridSpan w:val="3"/>
            <w:shd w:val="clear" w:color="auto" w:fill="CCEEFF"/>
          </w:tcPr>
          <w:p>
            <w:pPr>
              <w:jc w:val="center"/>
              <w:ind w:left="379"/>
              <w:spacing w:after="0" w:line="175"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Amended and Restated By-Laws of Western Digital Corporation, as amended effective as of February 10, 2021 (Filed as Exhibit 3.1 to the Company’s</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76"/>
        </w:trPr>
        <w:tc>
          <w:tcPr>
            <w:tcW w:w="1120" w:type="dxa"/>
            <w:vAlign w:val="bottom"/>
            <w:gridSpan w:val="5"/>
          </w:tcPr>
          <w:p>
            <w:pPr>
              <w:jc w:val="cente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Western Digital Corporation Amended and Restated 2021 Long-Term Incentive Plan (Filed as Exhibit 10.1 to the Company’s Current Report on Form 8-</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K (File No. 1-08703) with the Securities and Exchange Commission on November 25, 2024)*</w:t>
            </w:r>
          </w:p>
        </w:tc>
        <w:tc>
          <w:tcPr>
            <w:tcW w:w="0" w:type="dxa"/>
            <w:vAlign w:val="bottom"/>
          </w:tcPr>
          <w:p>
            <w:pPr>
              <w:spacing w:after="0"/>
              <w:rPr>
                <w:sz w:val="1"/>
                <w:szCs w:val="1"/>
                <w:color w:val="auto"/>
              </w:rPr>
            </w:pPr>
          </w:p>
        </w:tc>
      </w:tr>
      <w:tr>
        <w:trPr>
          <w:trHeight w:val="175"/>
        </w:trPr>
        <w:tc>
          <w:tcPr>
            <w:tcW w:w="112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Amendment No. 1, effective December 1, 2024, to the Western Digital Corporation Deferred Compensation Plan, amended and restated effective January</w:t>
            </w:r>
          </w:p>
        </w:tc>
        <w:tc>
          <w:tcPr>
            <w:tcW w:w="0" w:type="dxa"/>
            <w:vAlign w:val="bottom"/>
          </w:tcPr>
          <w:p>
            <w:pPr>
              <w:spacing w:after="0"/>
              <w:rPr>
                <w:sz w:val="1"/>
                <w:szCs w:val="1"/>
                <w:color w:val="auto"/>
              </w:rPr>
            </w:pPr>
          </w:p>
        </w:tc>
      </w:tr>
      <w:tr>
        <w:trPr>
          <w:trHeight w:val="183"/>
        </w:trPr>
        <w:tc>
          <w:tcPr>
            <w:tcW w:w="4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1, 2013†*</w:t>
            </w:r>
          </w:p>
        </w:tc>
        <w:tc>
          <w:tcPr>
            <w:tcW w:w="0" w:type="dxa"/>
            <w:vAlign w:val="bottom"/>
          </w:tcPr>
          <w:p>
            <w:pPr>
              <w:spacing w:after="0"/>
              <w:rPr>
                <w:sz w:val="1"/>
                <w:szCs w:val="1"/>
                <w:color w:val="auto"/>
              </w:rPr>
            </w:pPr>
          </w:p>
        </w:tc>
      </w:tr>
      <w:tr>
        <w:trPr>
          <w:trHeight w:val="176"/>
        </w:trPr>
        <w:tc>
          <w:tcPr>
            <w:tcW w:w="112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Form of Sandisk Corporation Deferred Compensation Plan, effective January 1, 2025†*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p>
        </w:tc>
        <w:tc>
          <w:tcPr>
            <w:tcW w:w="12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00" w:type="dxa"/>
            <w:vAlign w:val="bottom"/>
            <w:gridSpan w:val="4"/>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p>
        </w:tc>
        <w:tc>
          <w:tcPr>
            <w:tcW w:w="120" w:type="dxa"/>
            <w:vAlign w:val="bottom"/>
          </w:tcPr>
          <w:p>
            <w:pPr>
              <w:spacing w:after="0"/>
              <w:rPr>
                <w:sz w:val="15"/>
                <w:szCs w:val="15"/>
                <w:color w:val="auto"/>
              </w:rPr>
            </w:pPr>
          </w:p>
        </w:tc>
        <w:tc>
          <w:tcPr>
            <w:tcW w:w="100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40" w:type="dxa"/>
            <w:vAlign w:val="bottom"/>
            <w:gridSpan w:val="6"/>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0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3"/>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9"/>
        </w:trPr>
        <w:tc>
          <w:tcPr>
            <w:tcW w:w="124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0"/>
        </w:trPr>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10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260" w:hanging="813"/>
        <w:spacing w:after="0"/>
        <w:tabs>
          <w:tab w:leader="none" w:pos="12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311" w:lineRule="exact"/>
        <w:rPr>
          <w:rFonts w:ascii="Times New Roman" w:cs="Times New Roman" w:eastAsia="Times New Roman" w:hAnsi="Times New Roman"/>
          <w:sz w:val="16"/>
          <w:szCs w:val="16"/>
          <w:color w:val="auto"/>
        </w:rPr>
      </w:pPr>
    </w:p>
    <w:p>
      <w:pPr>
        <w:ind w:left="160" w:hanging="152"/>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9683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0" w:lineRule="exact"/>
        <w:rPr>
          <w:sz w:val="20"/>
          <w:szCs w:val="20"/>
          <w:color w:val="auto"/>
        </w:rPr>
      </w:pPr>
    </w:p>
    <w:p>
      <w:pPr>
        <w:ind w:left="340" w:right="100" w:hanging="332"/>
        <w:spacing w:after="0" w:line="273" w:lineRule="auto"/>
        <w:tabs>
          <w:tab w:leader="none" w:pos="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pursuant to applicable rules of the Securities and Exchange Commission.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6"/>
          <w:szCs w:val="16"/>
          <w:color w:val="auto"/>
        </w:rPr>
        <w:t>WESTERN DIGITAL CORPORATION</w:t>
      </w:r>
    </w:p>
    <w:p>
      <w:pPr>
        <w:spacing w:after="0" w:line="194"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6"/>
          <w:szCs w:val="16"/>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20320</wp:posOffset>
            </wp:positionV>
            <wp:extent cx="27432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Gene Zamiska</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i w:val="1"/>
          <w:iCs w:val="1"/>
          <w:color w:val="auto"/>
        </w:rPr>
        <w:t>Senior Vice President, Global Accounting and Chief Accounting</w:t>
      </w:r>
    </w:p>
    <w:p>
      <w:pPr>
        <w:ind w:left="6840"/>
        <w:spacing w:after="0"/>
        <w:rPr>
          <w:sz w:val="20"/>
          <w:szCs w:val="20"/>
          <w:color w:val="auto"/>
        </w:rPr>
      </w:pPr>
      <w:r>
        <w:rPr>
          <w:rFonts w:ascii="Times New Roman" w:cs="Times New Roman" w:eastAsia="Times New Roman" w:hAnsi="Times New Roman"/>
          <w:sz w:val="16"/>
          <w:szCs w:val="16"/>
          <w:i w:val="1"/>
          <w:iCs w:val="1"/>
          <w:color w:val="auto"/>
        </w:rPr>
        <w:t>Officer</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(Principal Accounting Officer and Duly Authorized Officer)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2025</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320" w:top="121" w:right="57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WESTERN DIGITAL CORPORATION</w:t>
      </w:r>
    </w:p>
    <w:p>
      <w:pPr>
        <w:spacing w:after="0" w:line="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DEFERRED COMPENSATION PLAN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1, 2024</w:t>
      </w:r>
    </w:p>
    <w:p>
      <w:pPr>
        <w:spacing w:after="0" w:line="200" w:lineRule="exact"/>
        <w:rPr>
          <w:sz w:val="20"/>
          <w:szCs w:val="20"/>
          <w:color w:val="auto"/>
        </w:rPr>
      </w:pPr>
    </w:p>
    <w:p>
      <w:pPr>
        <w:spacing w:after="0" w:line="34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Section 10.1 of the Western Digital Corporation Deferred Compensation Plan, as amended and restated as of January 1, 2013 (the “Plan”) allows Western Digital Corporation (the “Company”) to amend the Plan at any time. Accordingly, the Plan is hereby amended, applicable to Compensation Deferral Agreements submitted on or after December 1, 2024 and Company Contributions credited with respect to Plan Years commencing after December 1, 2024, except as expressly provided herein. The Committee will establish new Accounts to record Participant Deferrals and Company Contributions made under this Amendment No. 1.</w:t>
      </w:r>
    </w:p>
    <w:p>
      <w:pPr>
        <w:spacing w:after="0" w:line="106"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Amounts deferred under Compensation Deferral Agreement submitted prior to December 1, 2024 shall continue to be governed by and administered under the terms of the Plan in effect prior to this Amendment No. 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defined herein shall have the meaning given in the Plan as in effect prior to December 1, 2024.</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Section 2.35A is added to the Plan, to immediately follow section 2.35, and to read as follows:</w:t>
      </w:r>
    </w:p>
    <w:p>
      <w:pPr>
        <w:spacing w:after="0" w:line="161" w:lineRule="exact"/>
        <w:rPr>
          <w:rFonts w:ascii="Times New Roman" w:cs="Times New Roman" w:eastAsia="Times New Roman" w:hAnsi="Times New Roman"/>
          <w:sz w:val="20"/>
          <w:szCs w:val="20"/>
          <w:color w:val="auto"/>
        </w:rPr>
      </w:pPr>
    </w:p>
    <w:p>
      <w:pPr>
        <w:jc w:val="both"/>
        <w:ind w:left="660" w:right="20"/>
        <w:spacing w:after="0" w:line="27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“2.35A ‘</w:t>
      </w:r>
      <w:r>
        <w:rPr>
          <w:rFonts w:ascii="Times New Roman" w:cs="Times New Roman" w:eastAsia="Times New Roman" w:hAnsi="Times New Roman"/>
          <w:sz w:val="20"/>
          <w:szCs w:val="20"/>
          <w:u w:val="single" w:color="auto"/>
          <w:color w:val="auto"/>
        </w:rPr>
        <w:t>Primary Separation Account’</w:t>
      </w:r>
      <w:r>
        <w:rPr>
          <w:rFonts w:ascii="Times New Roman" w:cs="Times New Roman" w:eastAsia="Times New Roman" w:hAnsi="Times New Roman"/>
          <w:sz w:val="20"/>
          <w:szCs w:val="20"/>
          <w:color w:val="auto"/>
        </w:rPr>
        <w:t xml:space="preserve"> means a Separation Account established upon a Participant’s initial enrollment in the Plan on or after December 1, 2024, to record Company Contributions in addition to any Deferrals that the Participant may elect to allocate to such Account.”</w:t>
      </w:r>
    </w:p>
    <w:p>
      <w:pPr>
        <w:spacing w:after="0" w:line="10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2.37 of the Plan is amended to read in its entirety as follows:</w:t>
      </w:r>
    </w:p>
    <w:p>
      <w:pPr>
        <w:spacing w:after="0" w:line="256" w:lineRule="exact"/>
        <w:rPr>
          <w:rFonts w:ascii="Times New Roman" w:cs="Times New Roman" w:eastAsia="Times New Roman" w:hAnsi="Times New Roman"/>
          <w:sz w:val="20"/>
          <w:szCs w:val="20"/>
          <w:color w:val="auto"/>
        </w:rPr>
      </w:pPr>
    </w:p>
    <w:p>
      <w:pPr>
        <w:ind w:left="660" w:right="36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“2.37 ‘</w:t>
      </w:r>
      <w:r>
        <w:rPr>
          <w:rFonts w:ascii="Times New Roman" w:cs="Times New Roman" w:eastAsia="Times New Roman" w:hAnsi="Times New Roman"/>
          <w:sz w:val="20"/>
          <w:szCs w:val="20"/>
          <w:u w:val="single" w:color="auto"/>
          <w:color w:val="auto"/>
        </w:rPr>
        <w:t>Separation Benefit’</w:t>
      </w:r>
      <w:r>
        <w:rPr>
          <w:rFonts w:ascii="Times New Roman" w:cs="Times New Roman" w:eastAsia="Times New Roman" w:hAnsi="Times New Roman"/>
          <w:sz w:val="20"/>
          <w:szCs w:val="20"/>
          <w:color w:val="auto"/>
        </w:rPr>
        <w:t>. Separation Benefit means the benefit payable to a Participant following the Participant’s Separation from Service, as provided in Sections 6.1(a) and 6.2(a).”</w:t>
      </w:r>
    </w:p>
    <w:p>
      <w:pPr>
        <w:spacing w:after="0" w:line="18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Section 2.38A is added to the Plan, to immediately follow Section 2.38, to read as follows:</w:t>
      </w:r>
    </w:p>
    <w:p>
      <w:pPr>
        <w:spacing w:after="0" w:line="269" w:lineRule="exact"/>
        <w:rPr>
          <w:rFonts w:ascii="Times New Roman" w:cs="Times New Roman" w:eastAsia="Times New Roman" w:hAnsi="Times New Roman"/>
          <w:sz w:val="20"/>
          <w:szCs w:val="20"/>
          <w:color w:val="auto"/>
        </w:rPr>
      </w:pPr>
    </w:p>
    <w:p>
      <w:pPr>
        <w:ind w:left="660" w:right="160"/>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“2.38A. ‘</w:t>
      </w:r>
      <w:r>
        <w:rPr>
          <w:rFonts w:ascii="Times New Roman" w:cs="Times New Roman" w:eastAsia="Times New Roman" w:hAnsi="Times New Roman"/>
          <w:sz w:val="20"/>
          <w:szCs w:val="20"/>
          <w:u w:val="single" w:color="auto"/>
          <w:color w:val="auto"/>
        </w:rPr>
        <w:t>Separation Account</w:t>
      </w:r>
      <w:r>
        <w:rPr>
          <w:rFonts w:ascii="Times New Roman" w:cs="Times New Roman" w:eastAsia="Times New Roman" w:hAnsi="Times New Roman"/>
          <w:sz w:val="20"/>
          <w:szCs w:val="20"/>
          <w:color w:val="auto"/>
        </w:rPr>
        <w:t>’ means an Account established by the Committee to record Deferrals that will be paid upon Separation from Service as provided in Section 6.1(a). Unless the Committee provides otherwise during an applicable enrollment, a Participant may maintain a maximum of five (5) Separation Accounts (excluding his or her Primary Separation Account) in combination with any Specified Date Accounts established by the Participant under his or her Compensation Deferral Agreements submitted on or after December 1, 2024.</w:t>
      </w:r>
    </w:p>
    <w:p>
      <w:pPr>
        <w:spacing w:after="0" w:line="20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2.40 (“Specified Date Account”) is amended to add the following sentence:</w:t>
      </w:r>
    </w:p>
    <w:p>
      <w:pPr>
        <w:spacing w:after="0" w:line="269" w:lineRule="exact"/>
        <w:rPr>
          <w:rFonts w:ascii="Times New Roman" w:cs="Times New Roman" w:eastAsia="Times New Roman" w:hAnsi="Times New Roman"/>
          <w:sz w:val="20"/>
          <w:szCs w:val="20"/>
          <w:color w:val="auto"/>
        </w:rPr>
      </w:pPr>
    </w:p>
    <w:p>
      <w:pPr>
        <w:ind w:left="660" w:right="56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Committee provides otherwise during an applicable enrollment, a Participant may maintain a maximum of five (5) Separation Accounts (excluding his or her Primary Separation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60" w:name="page61"/>
    <w:bookmarkEnd w:id="60"/>
    <w:p>
      <w:pPr>
        <w:ind w:left="328" w:right="280"/>
        <w:spacing w:after="0" w:line="283" w:lineRule="auto"/>
        <w:rPr>
          <w:sz w:val="20"/>
          <w:szCs w:val="20"/>
          <w:color w:val="auto"/>
        </w:rPr>
      </w:pPr>
      <w:r>
        <w:rPr>
          <w:rFonts w:ascii="Times New Roman" w:cs="Times New Roman" w:eastAsia="Times New Roman" w:hAnsi="Times New Roman"/>
          <w:sz w:val="20"/>
          <w:szCs w:val="20"/>
          <w:color w:val="auto"/>
        </w:rPr>
        <w:t>Account) in combination with any Specified Date Accounts established by the Participant under his or her Compensation Deferral Agreements submitted on or after December 1, 2024.”</w:t>
      </w:r>
    </w:p>
    <w:p>
      <w:pPr>
        <w:spacing w:after="0" w:line="200" w:lineRule="exact"/>
        <w:rPr>
          <w:sz w:val="20"/>
          <w:szCs w:val="20"/>
          <w:color w:val="auto"/>
        </w:rPr>
      </w:pPr>
    </w:p>
    <w:p>
      <w:pPr>
        <w:ind w:left="328" w:right="6140" w:hanging="328"/>
        <w:spacing w:after="0" w:line="459" w:lineRule="auto"/>
        <w:tabs>
          <w:tab w:leader="none" w:pos="32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Section 4.2 is amended to read in its entirety as follows: “4.2 </w:t>
      </w:r>
      <w:r>
        <w:rPr>
          <w:rFonts w:ascii="Times New Roman" w:cs="Times New Roman" w:eastAsia="Times New Roman" w:hAnsi="Times New Roman"/>
          <w:sz w:val="19"/>
          <w:szCs w:val="19"/>
          <w:u w:val="single" w:color="auto"/>
          <w:color w:val="auto"/>
        </w:rPr>
        <w:t>Allocation of Deferrals; Payment Schedules</w:t>
      </w:r>
    </w:p>
    <w:p>
      <w:pPr>
        <w:spacing w:after="0" w:line="14" w:lineRule="exact"/>
        <w:rPr>
          <w:rFonts w:ascii="Times New Roman" w:cs="Times New Roman" w:eastAsia="Times New Roman" w:hAnsi="Times New Roman"/>
          <w:sz w:val="19"/>
          <w:szCs w:val="19"/>
          <w:color w:val="auto"/>
        </w:rPr>
      </w:pPr>
    </w:p>
    <w:p>
      <w:pPr>
        <w:ind w:left="648" w:right="40" w:hanging="324"/>
        <w:spacing w:after="0" w:line="258" w:lineRule="auto"/>
        <w:tabs>
          <w:tab w:leader="none" w:pos="638"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specify on his or her Compensation Deferral Agreement the amount of Deferrals for the Plan Year and whether to allocate a portion, or all, of such Deferrals among his or her Primary Separation Account, any Separation Accounts or any Specified Date Accounts established in such Compensation Deferral Agreement, or any prior Compensation Deferral Agreement submitted to the Committee on or after December 1, 2024.</w:t>
      </w:r>
    </w:p>
    <w:p>
      <w:pPr>
        <w:spacing w:after="0" w:line="212" w:lineRule="exact"/>
        <w:rPr>
          <w:rFonts w:ascii="Times New Roman" w:cs="Times New Roman" w:eastAsia="Times New Roman" w:hAnsi="Times New Roman"/>
          <w:sz w:val="20"/>
          <w:szCs w:val="20"/>
          <w:color w:val="auto"/>
        </w:rPr>
      </w:pPr>
    </w:p>
    <w:p>
      <w:pPr>
        <w:ind w:left="648" w:right="100" w:hanging="324"/>
        <w:spacing w:after="0" w:line="253" w:lineRule="auto"/>
        <w:tabs>
          <w:tab w:leader="none" w:pos="63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also specify the Payment Schedule for a Primary Separation Account, Separation Account or Specified Date Account being established for the first time in such Compensation Deferral Agreement. Payment Schedules for existing Accounts may not be changed except as provided in Article VII. If the Payment Schedule for a newly established Account is not specified in a Compensation Deferral Agreement, the Payment Schedule shall be the default Payment Schedule specified in Section 6.2.</w:t>
      </w:r>
    </w:p>
    <w:p>
      <w:pPr>
        <w:spacing w:after="0" w:line="218"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5.1 is amended to read in its entirety as follows:</w:t>
      </w:r>
    </w:p>
    <w:p>
      <w:pPr>
        <w:spacing w:after="0" w:line="242" w:lineRule="exact"/>
        <w:rPr>
          <w:rFonts w:ascii="Times New Roman" w:cs="Times New Roman" w:eastAsia="Times New Roman" w:hAnsi="Times New Roman"/>
          <w:sz w:val="20"/>
          <w:szCs w:val="20"/>
          <w:color w:val="auto"/>
        </w:rPr>
      </w:pPr>
    </w:p>
    <w:p>
      <w:pPr>
        <w:ind w:left="328" w:right="80"/>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Discretionary Company Contributions</w:t>
      </w:r>
      <w:r>
        <w:rPr>
          <w:rFonts w:ascii="Times New Roman" w:cs="Times New Roman" w:eastAsia="Times New Roman" w:hAnsi="Times New Roman"/>
          <w:sz w:val="20"/>
          <w:szCs w:val="20"/>
          <w:color w:val="auto"/>
        </w:rPr>
        <w:t>. The Participating Employer may, from time to time in its sole and absolute discretion, credit Company Contributions for a Plan Year to any Participant in any amount determined by the Participating Employer. Such contributions will be credited to a Participant’s Primary Separation Account as of the last day of the Plan Year. A Participant must be actively employed on the last day of a Plan Year (or have Separated from Service due to death or Retirement) in order to receive a Company Contribution for such Plan Year.”</w:t>
      </w:r>
    </w:p>
    <w:p>
      <w:pPr>
        <w:spacing w:after="0" w:line="199" w:lineRule="exact"/>
        <w:rPr>
          <w:rFonts w:ascii="Times New Roman" w:cs="Times New Roman" w:eastAsia="Times New Roman" w:hAnsi="Times New Roman"/>
          <w:sz w:val="20"/>
          <w:szCs w:val="20"/>
          <w:color w:val="auto"/>
        </w:rPr>
      </w:pPr>
    </w:p>
    <w:p>
      <w:pPr>
        <w:ind w:left="328" w:right="200" w:hanging="328"/>
        <w:spacing w:after="0" w:line="283"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6.1(a) through (g) are re-designated as Sections 6.1(a) through (f). Sections 6.1(a) through (e) are amended to read in their entirety as follows:</w:t>
      </w:r>
    </w:p>
    <w:p>
      <w:pPr>
        <w:spacing w:after="0" w:line="173" w:lineRule="exact"/>
        <w:rPr>
          <w:rFonts w:ascii="Times New Roman" w:cs="Times New Roman" w:eastAsia="Times New Roman" w:hAnsi="Times New Roman"/>
          <w:sz w:val="20"/>
          <w:szCs w:val="20"/>
          <w:color w:val="auto"/>
        </w:rPr>
      </w:pPr>
    </w:p>
    <w:p>
      <w:pPr>
        <w:ind w:left="32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Benefits, Generally</w:t>
      </w:r>
      <w:r>
        <w:rPr>
          <w:rFonts w:ascii="Times New Roman" w:cs="Times New Roman" w:eastAsia="Times New Roman" w:hAnsi="Times New Roman"/>
          <w:sz w:val="20"/>
          <w:szCs w:val="20"/>
          <w:color w:val="auto"/>
        </w:rPr>
        <w:t>. A Participant shall be entitled to the following benefits under the Plan:</w:t>
      </w:r>
    </w:p>
    <w:p>
      <w:pPr>
        <w:spacing w:after="0" w:line="252" w:lineRule="exact"/>
        <w:rPr>
          <w:rFonts w:ascii="Times New Roman" w:cs="Times New Roman" w:eastAsia="Times New Roman" w:hAnsi="Times New Roman"/>
          <w:sz w:val="20"/>
          <w:szCs w:val="20"/>
          <w:color w:val="auto"/>
        </w:rPr>
      </w:pPr>
    </w:p>
    <w:p>
      <w:pPr>
        <w:ind w:left="648" w:right="140" w:hanging="324"/>
        <w:spacing w:after="0" w:line="260" w:lineRule="auto"/>
        <w:tabs>
          <w:tab w:leader="none" w:pos="638"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Separation Benefit</w:t>
      </w:r>
      <w:r>
        <w:rPr>
          <w:rFonts w:ascii="Times New Roman" w:cs="Times New Roman" w:eastAsia="Times New Roman" w:hAnsi="Times New Roman"/>
          <w:sz w:val="20"/>
          <w:szCs w:val="20"/>
          <w:color w:val="auto"/>
        </w:rPr>
        <w:t>. Upon the Participant’s Separation from Service the Participant is entitled to receive the vested portion of 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her Primary Separation Account, any Separation Accounts and any Specified Date Accounts that have not commenced payment as of the Participant’s Separation from Service; provided, however, that if Separation from Service occurs within 24 months following a Change in Control, the Separation Benefit will include all unpaid Accounts.</w:t>
      </w:r>
    </w:p>
    <w:p>
      <w:pPr>
        <w:spacing w:after="0" w:line="181" w:lineRule="exact"/>
        <w:rPr>
          <w:rFonts w:ascii="Times New Roman" w:cs="Times New Roman" w:eastAsia="Times New Roman" w:hAnsi="Times New Roman"/>
          <w:sz w:val="20"/>
          <w:szCs w:val="20"/>
          <w:color w:val="auto"/>
        </w:rPr>
      </w:pPr>
    </w:p>
    <w:p>
      <w:pPr>
        <w:ind w:left="648" w:right="20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will commence in the calendar year next following Separation from Service, provided, however, that with respect to a Participant who is a Specified Employee as of the date such Participant’s Separation from Service, payment will be made no earlier than the seventh month following the month in which Separation from Service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08"/>
          </w:cols>
          <w:pgMar w:left="652" w:top="1426" w:right="339" w:bottom="1440" w:gutter="0" w:footer="0" w:header="0"/>
        </w:sectPr>
      </w:pPr>
    </w:p>
    <w:bookmarkStart w:id="61" w:name="page62"/>
    <w:bookmarkEnd w:id="61"/>
    <w:p>
      <w:pPr>
        <w:ind w:left="648"/>
        <w:spacing w:after="0"/>
        <w:tabs>
          <w:tab w:leader="none" w:pos="7968" w:val="left"/>
        </w:tabs>
        <w:rPr>
          <w:sz w:val="20"/>
          <w:szCs w:val="20"/>
          <w:color w:val="auto"/>
        </w:rPr>
      </w:pPr>
      <w:r>
        <w:rPr>
          <w:rFonts w:ascii="Times New Roman" w:cs="Times New Roman" w:eastAsia="Times New Roman" w:hAnsi="Times New Roman"/>
          <w:sz w:val="20"/>
          <w:szCs w:val="20"/>
          <w:color w:val="auto"/>
        </w:rPr>
        <w:t>Accounts will be valued as of the last Business Day of the immediately preceding year,</w:t>
      </w:r>
      <w:r>
        <w:rPr>
          <w:sz w:val="20"/>
          <w:szCs w:val="20"/>
          <w:color w:val="auto"/>
        </w:rPr>
        <w:tab/>
      </w:r>
      <w:r>
        <w:rPr>
          <w:rFonts w:ascii="Times New Roman" w:cs="Times New Roman" w:eastAsia="Times New Roman" w:hAnsi="Times New Roman"/>
          <w:sz w:val="19"/>
          <w:szCs w:val="19"/>
          <w:color w:val="auto"/>
        </w:rPr>
        <w:t>except that a payment to a Specified</w:t>
      </w:r>
    </w:p>
    <w:p>
      <w:pPr>
        <w:ind w:left="648"/>
        <w:spacing w:after="0" w:line="215" w:lineRule="auto"/>
        <w:rPr>
          <w:sz w:val="20"/>
          <w:szCs w:val="20"/>
          <w:color w:val="auto"/>
        </w:rPr>
      </w:pPr>
      <w:r>
        <w:rPr>
          <w:rFonts w:ascii="Times New Roman" w:cs="Times New Roman" w:eastAsia="Times New Roman" w:hAnsi="Times New Roman"/>
          <w:sz w:val="19"/>
          <w:szCs w:val="19"/>
          <w:color w:val="auto"/>
        </w:rPr>
        <w:t>Employee will be valued as of the last Business Day of the sixth month following his or her Separation from Service. Subsequent installment payments will be made in succeeding calendar years, valued as of the last Business Day of the immediately preceding</w:t>
      </w:r>
    </w:p>
    <w:p>
      <w:pPr>
        <w:ind w:left="648"/>
        <w:spacing w:after="0"/>
        <w:rPr>
          <w:sz w:val="20"/>
          <w:szCs w:val="20"/>
          <w:color w:val="auto"/>
        </w:rPr>
      </w:pPr>
      <w:r>
        <w:rPr>
          <w:rFonts w:ascii="Times New Roman" w:cs="Times New Roman" w:eastAsia="Times New Roman" w:hAnsi="Times New Roman"/>
          <w:sz w:val="20"/>
          <w:szCs w:val="20"/>
          <w:color w:val="auto"/>
        </w:rPr>
        <w:t>calendar year.</w:t>
      </w:r>
    </w:p>
    <w:p>
      <w:pPr>
        <w:spacing w:after="0" w:line="149" w:lineRule="exact"/>
        <w:rPr>
          <w:sz w:val="20"/>
          <w:szCs w:val="20"/>
          <w:color w:val="auto"/>
        </w:rPr>
      </w:pPr>
    </w:p>
    <w:p>
      <w:pPr>
        <w:ind w:left="648" w:right="40" w:hanging="324"/>
        <w:spacing w:after="0" w:line="255" w:lineRule="auto"/>
        <w:tabs>
          <w:tab w:leader="none" w:pos="6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Date Benefit. </w:t>
      </w:r>
      <w:r>
        <w:rPr>
          <w:rFonts w:ascii="Times New Roman" w:cs="Times New Roman" w:eastAsia="Times New Roman" w:hAnsi="Times New Roman"/>
          <w:sz w:val="20"/>
          <w:szCs w:val="20"/>
          <w:color w:val="auto"/>
        </w:rPr>
        <w:t>If the Participant has established one or more Specified Date Accounts, he or she shall be entitled to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Specified Date Benefit with respect to each such Specified Date Account. The Specified Date Benefit shall be equal to the vested portion of the Specified Date Account, based on the value of that Account as of the end of the Plan Year immediately preceding the designated Plan Year.</w:t>
      </w:r>
    </w:p>
    <w:p>
      <w:pPr>
        <w:spacing w:after="0" w:line="210" w:lineRule="exact"/>
        <w:rPr>
          <w:rFonts w:ascii="Times New Roman" w:cs="Times New Roman" w:eastAsia="Times New Roman" w:hAnsi="Times New Roman"/>
          <w:sz w:val="20"/>
          <w:szCs w:val="20"/>
          <w:color w:val="auto"/>
        </w:rPr>
      </w:pPr>
    </w:p>
    <w:p>
      <w:pPr>
        <w:ind w:left="648" w:right="80" w:hanging="324"/>
        <w:spacing w:after="0" w:line="283" w:lineRule="auto"/>
        <w:tabs>
          <w:tab w:leader="none" w:pos="638"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Disability Benefit. </w:t>
      </w:r>
      <w:r>
        <w:rPr>
          <w:rFonts w:ascii="Times New Roman" w:cs="Times New Roman" w:eastAsia="Times New Roman" w:hAnsi="Times New Roman"/>
          <w:sz w:val="19"/>
          <w:szCs w:val="19"/>
          <w:color w:val="auto"/>
        </w:rPr>
        <w:t>If a Participant incurs a Disability as an Employee, he or she shall receive his or her unpaid Account Balances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(regardless of whether payment has commenced under Section 6.1(a) or (b)), valued as of the last day of the month in which Disability occurs. Payment will be made within 60 days following the Committee’s determination of the Participant’s Disability.</w:t>
      </w:r>
    </w:p>
    <w:p>
      <w:pPr>
        <w:spacing w:after="0" w:line="185" w:lineRule="exact"/>
        <w:rPr>
          <w:rFonts w:ascii="Times New Roman" w:cs="Times New Roman" w:eastAsia="Times New Roman" w:hAnsi="Times New Roman"/>
          <w:sz w:val="19"/>
          <w:szCs w:val="19"/>
          <w:color w:val="auto"/>
        </w:rPr>
      </w:pPr>
    </w:p>
    <w:p>
      <w:pPr>
        <w:ind w:left="648" w:right="100" w:hanging="324"/>
        <w:spacing w:after="0" w:line="254" w:lineRule="auto"/>
        <w:tabs>
          <w:tab w:leader="none" w:pos="685"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Death Benefit. </w:t>
      </w:r>
      <w:r>
        <w:rPr>
          <w:rFonts w:ascii="Times New Roman" w:cs="Times New Roman" w:eastAsia="Times New Roman" w:hAnsi="Times New Roman"/>
          <w:sz w:val="20"/>
          <w:szCs w:val="20"/>
          <w:color w:val="auto"/>
        </w:rPr>
        <w:t>Upon the Participant’s death while an Employee the Participant is entitled to receive his or her Primary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Separation Account, any Separation Accounts and any Specified Date Accounts that have not commenced payment as of the Participant’s death. Payment will commence in the calendar year next following the Participant’s death. Accounts will be valued as of the last Business Day of the immediately preceding year. Subsequent installment payments will be made in succeeding calendar years, valued as of the last Business Day of the immediately preceding calendar year.</w:t>
      </w:r>
    </w:p>
    <w:p>
      <w:pPr>
        <w:spacing w:after="0" w:line="214" w:lineRule="exact"/>
        <w:rPr>
          <w:rFonts w:ascii="Times New Roman" w:cs="Times New Roman" w:eastAsia="Times New Roman" w:hAnsi="Times New Roman"/>
          <w:sz w:val="20"/>
          <w:szCs w:val="20"/>
          <w:color w:val="auto"/>
        </w:rPr>
      </w:pPr>
    </w:p>
    <w:p>
      <w:pPr>
        <w:ind w:left="648" w:hanging="324"/>
        <w:spacing w:after="0" w:line="264" w:lineRule="auto"/>
        <w:tabs>
          <w:tab w:leader="none" w:pos="638"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Unforeseeable Emergency Payments. </w:t>
      </w:r>
      <w:r>
        <w:rPr>
          <w:rFonts w:ascii="Times New Roman" w:cs="Times New Roman" w:eastAsia="Times New Roman" w:hAnsi="Times New Roman"/>
          <w:sz w:val="19"/>
          <w:szCs w:val="19"/>
          <w:color w:val="auto"/>
        </w:rPr>
        <w:t>A Participant who experiences an Unforeseeable Emergency may submit a written request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Committee to receive payment of all or any portion of his or her vested Accounts. Whether a Participant or Beneficiary is faced with an Unforeseeable Emergency permitting an emergency payment shall be determined by the Committee based on the relevant facts and circumstances of each case, but, in any case, a distribution on account of Unforeseeable Emergency may not be made to the extent that such emergency is or may be reimbursed through insurance or otherwise, by liquidation of the Participant’s assets, to the extent the liquidation of such assets would not cause severe financial hardship, or by cessation of Deferrals under this Plan. If an emergency payment is approved by the Committee, the amount of the payment shall not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pro rata from the Participant's Primary Separation Account and Separation Accounts until depleted and then from the Specified Date Accounts, beginning with the Specified Date Account with the latest payment commencement date. Emergency payments shall be paid in a single lump sum within the 90-day period following the date the payment is approved by the Committee.”</w:t>
      </w:r>
    </w:p>
    <w:p>
      <w:pPr>
        <w:spacing w:after="0" w:line="200" w:lineRule="exact"/>
        <w:rPr>
          <w:rFonts w:ascii="Times New Roman" w:cs="Times New Roman" w:eastAsia="Times New Roman" w:hAnsi="Times New Roman"/>
          <w:sz w:val="19"/>
          <w:szCs w:val="19"/>
          <w:color w:val="auto"/>
        </w:rPr>
      </w:pPr>
    </w:p>
    <w:p>
      <w:pPr>
        <w:ind w:left="328" w:right="260" w:hanging="328"/>
        <w:spacing w:after="0" w:line="283" w:lineRule="auto"/>
        <w:tabs>
          <w:tab w:leader="none" w:pos="32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6.2(a) through (j) are redesignated as Sections 6.2(a) through (h). Sections 6.2(a) through (g) are amended to read in their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08"/>
          </w:cols>
          <w:pgMar w:left="652" w:top="1394" w:right="339" w:bottom="1440" w:gutter="0" w:footer="0" w:header="0"/>
        </w:sectPr>
      </w:pPr>
    </w:p>
    <w:bookmarkStart w:id="62" w:name="page63"/>
    <w:bookmarkEnd w:id="62"/>
    <w:p>
      <w:pPr>
        <w:ind w:left="4"/>
        <w:spacing w:after="0"/>
        <w:tabs>
          <w:tab w:leader="none" w:pos="504"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Form of Payment</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jc w:val="both"/>
        <w:ind w:left="324" w:right="280" w:hanging="324"/>
        <w:spacing w:after="0" w:line="263" w:lineRule="auto"/>
        <w:tabs>
          <w:tab w:leader="none" w:pos="31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Benefit. </w:t>
      </w:r>
      <w:r>
        <w:rPr>
          <w:rFonts w:ascii="Times New Roman" w:cs="Times New Roman" w:eastAsia="Times New Roman" w:hAnsi="Times New Roman"/>
          <w:sz w:val="20"/>
          <w:szCs w:val="20"/>
          <w:color w:val="auto"/>
        </w:rPr>
        <w:t>A Participant who is entitled to payment under Section 6.1(a) will receive his Primary Separation Account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any Specified Date Accounts described in Section 6.1(a) according to the Payment Schedule in effect for the Participant’s Primary Separation Account.</w:t>
      </w:r>
    </w:p>
    <w:p>
      <w:pPr>
        <w:spacing w:after="0" w:line="179" w:lineRule="exact"/>
        <w:rPr>
          <w:rFonts w:ascii="Times New Roman" w:cs="Times New Roman" w:eastAsia="Times New Roman" w:hAnsi="Times New Roman"/>
          <w:sz w:val="20"/>
          <w:szCs w:val="20"/>
          <w:color w:val="auto"/>
        </w:rPr>
      </w:pPr>
    </w:p>
    <w:p>
      <w:pPr>
        <w:ind w:left="32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elect a different Payment Schedule for his or her Separation Accounts payable under Section 6.1(a).</w:t>
      </w:r>
    </w:p>
    <w:p>
      <w:pPr>
        <w:spacing w:after="0" w:line="242" w:lineRule="exact"/>
        <w:rPr>
          <w:rFonts w:ascii="Times New Roman" w:cs="Times New Roman" w:eastAsia="Times New Roman" w:hAnsi="Times New Roman"/>
          <w:sz w:val="20"/>
          <w:szCs w:val="20"/>
          <w:color w:val="auto"/>
        </w:rPr>
      </w:pPr>
    </w:p>
    <w:p>
      <w:pPr>
        <w:ind w:left="324" w:right="2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will be made in a single lump sum unless the Participant has elected, with respect to his or her Primary Separation Account or any Separation Account, to have such Account paid in a designated number of substantially equal annual installments over a period over five (5), ten (10), fifteen (15) or twenty (20) payments.</w:t>
      </w:r>
    </w:p>
    <w:p>
      <w:pPr>
        <w:spacing w:after="0" w:line="208" w:lineRule="exact"/>
        <w:rPr>
          <w:rFonts w:ascii="Times New Roman" w:cs="Times New Roman" w:eastAsia="Times New Roman" w:hAnsi="Times New Roman"/>
          <w:sz w:val="20"/>
          <w:szCs w:val="20"/>
          <w:color w:val="auto"/>
        </w:rPr>
      </w:pPr>
    </w:p>
    <w:p>
      <w:pPr>
        <w:ind w:left="324" w:right="12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a Participant will receive his or her Separation Benefit in a single lump sum payment equal to the unpaid balance of all of his or her Accounts if Separation from Service occurs within 24 months following a Change in Control. If a Participant has incurred a Separation from Service at the time of the Change in Control, any unpaid Account Balances will be paid in a single lump sum in accordance with Section 6.1(a).</w:t>
      </w:r>
    </w:p>
    <w:p>
      <w:pPr>
        <w:spacing w:after="0" w:line="195" w:lineRule="exact"/>
        <w:rPr>
          <w:rFonts w:ascii="Times New Roman" w:cs="Times New Roman" w:eastAsia="Times New Roman" w:hAnsi="Times New Roman"/>
          <w:sz w:val="20"/>
          <w:szCs w:val="20"/>
          <w:color w:val="auto"/>
        </w:rPr>
      </w:pPr>
    </w:p>
    <w:p>
      <w:pPr>
        <w:ind w:left="324" w:right="160" w:hanging="324"/>
        <w:spacing w:after="0" w:line="283" w:lineRule="auto"/>
        <w:tabs>
          <w:tab w:leader="none" w:pos="312"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Specified Date Benefit. </w:t>
      </w:r>
      <w:r>
        <w:rPr>
          <w:rFonts w:ascii="Times New Roman" w:cs="Times New Roman" w:eastAsia="Times New Roman" w:hAnsi="Times New Roman"/>
          <w:sz w:val="19"/>
          <w:szCs w:val="19"/>
          <w:color w:val="auto"/>
        </w:rPr>
        <w:t>Each Specified Date Account described in Section 6.1(b) shall be paid in a single lump sum, unless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Participant elects on the Compensation Deferral Agreement with which the Account was established to have the Specified Date Account paid in a designated number of substantially equal annual installments over a period of two (2) to five (5) payments.</w:t>
      </w:r>
    </w:p>
    <w:p>
      <w:pPr>
        <w:spacing w:after="0" w:line="185" w:lineRule="exact"/>
        <w:rPr>
          <w:rFonts w:ascii="Times New Roman" w:cs="Times New Roman" w:eastAsia="Times New Roman" w:hAnsi="Times New Roman"/>
          <w:sz w:val="19"/>
          <w:szCs w:val="19"/>
          <w:color w:val="auto"/>
        </w:rPr>
      </w:pPr>
    </w:p>
    <w:p>
      <w:pPr>
        <w:ind w:left="324" w:right="240" w:hanging="324"/>
        <w:spacing w:after="0" w:line="287" w:lineRule="auto"/>
        <w:tabs>
          <w:tab w:leader="none" w:pos="31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Disability Benefit. </w:t>
      </w:r>
      <w:r>
        <w:rPr>
          <w:rFonts w:ascii="Times New Roman" w:cs="Times New Roman" w:eastAsia="Times New Roman" w:hAnsi="Times New Roman"/>
          <w:sz w:val="20"/>
          <w:szCs w:val="20"/>
          <w:color w:val="auto"/>
        </w:rPr>
        <w:t>A Participant who is entitled to receive a Disability Benefit shall receive payment of such benefit in a single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lump sum.</w:t>
      </w:r>
    </w:p>
    <w:p>
      <w:pPr>
        <w:spacing w:after="0" w:line="165" w:lineRule="exact"/>
        <w:rPr>
          <w:rFonts w:ascii="Times New Roman" w:cs="Times New Roman" w:eastAsia="Times New Roman" w:hAnsi="Times New Roman"/>
          <w:sz w:val="20"/>
          <w:szCs w:val="20"/>
          <w:color w:val="auto"/>
        </w:rPr>
      </w:pPr>
    </w:p>
    <w:p>
      <w:pPr>
        <w:ind w:left="324" w:right="180" w:hanging="324"/>
        <w:spacing w:after="0" w:line="260" w:lineRule="auto"/>
        <w:tabs>
          <w:tab w:leader="none" w:pos="31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Death Benefit. </w:t>
      </w:r>
      <w:r>
        <w:rPr>
          <w:rFonts w:ascii="Times New Roman" w:cs="Times New Roman" w:eastAsia="Times New Roman" w:hAnsi="Times New Roman"/>
          <w:sz w:val="20"/>
          <w:szCs w:val="20"/>
          <w:color w:val="auto"/>
        </w:rPr>
        <w:t>A designated Beneficiary who is entitled to receive a Death Benefit under Section 6.2(d) shall receive 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according to his or her Payment Schedules determined under Section 6.2(a). If death occurs after Separation from Service or Disability, payment to the Participant’s designated Beneficiary will continue to be made according to the Payment Schedules in effect.</w:t>
      </w:r>
    </w:p>
    <w:p>
      <w:pPr>
        <w:spacing w:after="0" w:line="191" w:lineRule="exact"/>
        <w:rPr>
          <w:rFonts w:ascii="Times New Roman" w:cs="Times New Roman" w:eastAsia="Times New Roman" w:hAnsi="Times New Roman"/>
          <w:sz w:val="20"/>
          <w:szCs w:val="20"/>
          <w:color w:val="auto"/>
        </w:rPr>
      </w:pPr>
    </w:p>
    <w:p>
      <w:pPr>
        <w:jc w:val="both"/>
        <w:ind w:left="324" w:right="220" w:hanging="324"/>
        <w:spacing w:after="0" w:line="260" w:lineRule="auto"/>
        <w:tabs>
          <w:tab w:leader="none" w:pos="31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Small Account Balances. </w:t>
      </w:r>
      <w:r>
        <w:rPr>
          <w:rFonts w:ascii="Times New Roman" w:cs="Times New Roman" w:eastAsia="Times New Roman" w:hAnsi="Times New Roman"/>
          <w:sz w:val="20"/>
          <w:szCs w:val="20"/>
          <w:color w:val="auto"/>
        </w:rPr>
        <w:t>The Committee shall pay the value of the Participant’s Accounts upon a Separation from Service in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single lump sum if the balance of such Accounts is not greater than the applicable dollar amount under Code Section 402(g)(1) (B), provided the payment represents the complete liquidation of the Participant’s interest in the Plan. This provision applies to all Accounts in the Plan established after the Effective Date.</w:t>
      </w:r>
    </w:p>
    <w:p>
      <w:pPr>
        <w:spacing w:after="0" w:line="204" w:lineRule="exact"/>
        <w:rPr>
          <w:rFonts w:ascii="Times New Roman" w:cs="Times New Roman" w:eastAsia="Times New Roman" w:hAnsi="Times New Roman"/>
          <w:sz w:val="20"/>
          <w:szCs w:val="20"/>
          <w:color w:val="auto"/>
        </w:rPr>
      </w:pPr>
    </w:p>
    <w:p>
      <w:pPr>
        <w:ind w:left="324" w:right="80" w:hanging="324"/>
        <w:spacing w:after="0" w:line="254" w:lineRule="auto"/>
        <w:tabs>
          <w:tab w:leader="none" w:pos="31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Rules Applicable to Installment Payments. </w:t>
      </w:r>
      <w:r>
        <w:rPr>
          <w:rFonts w:ascii="Times New Roman" w:cs="Times New Roman" w:eastAsia="Times New Roman" w:hAnsi="Times New Roman"/>
          <w:sz w:val="20"/>
          <w:szCs w:val="20"/>
          <w:color w:val="auto"/>
        </w:rPr>
        <w:t>If a Payment Schedule specifies installment payments, annual payments will be made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 series of consecutive calendar years until the number of installment payments specified in the Payment Schedule has been paid. The amount of each installment payment shall be determined by dividing (a) by (b), where (a) equals the Account Balance as of the Valuation Date and (b) equals the remaining number of installment payments. For purposes of Article VII, installment payments will be treated as a</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4"/>
          </w:cols>
          <w:pgMar w:left="976" w:top="1413" w:right="339" w:bottom="1440" w:gutter="0" w:footer="0" w:header="0"/>
        </w:sectPr>
      </w:pPr>
    </w:p>
    <w:bookmarkStart w:id="63" w:name="page64"/>
    <w:bookmarkEnd w:id="63"/>
    <w:p>
      <w:pPr>
        <w:ind w:left="980" w:right="40"/>
        <w:spacing w:after="0" w:line="261" w:lineRule="auto"/>
        <w:rPr>
          <w:sz w:val="20"/>
          <w:szCs w:val="20"/>
          <w:color w:val="auto"/>
        </w:rPr>
      </w:pPr>
      <w:r>
        <w:rPr>
          <w:rFonts w:ascii="Times New Roman" w:cs="Times New Roman" w:eastAsia="Times New Roman" w:hAnsi="Times New Roman"/>
          <w:sz w:val="20"/>
          <w:szCs w:val="20"/>
          <w:color w:val="auto"/>
        </w:rPr>
        <w:t>single payment. For Accounts established after the Effective Date and prior to December 1, 2024, if a lump sum equal to less than 100% of the Retirement/Termination Account is paid, the payment commencement date for the installment form of payment will be the first anniversary of the payment of the lump sum.</w:t>
      </w:r>
    </w:p>
    <w:p>
      <w:pPr>
        <w:spacing w:after="0" w:line="204" w:lineRule="exact"/>
        <w:rPr>
          <w:sz w:val="20"/>
          <w:szCs w:val="20"/>
          <w:color w:val="auto"/>
        </w:rPr>
      </w:pPr>
    </w:p>
    <w:p>
      <w:pPr>
        <w:ind w:left="980" w:right="120" w:hanging="324"/>
        <w:spacing w:after="0" w:line="263" w:lineRule="auto"/>
        <w:tabs>
          <w:tab w:leader="none" w:pos="96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Amounts allocated to Company Stock</w:t>
      </w:r>
      <w:r>
        <w:rPr>
          <w:rFonts w:ascii="Times New Roman" w:cs="Times New Roman" w:eastAsia="Times New Roman" w:hAnsi="Times New Roman"/>
          <w:sz w:val="20"/>
          <w:szCs w:val="20"/>
          <w:color w:val="auto"/>
        </w:rPr>
        <w:t>. Any portion of a Participant’s Account that is payable in Company Stock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Section 8.6 shall be paid in a single lump sum in an equivalent number of shares of Company Stock at the time distribution is otherwise scheduled to commence hereunder.”</w:t>
      </w:r>
    </w:p>
    <w:p>
      <w:pPr>
        <w:spacing w:after="0" w:line="20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8.1 is amended to read in its entirety as follows:</w:t>
      </w:r>
    </w:p>
    <w:p>
      <w:pPr>
        <w:spacing w:after="0" w:line="242" w:lineRule="exact"/>
        <w:rPr>
          <w:rFonts w:ascii="Times New Roman" w:cs="Times New Roman" w:eastAsia="Times New Roman" w:hAnsi="Times New Roman"/>
          <w:sz w:val="20"/>
          <w:szCs w:val="20"/>
          <w:color w:val="auto"/>
        </w:rPr>
      </w:pPr>
    </w:p>
    <w:p>
      <w:pPr>
        <w:ind w:left="660" w:right="260"/>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Valuation</w:t>
      </w:r>
      <w:r>
        <w:rPr>
          <w:rFonts w:ascii="Times New Roman" w:cs="Times New Roman" w:eastAsia="Times New Roman" w:hAnsi="Times New Roman"/>
          <w:sz w:val="20"/>
          <w:szCs w:val="20"/>
          <w:color w:val="auto"/>
        </w:rPr>
        <w:t>. Deferrals shall be credited to appropriate Accounts on the date such Compensation would have been paid to the Participant absent the Compensation Deferral Agreement. Company Contributions shall be credited at the times determined by the Committee. Valuation of Accounts shall be performed under procedures approved by the Committee.”</w:t>
      </w:r>
    </w:p>
    <w:p>
      <w:pPr>
        <w:spacing w:after="0" w:line="20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third paragraph of Section 8.4 of the Plan is amended to read in its entirety as follows:</w:t>
      </w:r>
    </w:p>
    <w:p>
      <w:pPr>
        <w:spacing w:after="0" w:line="256" w:lineRule="exact"/>
        <w:rPr>
          <w:rFonts w:ascii="Times New Roman" w:cs="Times New Roman" w:eastAsia="Times New Roman" w:hAnsi="Times New Roman"/>
          <w:sz w:val="20"/>
          <w:szCs w:val="20"/>
          <w:color w:val="auto"/>
        </w:rPr>
      </w:pPr>
    </w:p>
    <w:p>
      <w:pPr>
        <w:ind w:left="660" w:right="1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21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amended hereby, the terms of the Plan remain in full force and effect.</w:t>
      </w:r>
    </w:p>
    <w:p>
      <w:pPr>
        <w:spacing w:after="0" w:line="257"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executed this Amendment and Restatement to the Plan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December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2024 to be effective December 1,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WESTERN DIGITAL CORPORATION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By: Christine Bastian</w:t>
            </w:r>
          </w:p>
        </w:tc>
        <w:tc>
          <w:tcPr>
            <w:tcW w:w="1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(Print Name)</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378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Its: Chief People &amp; Inclusion Office   (Title)</w:t>
            </w:r>
          </w:p>
        </w:tc>
      </w:tr>
      <w:tr>
        <w:trPr>
          <w:trHeight w:val="20"/>
        </w:trPr>
        <w:tc>
          <w:tcPr>
            <w:tcW w:w="3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 Christine Bastian</w:t>
            </w: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(Signature)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64" w:name="page65"/>
    <w:bookmarkEnd w:id="64"/>
    <w:p>
      <w:pPr>
        <w:jc w:val="right"/>
        <w:spacing w:after="0"/>
        <w:rPr>
          <w:sz w:val="20"/>
          <w:szCs w:val="20"/>
          <w:color w:val="auto"/>
        </w:rPr>
      </w:pPr>
      <w:r>
        <w:rPr>
          <w:rFonts w:ascii="Cambria" w:cs="Cambria" w:eastAsia="Cambria" w:hAnsi="Cambria"/>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20"/>
        <w:spacing w:after="0"/>
        <w:rPr>
          <w:sz w:val="20"/>
          <w:szCs w:val="20"/>
          <w:color w:val="auto"/>
        </w:rPr>
      </w:pPr>
      <w:r>
        <w:rPr>
          <w:rFonts w:ascii="Cambria" w:cs="Cambria" w:eastAsia="Cambria" w:hAnsi="Cambria"/>
          <w:sz w:val="32"/>
          <w:szCs w:val="32"/>
          <w:b w:val="1"/>
          <w:bCs w:val="1"/>
          <w:color w:val="auto"/>
        </w:rPr>
        <w:t>Sandisk Corporation</w:t>
      </w:r>
    </w:p>
    <w:p>
      <w:pPr>
        <w:spacing w:after="0" w:line="192" w:lineRule="exact"/>
        <w:rPr>
          <w:sz w:val="20"/>
          <w:szCs w:val="20"/>
          <w:color w:val="auto"/>
        </w:rPr>
      </w:pPr>
    </w:p>
    <w:p>
      <w:pPr>
        <w:jc w:val="center"/>
        <w:ind w:right="920"/>
        <w:spacing w:after="0"/>
        <w:rPr>
          <w:sz w:val="20"/>
          <w:szCs w:val="20"/>
          <w:color w:val="auto"/>
        </w:rPr>
      </w:pPr>
      <w:r>
        <w:rPr>
          <w:rFonts w:ascii="Cambria" w:cs="Cambria" w:eastAsia="Cambria" w:hAnsi="Cambria"/>
          <w:sz w:val="32"/>
          <w:szCs w:val="32"/>
          <w:b w:val="1"/>
          <w:bCs w:val="1"/>
          <w:color w:val="auto"/>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59664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480"/>
        <w:spacing w:after="0"/>
        <w:rPr>
          <w:sz w:val="20"/>
          <w:szCs w:val="20"/>
          <w:color w:val="auto"/>
        </w:rPr>
      </w:pPr>
      <w:r>
        <w:rPr>
          <w:rFonts w:ascii="Cambria" w:cs="Cambria" w:eastAsia="Cambria" w:hAnsi="Cambria"/>
          <w:sz w:val="22"/>
          <w:szCs w:val="22"/>
          <w:b w:val="1"/>
          <w:bCs w:val="1"/>
          <w:color w:val="auto"/>
        </w:rPr>
        <w:t>Effective January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IMPORTANT NOTE</w:t>
      </w:r>
    </w:p>
    <w:p>
      <w:pPr>
        <w:spacing w:after="0" w:line="121" w:lineRule="exact"/>
        <w:rPr>
          <w:sz w:val="20"/>
          <w:szCs w:val="20"/>
          <w:color w:val="auto"/>
        </w:rPr>
      </w:pPr>
    </w:p>
    <w:p>
      <w:pPr>
        <w:jc w:val="both"/>
        <w:ind w:right="920"/>
        <w:spacing w:after="0" w:line="242" w:lineRule="auto"/>
        <w:rPr>
          <w:sz w:val="20"/>
          <w:szCs w:val="20"/>
          <w:color w:val="auto"/>
        </w:rPr>
      </w:pPr>
      <w:r>
        <w:rPr>
          <w:rFonts w:ascii="Cambria" w:cs="Cambria" w:eastAsia="Cambria" w:hAnsi="Cambria"/>
          <w:sz w:val="20"/>
          <w:szCs w:val="20"/>
          <w:b w:val="1"/>
          <w:bCs w:val="1"/>
          <w:color w:val="auto"/>
        </w:rPr>
        <w:t>This document has not been approved by the Department of Labor, Internal Revenue Service, or any other governmental entity. An adopting Employer must determine whether the Plan is subject to the Federal securities laws and the securities laws of the various states. An adopting Employer may not rely on this document to ensure any particular tax consequences or to ensure that the Plan is “unfunded and maintained primarily for the purpose of providing deferred compensation to a select group of management or highly compensated employees” under Title I of the Employee Retirement Income Security Act of 1974, as amended, with respect to the Employer’s particular situation. FMR LLC, its affiliates and employees cannot provide you with legal advice in connection with the execution of this document. This document should be reviewed by the Employer’s attorney prior to execution.</w:t>
      </w:r>
    </w:p>
    <w:p>
      <w:pPr>
        <w:sectPr>
          <w:pgSz w:w="11900" w:h="16838" w:orient="portrait"/>
          <w:cols w:equalWidth="0" w:num="1">
            <w:col w:w="10320"/>
          </w:cols>
          <w:pgMar w:left="1240" w:top="136" w:right="339" w:bottom="1440" w:gutter="0" w:footer="0" w:header="0"/>
        </w:sectPr>
      </w:pPr>
    </w:p>
    <w:bookmarkStart w:id="65" w:name="page66"/>
    <w:bookmarkEnd w:id="65"/>
    <w:p>
      <w:pPr>
        <w:spacing w:after="0" w:line="258" w:lineRule="exact"/>
        <w:rPr>
          <w:sz w:val="20"/>
          <w:szCs w:val="20"/>
          <w:color w:val="auto"/>
        </w:rPr>
      </w:pPr>
    </w:p>
    <w:p>
      <w:pPr>
        <w:ind w:left="900"/>
        <w:spacing w:after="0"/>
        <w:rPr>
          <w:sz w:val="20"/>
          <w:szCs w:val="20"/>
          <w:color w:val="auto"/>
        </w:rPr>
      </w:pPr>
      <w:r>
        <w:rPr>
          <w:rFonts w:ascii="Cambria" w:cs="Cambria" w:eastAsia="Cambria" w:hAnsi="Cambria"/>
          <w:sz w:val="29"/>
          <w:szCs w:val="29"/>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7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Preamble</w:t>
            </w:r>
          </w:p>
        </w:tc>
        <w:tc>
          <w:tcPr>
            <w:tcW w:w="3580" w:type="dxa"/>
            <w:vAlign w:val="bottom"/>
            <w:gridSpan w:val="4"/>
          </w:tcPr>
          <w:p>
            <w:pPr>
              <w:jc w:val="right"/>
              <w:ind w:right="857"/>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Article 1 - General</w:t>
            </w:r>
          </w:p>
        </w:tc>
        <w:tc>
          <w:tcPr>
            <w:tcW w:w="5320" w:type="dxa"/>
            <w:vAlign w:val="bottom"/>
            <w:gridSpan w:val="23"/>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1-1</w:t>
            </w: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1.</w:t>
            </w:r>
          </w:p>
        </w:tc>
        <w:tc>
          <w:tcPr>
            <w:tcW w:w="9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5320" w:type="dxa"/>
            <w:vAlign w:val="bottom"/>
            <w:gridSpan w:val="23"/>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1-1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2.</w:t>
            </w:r>
          </w:p>
        </w:tc>
        <w:tc>
          <w:tcPr>
            <w:tcW w:w="11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8"/>
              </w:rPr>
              <w:t>Effective Dates</w:t>
            </w:r>
          </w:p>
        </w:tc>
        <w:tc>
          <w:tcPr>
            <w:tcW w:w="5100" w:type="dxa"/>
            <w:vAlign w:val="bottom"/>
            <w:gridSpan w:val="19"/>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1-1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3.</w:t>
            </w:r>
          </w:p>
        </w:tc>
        <w:tc>
          <w:tcPr>
            <w:tcW w:w="32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Amounts Not Subject to Code Section 409A</w:t>
            </w:r>
          </w:p>
        </w:tc>
        <w:tc>
          <w:tcPr>
            <w:tcW w:w="30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1-1</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1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Article 2 - Definitions</w:t>
            </w:r>
          </w:p>
        </w:tc>
        <w:tc>
          <w:tcPr>
            <w:tcW w:w="5100" w:type="dxa"/>
            <w:vAlign w:val="bottom"/>
            <w:gridSpan w:val="19"/>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2-1</w:t>
            </w:r>
          </w:p>
        </w:tc>
      </w:tr>
      <w:tr>
        <w:trPr>
          <w:trHeight w:val="20"/>
        </w:trPr>
        <w:tc>
          <w:tcPr>
            <w:tcW w:w="9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p>
        </w:tc>
        <w:tc>
          <w:tcPr>
            <w:tcW w:w="6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8"/>
              </w:rPr>
              <w:t>Account</w:t>
            </w:r>
          </w:p>
        </w:tc>
        <w:tc>
          <w:tcPr>
            <w:tcW w:w="500" w:type="dxa"/>
            <w:vAlign w:val="bottom"/>
            <w:gridSpan w:val="8"/>
          </w:tcPr>
          <w:p>
            <w:pPr>
              <w:spacing w:after="0"/>
              <w:rPr>
                <w:sz w:val="18"/>
                <w:szCs w:val="18"/>
                <w:color w:val="auto"/>
              </w:rPr>
            </w:pPr>
          </w:p>
        </w:tc>
        <w:tc>
          <w:tcPr>
            <w:tcW w:w="5100" w:type="dxa"/>
            <w:vAlign w:val="bottom"/>
            <w:gridSpan w:val="19"/>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2-1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p>
        </w:tc>
        <w:tc>
          <w:tcPr>
            <w:tcW w:w="10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8"/>
              </w:rPr>
              <w:t>Administrator</w:t>
            </w:r>
          </w:p>
        </w:tc>
        <w:tc>
          <w:tcPr>
            <w:tcW w:w="5200" w:type="dxa"/>
            <w:vAlign w:val="bottom"/>
            <w:gridSpan w:val="21"/>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2-1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Adoption Agreement</w:t>
            </w:r>
          </w:p>
        </w:tc>
        <w:tc>
          <w:tcPr>
            <w:tcW w:w="3580" w:type="dxa"/>
            <w:vAlign w:val="bottom"/>
            <w:gridSpan w:val="4"/>
          </w:tcPr>
          <w:p>
            <w:pPr>
              <w:jc w:val="right"/>
              <w:ind w:right="857"/>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p>
        </w:tc>
        <w:tc>
          <w:tcPr>
            <w:tcW w:w="8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5"/>
              </w:rPr>
              <w:t>Beneficiary</w:t>
            </w:r>
          </w:p>
        </w:tc>
        <w:tc>
          <w:tcPr>
            <w:tcW w:w="680" w:type="dxa"/>
            <w:vAlign w:val="bottom"/>
            <w:gridSpan w:val="13"/>
          </w:tcPr>
          <w:p>
            <w:pPr>
              <w:spacing w:after="0"/>
              <w:rPr>
                <w:sz w:val="18"/>
                <w:szCs w:val="18"/>
                <w:color w:val="auto"/>
              </w:rPr>
            </w:pPr>
          </w:p>
        </w:tc>
        <w:tc>
          <w:tcPr>
            <w:tcW w:w="4700" w:type="dxa"/>
            <w:vAlign w:val="bottom"/>
            <w:gridSpan w:val="11"/>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2-1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5.</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Board or Board of Directors</w:t>
            </w:r>
          </w:p>
        </w:tc>
        <w:tc>
          <w:tcPr>
            <w:tcW w:w="3580" w:type="dxa"/>
            <w:vAlign w:val="bottom"/>
            <w:gridSpan w:val="4"/>
          </w:tcPr>
          <w:p>
            <w:pPr>
              <w:jc w:val="right"/>
              <w:ind w:right="857"/>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6.</w:t>
            </w:r>
          </w:p>
        </w:tc>
        <w:tc>
          <w:tcPr>
            <w:tcW w:w="202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Bonus</w:t>
            </w:r>
          </w:p>
        </w:tc>
        <w:tc>
          <w:tcPr>
            <w:tcW w:w="4220" w:type="dxa"/>
            <w:vAlign w:val="bottom"/>
            <w:gridSpan w:val="6"/>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2-1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7.</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Change in Control</w:t>
            </w:r>
          </w:p>
        </w:tc>
        <w:tc>
          <w:tcPr>
            <w:tcW w:w="3580" w:type="dxa"/>
            <w:vAlign w:val="bottom"/>
            <w:gridSpan w:val="4"/>
          </w:tcPr>
          <w:p>
            <w:pPr>
              <w:jc w:val="right"/>
              <w:ind w:right="857"/>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8.</w:t>
            </w:r>
          </w:p>
        </w:tc>
        <w:tc>
          <w:tcPr>
            <w:tcW w:w="13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Code</w:t>
            </w:r>
          </w:p>
        </w:tc>
        <w:tc>
          <w:tcPr>
            <w:tcW w:w="4900" w:type="dxa"/>
            <w:vAlign w:val="bottom"/>
            <w:gridSpan w:val="16"/>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gridSpan w:val="3"/>
          </w:tcPr>
          <w:p>
            <w:pPr>
              <w:jc w:val="right"/>
              <w:ind w:right="857"/>
              <w:spacing w:after="0"/>
              <w:rPr>
                <w:sz w:val="20"/>
                <w:szCs w:val="20"/>
                <w:color w:val="auto"/>
              </w:rPr>
            </w:pPr>
            <w:r>
              <w:rPr>
                <w:rFonts w:ascii="Times New Roman" w:cs="Times New Roman" w:eastAsia="Times New Roman" w:hAnsi="Times New Roman"/>
                <w:sz w:val="18"/>
                <w:szCs w:val="18"/>
                <w:color w:val="0000FF"/>
                <w:w w:val="91"/>
              </w:rPr>
              <w:t>2-1</w:t>
            </w: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9.</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Compensation</w:t>
            </w:r>
          </w:p>
        </w:tc>
        <w:tc>
          <w:tcPr>
            <w:tcW w:w="3580" w:type="dxa"/>
            <w:vAlign w:val="bottom"/>
            <w:gridSpan w:val="4"/>
          </w:tcPr>
          <w:p>
            <w:pPr>
              <w:jc w:val="right"/>
              <w:ind w:right="857"/>
              <w:spacing w:after="0"/>
              <w:rPr>
                <w:sz w:val="20"/>
                <w:szCs w:val="20"/>
                <w:color w:val="auto"/>
              </w:rPr>
            </w:pPr>
            <w:r>
              <w:rPr>
                <w:rFonts w:ascii="Times New Roman" w:cs="Times New Roman" w:eastAsia="Times New Roman" w:hAnsi="Times New Roman"/>
                <w:sz w:val="18"/>
                <w:szCs w:val="18"/>
                <w:color w:val="0000FF"/>
              </w:rPr>
              <w:t>2-1</w:t>
            </w:r>
          </w:p>
        </w:tc>
      </w:tr>
      <w:tr>
        <w:trPr>
          <w:trHeight w:val="210"/>
        </w:trPr>
        <w:tc>
          <w:tcPr>
            <w:tcW w:w="1080" w:type="dxa"/>
            <w:vAlign w:val="bottom"/>
            <w:gridSpan w:val="2"/>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10.</w:t>
            </w:r>
          </w:p>
        </w:tc>
        <w:tc>
          <w:tcPr>
            <w:tcW w:w="640" w:type="dxa"/>
            <w:vAlign w:val="bottom"/>
            <w:tcBorders>
              <w:top w:val="single" w:sz="8" w:color="0000FF"/>
              <w:bottom w:val="single" w:sz="8" w:color="0000FF"/>
            </w:tcBorders>
            <w:gridSpan w:val="6"/>
          </w:tcPr>
          <w:p>
            <w:pPr>
              <w:ind w:left="40"/>
              <w:spacing w:after="0"/>
              <w:rPr>
                <w:sz w:val="20"/>
                <w:szCs w:val="20"/>
                <w:color w:val="auto"/>
              </w:rPr>
            </w:pPr>
            <w:r>
              <w:rPr>
                <w:rFonts w:ascii="Times New Roman" w:cs="Times New Roman" w:eastAsia="Times New Roman" w:hAnsi="Times New Roman"/>
                <w:sz w:val="18"/>
                <w:szCs w:val="18"/>
                <w:color w:val="0000FF"/>
                <w:w w:val="96"/>
              </w:rPr>
              <w:t>Director</w:t>
            </w:r>
          </w:p>
        </w:tc>
        <w:tc>
          <w:tcPr>
            <w:tcW w:w="340" w:type="dxa"/>
            <w:vAlign w:val="bottom"/>
            <w:tcBorders>
              <w:top w:val="single" w:sz="8" w:color="0000FF"/>
            </w:tcBorders>
            <w:gridSpan w:val="6"/>
          </w:tcPr>
          <w:p>
            <w:pPr>
              <w:spacing w:after="0"/>
              <w:rPr>
                <w:sz w:val="18"/>
                <w:szCs w:val="18"/>
                <w:color w:val="auto"/>
              </w:rPr>
            </w:pPr>
          </w:p>
        </w:tc>
        <w:tc>
          <w:tcPr>
            <w:tcW w:w="5180" w:type="dxa"/>
            <w:vAlign w:val="bottom"/>
            <w:gridSpan w:val="20"/>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0000FF"/>
              </w:rPr>
              <w:t xml:space="preserve"> Disability</w:t>
            </w:r>
          </w:p>
        </w:tc>
        <w:tc>
          <w:tcPr>
            <w:tcW w:w="5380" w:type="dxa"/>
            <w:vAlign w:val="bottom"/>
            <w:gridSpan w:val="24"/>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12.</w:t>
            </w:r>
          </w:p>
        </w:tc>
        <w:tc>
          <w:tcPr>
            <w:tcW w:w="1380" w:type="dxa"/>
            <w:vAlign w:val="bottom"/>
            <w:tcBorders>
              <w:bottom w:val="single" w:sz="8" w:color="0000FF"/>
            </w:tcBorders>
            <w:gridSpan w:val="20"/>
          </w:tcPr>
          <w:p>
            <w:pPr>
              <w:ind w:left="40"/>
              <w:spacing w:after="0"/>
              <w:rPr>
                <w:sz w:val="20"/>
                <w:szCs w:val="20"/>
                <w:color w:val="auto"/>
              </w:rPr>
            </w:pPr>
            <w:r>
              <w:rPr>
                <w:rFonts w:ascii="Times New Roman" w:cs="Times New Roman" w:eastAsia="Times New Roman" w:hAnsi="Times New Roman"/>
                <w:sz w:val="18"/>
                <w:szCs w:val="18"/>
                <w:color w:val="0000FF"/>
                <w:w w:val="98"/>
              </w:rPr>
              <w:t>Eligible Employee</w:t>
            </w:r>
          </w:p>
        </w:tc>
        <w:tc>
          <w:tcPr>
            <w:tcW w:w="4780" w:type="dxa"/>
            <w:vAlign w:val="bottom"/>
            <w:gridSpan w:val="12"/>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13.</w:t>
            </w:r>
          </w:p>
        </w:tc>
        <w:tc>
          <w:tcPr>
            <w:tcW w:w="6160" w:type="dxa"/>
            <w:vAlign w:val="bottom"/>
            <w:gridSpan w:val="32"/>
          </w:tcPr>
          <w:p>
            <w:pPr>
              <w:ind w:left="40"/>
              <w:spacing w:after="0"/>
              <w:rPr>
                <w:sz w:val="20"/>
                <w:szCs w:val="20"/>
                <w:color w:val="auto"/>
              </w:rPr>
            </w:pPr>
            <w:r>
              <w:rPr>
                <w:rFonts w:ascii="Times New Roman" w:cs="Times New Roman" w:eastAsia="Times New Roman" w:hAnsi="Times New Roman"/>
                <w:sz w:val="18"/>
                <w:szCs w:val="18"/>
                <w:color w:val="0000FF"/>
              </w:rPr>
              <w:t>Employer</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920" w:type="dxa"/>
            <w:vAlign w:val="bottom"/>
          </w:tcPr>
          <w:p>
            <w:pPr>
              <w:spacing w:after="0"/>
              <w:rPr>
                <w:sz w:val="18"/>
                <w:szCs w:val="18"/>
                <w:color w:val="auto"/>
              </w:rPr>
            </w:pPr>
          </w:p>
        </w:tc>
      </w:tr>
      <w:tr>
        <w:trPr>
          <w:trHeight w:val="209"/>
        </w:trPr>
        <w:tc>
          <w:tcPr>
            <w:tcW w:w="1080" w:type="dxa"/>
            <w:vAlign w:val="bottom"/>
            <w:gridSpan w:val="2"/>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14.</w:t>
            </w:r>
          </w:p>
        </w:tc>
        <w:tc>
          <w:tcPr>
            <w:tcW w:w="560" w:type="dxa"/>
            <w:vAlign w:val="bottom"/>
            <w:tcBorders>
              <w:top w:val="single" w:sz="8" w:color="0000FF"/>
              <w:bottom w:val="single" w:sz="8" w:color="0000FF"/>
            </w:tcBorders>
            <w:gridSpan w:val="5"/>
          </w:tcPr>
          <w:p>
            <w:pPr>
              <w:ind w:left="40"/>
              <w:spacing w:after="0"/>
              <w:rPr>
                <w:sz w:val="20"/>
                <w:szCs w:val="20"/>
                <w:color w:val="auto"/>
              </w:rPr>
            </w:pPr>
            <w:r>
              <w:rPr>
                <w:rFonts w:ascii="Times New Roman" w:cs="Times New Roman" w:eastAsia="Times New Roman" w:hAnsi="Times New Roman"/>
                <w:sz w:val="18"/>
                <w:szCs w:val="18"/>
                <w:color w:val="0000FF"/>
                <w:w w:val="96"/>
              </w:rPr>
              <w:t>ERISA</w:t>
            </w:r>
          </w:p>
        </w:tc>
        <w:tc>
          <w:tcPr>
            <w:tcW w:w="220" w:type="dxa"/>
            <w:vAlign w:val="bottom"/>
            <w:tcBorders>
              <w:top w:val="single" w:sz="8" w:color="0000FF"/>
            </w:tcBorders>
            <w:gridSpan w:val="3"/>
          </w:tcPr>
          <w:p>
            <w:pPr>
              <w:spacing w:after="0"/>
              <w:rPr>
                <w:sz w:val="18"/>
                <w:szCs w:val="18"/>
                <w:color w:val="auto"/>
              </w:rPr>
            </w:pPr>
          </w:p>
        </w:tc>
        <w:tc>
          <w:tcPr>
            <w:tcW w:w="5380" w:type="dxa"/>
            <w:vAlign w:val="bottom"/>
            <w:gridSpan w:val="24"/>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15.</w:t>
            </w:r>
          </w:p>
        </w:tc>
        <w:tc>
          <w:tcPr>
            <w:tcW w:w="6160" w:type="dxa"/>
            <w:vAlign w:val="bottom"/>
            <w:gridSpan w:val="32"/>
          </w:tcPr>
          <w:p>
            <w:pPr>
              <w:ind w:left="40"/>
              <w:spacing w:after="0"/>
              <w:rPr>
                <w:sz w:val="20"/>
                <w:szCs w:val="20"/>
                <w:color w:val="auto"/>
              </w:rPr>
            </w:pPr>
            <w:r>
              <w:rPr>
                <w:rFonts w:ascii="Times New Roman" w:cs="Times New Roman" w:eastAsia="Times New Roman" w:hAnsi="Times New Roman"/>
                <w:sz w:val="18"/>
                <w:szCs w:val="18"/>
                <w:color w:val="0000FF"/>
              </w:rPr>
              <w:t>Identification Date</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16.</w:t>
            </w:r>
          </w:p>
        </w:tc>
        <w:tc>
          <w:tcPr>
            <w:tcW w:w="1380" w:type="dxa"/>
            <w:vAlign w:val="bottom"/>
            <w:tcBorders>
              <w:top w:val="single" w:sz="8" w:color="0000FF"/>
            </w:tcBorders>
            <w:gridSpan w:val="20"/>
          </w:tcPr>
          <w:p>
            <w:pPr>
              <w:ind w:left="40"/>
              <w:spacing w:after="0"/>
              <w:rPr>
                <w:sz w:val="20"/>
                <w:szCs w:val="20"/>
                <w:color w:val="auto"/>
              </w:rPr>
            </w:pPr>
            <w:r>
              <w:rPr>
                <w:rFonts w:ascii="Times New Roman" w:cs="Times New Roman" w:eastAsia="Times New Roman" w:hAnsi="Times New Roman"/>
                <w:sz w:val="18"/>
                <w:szCs w:val="18"/>
                <w:color w:val="0000FF"/>
              </w:rPr>
              <w:t>Key Employee</w:t>
            </w:r>
          </w:p>
        </w:tc>
        <w:tc>
          <w:tcPr>
            <w:tcW w:w="4780" w:type="dxa"/>
            <w:vAlign w:val="bottom"/>
            <w:gridSpan w:val="12"/>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17.</w:t>
            </w:r>
          </w:p>
        </w:tc>
        <w:tc>
          <w:tcPr>
            <w:tcW w:w="840" w:type="dxa"/>
            <w:vAlign w:val="bottom"/>
            <w:tcBorders>
              <w:top w:val="single" w:sz="8" w:color="0000FF"/>
              <w:bottom w:val="single" w:sz="8" w:color="0000FF"/>
            </w:tcBorders>
            <w:gridSpan w:val="9"/>
          </w:tcPr>
          <w:p>
            <w:pPr>
              <w:ind w:left="40"/>
              <w:spacing w:after="0"/>
              <w:rPr>
                <w:sz w:val="20"/>
                <w:szCs w:val="20"/>
                <w:color w:val="auto"/>
              </w:rPr>
            </w:pPr>
            <w:r>
              <w:rPr>
                <w:rFonts w:ascii="Times New Roman" w:cs="Times New Roman" w:eastAsia="Times New Roman" w:hAnsi="Times New Roman"/>
                <w:sz w:val="18"/>
                <w:szCs w:val="18"/>
                <w:color w:val="0000FF"/>
                <w:w w:val="97"/>
              </w:rPr>
              <w:t>Participant</w:t>
            </w:r>
          </w:p>
        </w:tc>
        <w:tc>
          <w:tcPr>
            <w:tcW w:w="260" w:type="dxa"/>
            <w:vAlign w:val="bottom"/>
            <w:tcBorders>
              <w:top w:val="single" w:sz="8" w:color="0000FF"/>
            </w:tcBorders>
            <w:gridSpan w:val="5"/>
          </w:tcPr>
          <w:p>
            <w:pPr>
              <w:spacing w:after="0"/>
              <w:rPr>
                <w:sz w:val="18"/>
                <w:szCs w:val="18"/>
                <w:color w:val="auto"/>
              </w:rPr>
            </w:pPr>
          </w:p>
        </w:tc>
        <w:tc>
          <w:tcPr>
            <w:tcW w:w="5060" w:type="dxa"/>
            <w:vAlign w:val="bottom"/>
            <w:gridSpan w:val="18"/>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09"/>
        </w:trPr>
        <w:tc>
          <w:tcPr>
            <w:tcW w:w="1080" w:type="dxa"/>
            <w:vAlign w:val="bottom"/>
            <w:gridSpan w:val="2"/>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18.</w:t>
            </w:r>
          </w:p>
        </w:tc>
        <w:tc>
          <w:tcPr>
            <w:tcW w:w="400" w:type="dxa"/>
            <w:vAlign w:val="bottom"/>
            <w:tcBorders>
              <w:bottom w:val="single" w:sz="8" w:color="0000FF"/>
            </w:tcBorders>
            <w:gridSpan w:val="4"/>
          </w:tcPr>
          <w:p>
            <w:pPr>
              <w:ind w:left="40"/>
              <w:spacing w:after="0"/>
              <w:rPr>
                <w:sz w:val="20"/>
                <w:szCs w:val="20"/>
                <w:color w:val="auto"/>
              </w:rPr>
            </w:pPr>
            <w:r>
              <w:rPr>
                <w:rFonts w:ascii="Times New Roman" w:cs="Times New Roman" w:eastAsia="Times New Roman" w:hAnsi="Times New Roman"/>
                <w:sz w:val="18"/>
                <w:szCs w:val="18"/>
                <w:color w:val="0000FF"/>
                <w:w w:val="99"/>
              </w:rPr>
              <w:t>Plan</w:t>
            </w:r>
          </w:p>
        </w:tc>
        <w:tc>
          <w:tcPr>
            <w:tcW w:w="5760" w:type="dxa"/>
            <w:vAlign w:val="bottom"/>
            <w:gridSpan w:val="28"/>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19.</w:t>
            </w:r>
          </w:p>
        </w:tc>
        <w:tc>
          <w:tcPr>
            <w:tcW w:w="6160" w:type="dxa"/>
            <w:vAlign w:val="bottom"/>
            <w:gridSpan w:val="32"/>
          </w:tcPr>
          <w:p>
            <w:pPr>
              <w:ind w:left="40"/>
              <w:spacing w:after="0"/>
              <w:rPr>
                <w:sz w:val="20"/>
                <w:szCs w:val="20"/>
                <w:color w:val="auto"/>
              </w:rPr>
            </w:pPr>
            <w:r>
              <w:rPr>
                <w:rFonts w:ascii="Times New Roman" w:cs="Times New Roman" w:eastAsia="Times New Roman" w:hAnsi="Times New Roman"/>
                <w:sz w:val="18"/>
                <w:szCs w:val="18"/>
                <w:color w:val="0000FF"/>
              </w:rPr>
              <w:t>Plan Sponsor</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20.</w:t>
            </w:r>
          </w:p>
        </w:tc>
        <w:tc>
          <w:tcPr>
            <w:tcW w:w="980" w:type="dxa"/>
            <w:vAlign w:val="bottom"/>
            <w:tcBorders>
              <w:top w:val="single" w:sz="8" w:color="0000FF"/>
            </w:tcBorders>
            <w:gridSpan w:val="12"/>
          </w:tcPr>
          <w:p>
            <w:pPr>
              <w:ind w:left="40"/>
              <w:spacing w:after="0"/>
              <w:rPr>
                <w:sz w:val="20"/>
                <w:szCs w:val="20"/>
                <w:color w:val="auto"/>
              </w:rPr>
            </w:pPr>
            <w:r>
              <w:rPr>
                <w:rFonts w:ascii="Times New Roman" w:cs="Times New Roman" w:eastAsia="Times New Roman" w:hAnsi="Times New Roman"/>
                <w:sz w:val="18"/>
                <w:szCs w:val="18"/>
                <w:color w:val="0000FF"/>
              </w:rPr>
              <w:t>Plan Year</w:t>
            </w:r>
          </w:p>
        </w:tc>
        <w:tc>
          <w:tcPr>
            <w:tcW w:w="5180" w:type="dxa"/>
            <w:vAlign w:val="bottom"/>
            <w:gridSpan w:val="20"/>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2-2</w:t>
            </w:r>
          </w:p>
        </w:tc>
        <w:tc>
          <w:tcPr>
            <w:tcW w:w="920" w:type="dxa"/>
            <w:vAlign w:val="bottom"/>
          </w:tcPr>
          <w:p>
            <w:pPr>
              <w:spacing w:after="0"/>
              <w:rPr>
                <w:sz w:val="18"/>
                <w:szCs w:val="18"/>
                <w:color w:val="auto"/>
              </w:rPr>
            </w:pPr>
          </w:p>
        </w:tc>
      </w:tr>
      <w:tr>
        <w:trPr>
          <w:trHeight w:val="20"/>
        </w:trPr>
        <w:tc>
          <w:tcPr>
            <w:tcW w:w="1080" w:type="dxa"/>
            <w:vAlign w:val="bottom"/>
            <w:gridSpan w:val="2"/>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21.</w:t>
            </w:r>
          </w:p>
        </w:tc>
        <w:tc>
          <w:tcPr>
            <w:tcW w:w="1340" w:type="dxa"/>
            <w:vAlign w:val="bottom"/>
            <w:tcBorders>
              <w:bottom w:val="single" w:sz="8" w:color="0000FF"/>
            </w:tcBorders>
            <w:gridSpan w:val="18"/>
          </w:tcPr>
          <w:p>
            <w:pPr>
              <w:ind w:left="40"/>
              <w:spacing w:after="0"/>
              <w:rPr>
                <w:sz w:val="20"/>
                <w:szCs w:val="20"/>
                <w:color w:val="auto"/>
              </w:rPr>
            </w:pPr>
            <w:r>
              <w:rPr>
                <w:rFonts w:ascii="Times New Roman" w:cs="Times New Roman" w:eastAsia="Times New Roman" w:hAnsi="Times New Roman"/>
                <w:sz w:val="18"/>
                <w:szCs w:val="18"/>
                <w:color w:val="0000FF"/>
                <w:w w:val="98"/>
              </w:rPr>
              <w:t>Related Employer</w:t>
            </w:r>
          </w:p>
        </w:tc>
        <w:tc>
          <w:tcPr>
            <w:tcW w:w="4820" w:type="dxa"/>
            <w:vAlign w:val="bottom"/>
            <w:gridSpan w:val="14"/>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2-3</w:t>
            </w:r>
          </w:p>
        </w:tc>
        <w:tc>
          <w:tcPr>
            <w:tcW w:w="920" w:type="dxa"/>
            <w:vAlign w:val="bottom"/>
          </w:tcPr>
          <w:p>
            <w:pPr>
              <w:spacing w:after="0"/>
              <w:rPr>
                <w:sz w:val="18"/>
                <w:szCs w:val="18"/>
                <w:color w:val="auto"/>
              </w:rPr>
            </w:pPr>
          </w:p>
        </w:tc>
      </w:tr>
      <w:tr>
        <w:trPr>
          <w:trHeight w:val="209"/>
        </w:trPr>
        <w:tc>
          <w:tcPr>
            <w:tcW w:w="1080" w:type="dxa"/>
            <w:vAlign w:val="bottom"/>
            <w:gridSpan w:val="2"/>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22.</w:t>
            </w:r>
          </w:p>
        </w:tc>
        <w:tc>
          <w:tcPr>
            <w:tcW w:w="840" w:type="dxa"/>
            <w:vAlign w:val="bottom"/>
            <w:tcBorders>
              <w:bottom w:val="single" w:sz="8" w:color="0000FF"/>
            </w:tcBorders>
            <w:gridSpan w:val="9"/>
          </w:tcPr>
          <w:p>
            <w:pPr>
              <w:ind w:left="40"/>
              <w:spacing w:after="0"/>
              <w:rPr>
                <w:sz w:val="20"/>
                <w:szCs w:val="20"/>
                <w:color w:val="auto"/>
              </w:rPr>
            </w:pPr>
            <w:r>
              <w:rPr>
                <w:rFonts w:ascii="Times New Roman" w:cs="Times New Roman" w:eastAsia="Times New Roman" w:hAnsi="Times New Roman"/>
                <w:sz w:val="18"/>
                <w:szCs w:val="18"/>
                <w:color w:val="0000FF"/>
                <w:w w:val="94"/>
              </w:rPr>
              <w:t>Retirement</w:t>
            </w:r>
          </w:p>
        </w:tc>
        <w:tc>
          <w:tcPr>
            <w:tcW w:w="5320" w:type="dxa"/>
            <w:vAlign w:val="bottom"/>
            <w:gridSpan w:val="23"/>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2-3</w:t>
            </w:r>
          </w:p>
        </w:tc>
        <w:tc>
          <w:tcPr>
            <w:tcW w:w="920" w:type="dxa"/>
            <w:vAlign w:val="bottom"/>
          </w:tcPr>
          <w:p>
            <w:pPr>
              <w:spacing w:after="0"/>
              <w:rPr>
                <w:sz w:val="18"/>
                <w:szCs w:val="18"/>
                <w:color w:val="auto"/>
              </w:rPr>
            </w:pPr>
          </w:p>
        </w:tc>
      </w:tr>
      <w:tr>
        <w:trPr>
          <w:trHeight w:val="209"/>
        </w:trPr>
        <w:tc>
          <w:tcPr>
            <w:tcW w:w="1080" w:type="dxa"/>
            <w:vAlign w:val="bottom"/>
            <w:gridSpan w:val="2"/>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23.</w:t>
            </w:r>
          </w:p>
        </w:tc>
        <w:tc>
          <w:tcPr>
            <w:tcW w:w="1780" w:type="dxa"/>
            <w:vAlign w:val="bottom"/>
            <w:tcBorders>
              <w:bottom w:val="single" w:sz="8" w:color="0000FF"/>
            </w:tcBorders>
            <w:gridSpan w:val="24"/>
          </w:tcPr>
          <w:p>
            <w:pPr>
              <w:ind w:left="40"/>
              <w:spacing w:after="0"/>
              <w:rPr>
                <w:sz w:val="20"/>
                <w:szCs w:val="20"/>
                <w:color w:val="auto"/>
              </w:rPr>
            </w:pPr>
            <w:r>
              <w:rPr>
                <w:rFonts w:ascii="Times New Roman" w:cs="Times New Roman" w:eastAsia="Times New Roman" w:hAnsi="Times New Roman"/>
                <w:sz w:val="18"/>
                <w:szCs w:val="18"/>
                <w:color w:val="0000FF"/>
                <w:w w:val="98"/>
              </w:rPr>
              <w:t>Separation from Service</w:t>
            </w:r>
          </w:p>
        </w:tc>
        <w:tc>
          <w:tcPr>
            <w:tcW w:w="4380" w:type="dxa"/>
            <w:vAlign w:val="bottom"/>
            <w:gridSpan w:val="8"/>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2-3</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24.</w:t>
            </w:r>
          </w:p>
        </w:tc>
        <w:tc>
          <w:tcPr>
            <w:tcW w:w="1940" w:type="dxa"/>
            <w:vAlign w:val="bottom"/>
            <w:tcBorders>
              <w:bottom w:val="single" w:sz="8" w:color="0000FF"/>
            </w:tcBorders>
            <w:gridSpan w:val="26"/>
          </w:tcPr>
          <w:p>
            <w:pPr>
              <w:ind w:left="40"/>
              <w:spacing w:after="0"/>
              <w:rPr>
                <w:sz w:val="20"/>
                <w:szCs w:val="20"/>
                <w:color w:val="auto"/>
              </w:rPr>
            </w:pPr>
            <w:r>
              <w:rPr>
                <w:rFonts w:ascii="Times New Roman" w:cs="Times New Roman" w:eastAsia="Times New Roman" w:hAnsi="Times New Roman"/>
                <w:sz w:val="18"/>
                <w:szCs w:val="18"/>
                <w:color w:val="0000FF"/>
                <w:w w:val="97"/>
              </w:rPr>
              <w:t>Unforeseeable Emergency</w:t>
            </w:r>
          </w:p>
        </w:tc>
        <w:tc>
          <w:tcPr>
            <w:tcW w:w="4220" w:type="dxa"/>
            <w:vAlign w:val="bottom"/>
            <w:gridSpan w:val="6"/>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2-4</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25.</w:t>
            </w:r>
          </w:p>
        </w:tc>
        <w:tc>
          <w:tcPr>
            <w:tcW w:w="6160" w:type="dxa"/>
            <w:vAlign w:val="bottom"/>
            <w:gridSpan w:val="32"/>
          </w:tcPr>
          <w:p>
            <w:pPr>
              <w:ind w:left="40"/>
              <w:spacing w:after="0"/>
              <w:rPr>
                <w:sz w:val="20"/>
                <w:szCs w:val="20"/>
                <w:color w:val="auto"/>
              </w:rPr>
            </w:pPr>
            <w:r>
              <w:rPr>
                <w:rFonts w:ascii="Times New Roman" w:cs="Times New Roman" w:eastAsia="Times New Roman" w:hAnsi="Times New Roman"/>
                <w:sz w:val="18"/>
                <w:szCs w:val="18"/>
                <w:color w:val="0000FF"/>
              </w:rPr>
              <w:t>Valuation Date</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920" w:type="dxa"/>
            <w:vAlign w:val="bottom"/>
          </w:tcPr>
          <w:p>
            <w:pPr>
              <w:spacing w:after="0"/>
              <w:rPr>
                <w:sz w:val="18"/>
                <w:szCs w:val="18"/>
                <w:color w:val="auto"/>
              </w:rPr>
            </w:pPr>
          </w:p>
        </w:tc>
      </w:tr>
      <w:tr>
        <w:trPr>
          <w:trHeight w:val="20"/>
        </w:trPr>
        <w:tc>
          <w:tcPr>
            <w:tcW w:w="1080" w:type="dxa"/>
            <w:vAlign w:val="bottom"/>
            <w:gridSpan w:val="2"/>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26.</w:t>
            </w:r>
          </w:p>
        </w:tc>
        <w:tc>
          <w:tcPr>
            <w:tcW w:w="1260" w:type="dxa"/>
            <w:vAlign w:val="bottom"/>
            <w:tcBorders>
              <w:bottom w:val="single" w:sz="8" w:color="0000FF"/>
            </w:tcBorders>
            <w:gridSpan w:val="16"/>
          </w:tcPr>
          <w:p>
            <w:pPr>
              <w:ind w:left="40"/>
              <w:spacing w:after="0"/>
              <w:rPr>
                <w:sz w:val="20"/>
                <w:szCs w:val="20"/>
                <w:color w:val="auto"/>
              </w:rPr>
            </w:pPr>
            <w:r>
              <w:rPr>
                <w:rFonts w:ascii="Times New Roman" w:cs="Times New Roman" w:eastAsia="Times New Roman" w:hAnsi="Times New Roman"/>
                <w:sz w:val="18"/>
                <w:szCs w:val="18"/>
                <w:color w:val="0000FF"/>
                <w:w w:val="98"/>
              </w:rPr>
              <w:t>Years of Service</w:t>
            </w:r>
          </w:p>
        </w:tc>
        <w:tc>
          <w:tcPr>
            <w:tcW w:w="4900" w:type="dxa"/>
            <w:vAlign w:val="bottom"/>
            <w:gridSpan w:val="16"/>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2-4</w:t>
            </w:r>
          </w:p>
        </w:tc>
        <w:tc>
          <w:tcPr>
            <w:tcW w:w="92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67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Article 3 - Participation</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24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Participation</w:t>
            </w:r>
          </w:p>
        </w:tc>
        <w:tc>
          <w:tcPr>
            <w:tcW w:w="5000" w:type="dxa"/>
            <w:vAlign w:val="bottom"/>
            <w:gridSpan w:val="17"/>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3-1</w:t>
            </w:r>
          </w:p>
        </w:tc>
        <w:tc>
          <w:tcPr>
            <w:tcW w:w="920" w:type="dxa"/>
            <w:vAlign w:val="bottom"/>
          </w:tcPr>
          <w:p>
            <w:pPr>
              <w:spacing w:after="0"/>
              <w:rPr>
                <w:sz w:val="18"/>
                <w:szCs w:val="18"/>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11"/>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2060" w:type="dxa"/>
            <w:vAlign w:val="bottom"/>
            <w:tcBorders>
              <w:bottom w:val="single" w:sz="8" w:color="0000FF"/>
            </w:tcBorders>
            <w:gridSpan w:val="28"/>
          </w:tcPr>
          <w:p>
            <w:pPr>
              <w:ind w:left="20"/>
              <w:spacing w:after="0"/>
              <w:rPr>
                <w:sz w:val="20"/>
                <w:szCs w:val="20"/>
                <w:color w:val="auto"/>
              </w:rPr>
            </w:pPr>
            <w:r>
              <w:rPr>
                <w:rFonts w:ascii="Times New Roman" w:cs="Times New Roman" w:eastAsia="Times New Roman" w:hAnsi="Times New Roman"/>
                <w:sz w:val="18"/>
                <w:szCs w:val="18"/>
                <w:color w:val="0000FF"/>
                <w:w w:val="98"/>
              </w:rPr>
              <w:t>Termination of Participation</w:t>
            </w:r>
          </w:p>
        </w:tc>
        <w:tc>
          <w:tcPr>
            <w:tcW w:w="4180" w:type="dxa"/>
            <w:vAlign w:val="bottom"/>
            <w:gridSpan w:val="5"/>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3-1</w:t>
            </w: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67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Article 4 - Participant Elections</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92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p>
        </w:tc>
        <w:tc>
          <w:tcPr>
            <w:tcW w:w="1820" w:type="dxa"/>
            <w:vAlign w:val="bottom"/>
            <w:tcBorders>
              <w:top w:val="single" w:sz="8" w:color="0000FF"/>
            </w:tcBorders>
            <w:gridSpan w:val="24"/>
          </w:tcPr>
          <w:p>
            <w:pPr>
              <w:ind w:left="20"/>
              <w:spacing w:after="0"/>
              <w:rPr>
                <w:sz w:val="20"/>
                <w:szCs w:val="20"/>
                <w:color w:val="auto"/>
              </w:rPr>
            </w:pPr>
            <w:r>
              <w:rPr>
                <w:rFonts w:ascii="Times New Roman" w:cs="Times New Roman" w:eastAsia="Times New Roman" w:hAnsi="Times New Roman"/>
                <w:sz w:val="18"/>
                <w:szCs w:val="18"/>
                <w:color w:val="0000FF"/>
              </w:rPr>
              <w:t>Deferral Agreement</w:t>
            </w:r>
          </w:p>
        </w:tc>
        <w:tc>
          <w:tcPr>
            <w:tcW w:w="4420" w:type="dxa"/>
            <w:vAlign w:val="bottom"/>
            <w:gridSpan w:val="9"/>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4-1</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p>
        </w:tc>
        <w:tc>
          <w:tcPr>
            <w:tcW w:w="1460" w:type="dxa"/>
            <w:vAlign w:val="bottom"/>
            <w:tcBorders>
              <w:top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Amount of Deferral</w:t>
            </w:r>
          </w:p>
        </w:tc>
        <w:tc>
          <w:tcPr>
            <w:tcW w:w="4780" w:type="dxa"/>
            <w:vAlign w:val="bottom"/>
            <w:gridSpan w:val="12"/>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4-1</w:t>
            </w:r>
          </w:p>
        </w:tc>
        <w:tc>
          <w:tcPr>
            <w:tcW w:w="920" w:type="dxa"/>
            <w:vAlign w:val="bottom"/>
          </w:tcPr>
          <w:p>
            <w:pPr>
              <w:spacing w:after="0"/>
              <w:rPr>
                <w:sz w:val="18"/>
                <w:szCs w:val="18"/>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gridSpan w:val="18"/>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Timing of Election to Defer</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920" w:type="dxa"/>
            <w:vAlign w:val="bottom"/>
          </w:tcPr>
          <w:p>
            <w:pPr>
              <w:spacing w:after="0"/>
              <w:rPr>
                <w:sz w:val="18"/>
                <w:szCs w:val="18"/>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gridSpan w:val="18"/>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Election of Payment Schedule and Form of Payment</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9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19"/>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25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Article 5 - Employer Contributions</w:t>
            </w:r>
          </w:p>
        </w:tc>
        <w:tc>
          <w:tcPr>
            <w:tcW w:w="4160" w:type="dxa"/>
            <w:vAlign w:val="bottom"/>
            <w:gridSpan w:val="4"/>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5-1</w:t>
            </w:r>
          </w:p>
        </w:tc>
        <w:tc>
          <w:tcPr>
            <w:tcW w:w="920" w:type="dxa"/>
            <w:vAlign w:val="bottom"/>
          </w:tcPr>
          <w:p>
            <w:pPr>
              <w:spacing w:after="0"/>
              <w:rPr>
                <w:sz w:val="18"/>
                <w:szCs w:val="18"/>
                <w:color w:val="auto"/>
              </w:rPr>
            </w:pPr>
          </w:p>
        </w:tc>
      </w:tr>
      <w:tr>
        <w:trPr>
          <w:trHeight w:val="210"/>
        </w:trPr>
        <w:tc>
          <w:tcPr>
            <w:tcW w:w="13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1.</w:t>
            </w:r>
          </w:p>
        </w:tc>
        <w:tc>
          <w:tcPr>
            <w:tcW w:w="188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rPr>
              <w:t>Matching Contributions</w:t>
            </w:r>
          </w:p>
        </w:tc>
        <w:tc>
          <w:tcPr>
            <w:tcW w:w="4360" w:type="dxa"/>
            <w:vAlign w:val="bottom"/>
            <w:gridSpan w:val="7"/>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5-1</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2.</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Other Contributions</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9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19"/>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2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Article 6 - Accounts and Credits</w:t>
            </w:r>
          </w:p>
        </w:tc>
        <w:tc>
          <w:tcPr>
            <w:tcW w:w="4360" w:type="dxa"/>
            <w:vAlign w:val="bottom"/>
            <w:gridSpan w:val="7"/>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6-1</w:t>
            </w:r>
          </w:p>
        </w:tc>
        <w:tc>
          <w:tcPr>
            <w:tcW w:w="920" w:type="dxa"/>
            <w:vAlign w:val="bottom"/>
          </w:tcPr>
          <w:p>
            <w:pPr>
              <w:spacing w:after="0"/>
              <w:rPr>
                <w:sz w:val="18"/>
                <w:szCs w:val="18"/>
                <w:color w:val="auto"/>
              </w:rPr>
            </w:pPr>
          </w:p>
        </w:tc>
      </w:tr>
      <w:tr>
        <w:trPr>
          <w:trHeight w:val="210"/>
        </w:trPr>
        <w:tc>
          <w:tcPr>
            <w:tcW w:w="1080" w:type="dxa"/>
            <w:vAlign w:val="bottom"/>
            <w:gridSpan w:val="2"/>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u w:val="single" w:color="auto"/>
                <w:color w:val="0000FF"/>
              </w:rPr>
              <w:t>1.</w:t>
            </w:r>
          </w:p>
        </w:tc>
        <w:tc>
          <w:tcPr>
            <w:tcW w:w="624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Establishment of Account</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920" w:type="dxa"/>
            <w:vAlign w:val="bottom"/>
          </w:tcPr>
          <w:p>
            <w:pPr>
              <w:spacing w:after="0"/>
              <w:rPr>
                <w:sz w:val="18"/>
                <w:szCs w:val="18"/>
                <w:color w:val="auto"/>
              </w:rPr>
            </w:pPr>
          </w:p>
        </w:tc>
      </w:tr>
      <w:tr>
        <w:trPr>
          <w:trHeight w:val="209"/>
        </w:trPr>
        <w:tc>
          <w:tcPr>
            <w:tcW w:w="1080" w:type="dxa"/>
            <w:vAlign w:val="bottom"/>
            <w:gridSpan w:val="2"/>
          </w:tcPr>
          <w:p>
            <w:pPr>
              <w:spacing w:after="0"/>
              <w:rPr>
                <w:sz w:val="18"/>
                <w:szCs w:val="18"/>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u w:val="single" w:color="auto"/>
                <w:color w:val="0000FF"/>
              </w:rPr>
              <w:t>2.</w:t>
            </w:r>
          </w:p>
        </w:tc>
        <w:tc>
          <w:tcPr>
            <w:tcW w:w="1380" w:type="dxa"/>
            <w:vAlign w:val="bottom"/>
            <w:tcBorders>
              <w:top w:val="single" w:sz="8" w:color="0000FF"/>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8"/>
              </w:rPr>
              <w:t>Credits to Account</w:t>
            </w:r>
          </w:p>
        </w:tc>
        <w:tc>
          <w:tcPr>
            <w:tcW w:w="500" w:type="dxa"/>
            <w:vAlign w:val="bottom"/>
            <w:tcBorders>
              <w:top w:val="single" w:sz="8" w:color="0000FF"/>
            </w:tcBorders>
            <w:gridSpan w:val="8"/>
          </w:tcPr>
          <w:p>
            <w:pPr>
              <w:spacing w:after="0"/>
              <w:rPr>
                <w:sz w:val="18"/>
                <w:szCs w:val="18"/>
                <w:color w:val="auto"/>
              </w:rPr>
            </w:pPr>
          </w:p>
        </w:tc>
        <w:tc>
          <w:tcPr>
            <w:tcW w:w="4360" w:type="dxa"/>
            <w:vAlign w:val="bottom"/>
            <w:gridSpan w:val="7"/>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6-1</w:t>
            </w:r>
          </w:p>
        </w:tc>
        <w:tc>
          <w:tcPr>
            <w:tcW w:w="9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28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Article 7 - Investment of Contributions</w:t>
            </w:r>
          </w:p>
        </w:tc>
        <w:tc>
          <w:tcPr>
            <w:tcW w:w="3880" w:type="dxa"/>
            <w:vAlign w:val="bottom"/>
            <w:gridSpan w:val="3"/>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1"/>
              </w:rPr>
              <w:t>7-1</w:t>
            </w:r>
          </w:p>
        </w:tc>
        <w:tc>
          <w:tcPr>
            <w:tcW w:w="920" w:type="dxa"/>
            <w:vAlign w:val="bottom"/>
          </w:tcPr>
          <w:p>
            <w:pPr>
              <w:spacing w:after="0"/>
              <w:rPr>
                <w:sz w:val="18"/>
                <w:szCs w:val="18"/>
                <w:color w:val="auto"/>
              </w:rPr>
            </w:pPr>
          </w:p>
        </w:tc>
      </w:tr>
      <w:tr>
        <w:trPr>
          <w:trHeight w:val="882"/>
        </w:trPr>
        <w:tc>
          <w:tcPr>
            <w:tcW w:w="7620" w:type="dxa"/>
            <w:vAlign w:val="bottom"/>
            <w:gridSpan w:val="36"/>
          </w:tcPr>
          <w:p>
            <w:pPr>
              <w:spacing w:after="0"/>
              <w:rPr>
                <w:sz w:val="20"/>
                <w:szCs w:val="20"/>
                <w:color w:val="auto"/>
              </w:rPr>
            </w:pPr>
            <w:r>
              <w:rPr>
                <w:rFonts w:ascii="Cambria" w:cs="Cambria" w:eastAsia="Cambria" w:hAnsi="Cambria"/>
                <w:sz w:val="13"/>
                <w:szCs w:val="13"/>
                <w:b w:val="1"/>
                <w:bCs w:val="1"/>
                <w:color w:val="auto"/>
              </w:rPr>
              <w:t xml:space="preserve">Sandisk </w:t>
            </w:r>
            <w:r>
              <w:rPr>
                <w:rFonts w:ascii="Times New Roman" w:cs="Times New Roman" w:eastAsia="Times New Roman" w:hAnsi="Times New Roman"/>
                <w:sz w:val="13"/>
                <w:szCs w:val="13"/>
                <w:color w:val="auto"/>
              </w:rPr>
              <w:t>Corporation</w:t>
            </w:r>
            <w:r>
              <w:rPr>
                <w:rFonts w:ascii="Cambria" w:cs="Cambria" w:eastAsia="Cambria" w:hAnsi="Cambria"/>
                <w:sz w:val="13"/>
                <w:szCs w:val="13"/>
                <w:b w:val="1"/>
                <w:bCs w:val="1"/>
                <w:color w:val="auto"/>
              </w:rPr>
              <w:t xml:space="preserve"> Deferred Compensation Plan</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TOC-i</w:t>
            </w:r>
          </w:p>
        </w:tc>
      </w:tr>
    </w:tbl>
    <w:p>
      <w:pPr>
        <w:sectPr>
          <w:pgSz w:w="11900" w:h="16838" w:orient="portrait"/>
          <w:cols w:equalWidth="0" w:num="1">
            <w:col w:w="11200"/>
          </w:cols>
          <w:pgMar w:left="340" w:top="1440" w:right="359" w:bottom="1440" w:gutter="0" w:footer="0" w:header="0"/>
        </w:sectPr>
      </w:pPr>
    </w:p>
    <w:bookmarkStart w:id="66" w:name="page67"/>
    <w:bookmarkEnd w:id="66"/>
    <w:p>
      <w:pPr>
        <w:spacing w:after="0" w:line="275"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u w:val="single" w:color="auto"/>
                <w:color w:val="0000FF"/>
              </w:rPr>
              <w:t>1.</w:t>
            </w:r>
          </w:p>
        </w:tc>
        <w:tc>
          <w:tcPr>
            <w:tcW w:w="144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8"/>
              </w:rPr>
              <w:t>Investment Options</w:t>
            </w:r>
          </w:p>
        </w:tc>
        <w:tc>
          <w:tcPr>
            <w:tcW w:w="7140" w:type="dxa"/>
            <w:vAlign w:val="bottom"/>
            <w:gridSpan w:val="22"/>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7-1</w:t>
            </w:r>
          </w:p>
        </w:tc>
      </w:tr>
      <w:tr>
        <w:trPr>
          <w:trHeight w:val="210"/>
        </w:trPr>
        <w:tc>
          <w:tcPr>
            <w:tcW w:w="160" w:type="dxa"/>
            <w:vAlign w:val="bottom"/>
          </w:tcPr>
          <w:p>
            <w:pPr>
              <w:spacing w:after="0"/>
              <w:rPr>
                <w:sz w:val="18"/>
                <w:szCs w:val="18"/>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u w:val="single" w:color="auto"/>
                <w:color w:val="0000FF"/>
              </w:rPr>
              <w:t>2.</w:t>
            </w:r>
          </w:p>
        </w:tc>
        <w:tc>
          <w:tcPr>
            <w:tcW w:w="178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8"/>
              </w:rPr>
              <w:t>Adjustment of Accounts</w:t>
            </w:r>
          </w:p>
        </w:tc>
        <w:tc>
          <w:tcPr>
            <w:tcW w:w="6800" w:type="dxa"/>
            <w:vAlign w:val="bottom"/>
            <w:gridSpan w:val="15"/>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7-1</w:t>
            </w:r>
          </w:p>
        </w:tc>
      </w:tr>
      <w:tr>
        <w:trPr>
          <w:trHeight w:val="209"/>
        </w:trPr>
        <w:tc>
          <w:tcPr>
            <w:tcW w:w="2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Article 8 - Right to Benefits</w:t>
            </w:r>
          </w:p>
        </w:tc>
        <w:tc>
          <w:tcPr>
            <w:tcW w:w="7020" w:type="dxa"/>
            <w:vAlign w:val="bottom"/>
            <w:gridSpan w:val="19"/>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8-1</w:t>
            </w:r>
          </w:p>
        </w:tc>
      </w:tr>
      <w:tr>
        <w:trPr>
          <w:trHeight w:val="209"/>
        </w:trPr>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1.</w:t>
            </w:r>
          </w:p>
        </w:tc>
        <w:tc>
          <w:tcPr>
            <w:tcW w:w="85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Vesting</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10"/>
        </w:trPr>
        <w:tc>
          <w:tcPr>
            <w:tcW w:w="160" w:type="dxa"/>
            <w:vAlign w:val="bottom"/>
          </w:tcPr>
          <w:p>
            <w:pPr>
              <w:spacing w:after="0"/>
              <w:rPr>
                <w:sz w:val="18"/>
                <w:szCs w:val="18"/>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2.</w:t>
            </w:r>
          </w:p>
        </w:tc>
        <w:tc>
          <w:tcPr>
            <w:tcW w:w="46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7"/>
              </w:rPr>
              <w:t>Death</w:t>
            </w:r>
          </w:p>
        </w:tc>
        <w:tc>
          <w:tcPr>
            <w:tcW w:w="100" w:type="dxa"/>
            <w:vAlign w:val="bottom"/>
            <w:tcBorders>
              <w:top w:val="single" w:sz="8" w:color="0000FF"/>
            </w:tcBorders>
            <w:gridSpan w:val="2"/>
          </w:tcPr>
          <w:p>
            <w:pPr>
              <w:spacing w:after="0"/>
              <w:rPr>
                <w:sz w:val="18"/>
                <w:szCs w:val="18"/>
                <w:color w:val="auto"/>
              </w:rPr>
            </w:pPr>
          </w:p>
        </w:tc>
        <w:tc>
          <w:tcPr>
            <w:tcW w:w="8020" w:type="dxa"/>
            <w:vAlign w:val="bottom"/>
            <w:gridSpan w:val="30"/>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8-1</w:t>
            </w:r>
          </w:p>
        </w:tc>
      </w:tr>
      <w:tr>
        <w:trPr>
          <w:trHeight w:val="209"/>
        </w:trPr>
        <w:tc>
          <w:tcPr>
            <w:tcW w:w="160" w:type="dxa"/>
            <w:vAlign w:val="bottom"/>
          </w:tcPr>
          <w:p>
            <w:pPr>
              <w:spacing w:after="0"/>
              <w:rPr>
                <w:sz w:val="18"/>
                <w:szCs w:val="18"/>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8.</w:t>
            </w:r>
            <w:r>
              <w:rPr>
                <w:rFonts w:ascii="Times New Roman" w:cs="Times New Roman" w:eastAsia="Times New Roman" w:hAnsi="Times New Roman"/>
                <w:sz w:val="18"/>
                <w:szCs w:val="18"/>
                <w:u w:val="single" w:color="auto"/>
                <w:color w:val="0000FF"/>
              </w:rPr>
              <w:t>3.</w:t>
            </w:r>
          </w:p>
        </w:tc>
        <w:tc>
          <w:tcPr>
            <w:tcW w:w="7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Disability</w:t>
            </w:r>
          </w:p>
        </w:tc>
        <w:tc>
          <w:tcPr>
            <w:tcW w:w="7840" w:type="dxa"/>
            <w:vAlign w:val="bottom"/>
            <w:gridSpan w:val="28"/>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8-1</w:t>
            </w:r>
          </w:p>
        </w:tc>
      </w:tr>
      <w:tr>
        <w:trPr>
          <w:trHeight w:val="210"/>
        </w:trPr>
        <w:tc>
          <w:tcPr>
            <w:tcW w:w="25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Article 9 - Distribution of Benefits</w:t>
            </w:r>
          </w:p>
        </w:tc>
        <w:tc>
          <w:tcPr>
            <w:tcW w:w="6540" w:type="dxa"/>
            <w:vAlign w:val="bottom"/>
            <w:gridSpan w:val="11"/>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9-1</w:t>
            </w:r>
          </w:p>
        </w:tc>
      </w:tr>
      <w:tr>
        <w:trPr>
          <w:trHeight w:val="209"/>
        </w:trPr>
        <w:tc>
          <w:tcPr>
            <w:tcW w:w="160" w:type="dxa"/>
            <w:vAlign w:val="bottom"/>
          </w:tcPr>
          <w:p>
            <w:pPr>
              <w:spacing w:after="0"/>
              <w:rPr>
                <w:sz w:val="18"/>
                <w:szCs w:val="18"/>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1.</w:t>
            </w:r>
          </w:p>
        </w:tc>
        <w:tc>
          <w:tcPr>
            <w:tcW w:w="14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Amount of Benefits</w:t>
            </w:r>
          </w:p>
        </w:tc>
        <w:tc>
          <w:tcPr>
            <w:tcW w:w="7120" w:type="dxa"/>
            <w:vAlign w:val="bottom"/>
            <w:gridSpan w:val="21"/>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9-1</w:t>
            </w:r>
          </w:p>
        </w:tc>
      </w:tr>
      <w:tr>
        <w:trPr>
          <w:trHeight w:val="209"/>
        </w:trPr>
        <w:tc>
          <w:tcPr>
            <w:tcW w:w="160" w:type="dxa"/>
            <w:vAlign w:val="bottom"/>
          </w:tcPr>
          <w:p>
            <w:pPr>
              <w:spacing w:after="0"/>
              <w:rPr>
                <w:sz w:val="18"/>
                <w:szCs w:val="18"/>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2.</w:t>
            </w:r>
          </w:p>
        </w:tc>
        <w:tc>
          <w:tcPr>
            <w:tcW w:w="2640" w:type="dxa"/>
            <w:vAlign w:val="bottom"/>
            <w:tcBorders>
              <w:bottom w:val="single" w:sz="8" w:color="0000FF"/>
            </w:tcBorders>
            <w:gridSpan w:val="28"/>
          </w:tcPr>
          <w:p>
            <w:pPr>
              <w:ind w:left="20"/>
              <w:spacing w:after="0"/>
              <w:rPr>
                <w:sz w:val="20"/>
                <w:szCs w:val="20"/>
                <w:color w:val="auto"/>
              </w:rPr>
            </w:pPr>
            <w:r>
              <w:rPr>
                <w:rFonts w:ascii="Times New Roman" w:cs="Times New Roman" w:eastAsia="Times New Roman" w:hAnsi="Times New Roman"/>
                <w:sz w:val="18"/>
                <w:szCs w:val="18"/>
                <w:color w:val="0000FF"/>
                <w:w w:val="99"/>
              </w:rPr>
              <w:t>Method and Timing of Distributions</w:t>
            </w:r>
          </w:p>
        </w:tc>
        <w:tc>
          <w:tcPr>
            <w:tcW w:w="594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9-1</w:t>
            </w:r>
          </w:p>
        </w:tc>
      </w:tr>
      <w:tr>
        <w:trPr>
          <w:trHeight w:val="209"/>
        </w:trPr>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3.</w:t>
            </w:r>
          </w:p>
        </w:tc>
        <w:tc>
          <w:tcPr>
            <w:tcW w:w="85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Unforeseeable Emergency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9-1</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4.</w:t>
            </w:r>
          </w:p>
        </w:tc>
        <w:tc>
          <w:tcPr>
            <w:tcW w:w="85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Payment Election Overrides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5.</w:t>
            </w:r>
          </w:p>
        </w:tc>
        <w:tc>
          <w:tcPr>
            <w:tcW w:w="3640" w:type="dxa"/>
            <w:vAlign w:val="bottom"/>
            <w:tcBorders>
              <w:bottom w:val="single" w:sz="8" w:color="0000FF"/>
            </w:tcBorders>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Cashouts of Amounts Not Exceeding Stated Limit</w:t>
            </w:r>
          </w:p>
        </w:tc>
        <w:tc>
          <w:tcPr>
            <w:tcW w:w="49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9-2</w:t>
            </w:r>
          </w:p>
        </w:tc>
      </w:tr>
      <w:tr>
        <w:trPr>
          <w:trHeight w:val="210"/>
        </w:trPr>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6.</w:t>
            </w:r>
          </w:p>
        </w:tc>
        <w:tc>
          <w:tcPr>
            <w:tcW w:w="85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Required Delay in Payment to Key Employees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9-2</w:t>
            </w:r>
          </w:p>
        </w:tc>
      </w:tr>
      <w:tr>
        <w:trPr>
          <w:trHeight w:val="209"/>
        </w:trPr>
        <w:tc>
          <w:tcPr>
            <w:tcW w:w="160" w:type="dxa"/>
            <w:vAlign w:val="bottom"/>
          </w:tcPr>
          <w:p>
            <w:pPr>
              <w:spacing w:after="0"/>
              <w:rPr>
                <w:sz w:val="18"/>
                <w:szCs w:val="18"/>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7.</w:t>
            </w:r>
          </w:p>
        </w:tc>
        <w:tc>
          <w:tcPr>
            <w:tcW w:w="136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Change in Control</w:t>
            </w:r>
          </w:p>
        </w:tc>
        <w:tc>
          <w:tcPr>
            <w:tcW w:w="2020" w:type="dxa"/>
            <w:vAlign w:val="bottom"/>
            <w:tcBorders>
              <w:top w:val="single" w:sz="8" w:color="0000FF"/>
            </w:tcBorders>
            <w:gridSpan w:val="19"/>
          </w:tcPr>
          <w:p>
            <w:pPr>
              <w:spacing w:after="0"/>
              <w:rPr>
                <w:sz w:val="18"/>
                <w:szCs w:val="18"/>
                <w:color w:val="auto"/>
              </w:rPr>
            </w:pPr>
          </w:p>
        </w:tc>
        <w:tc>
          <w:tcPr>
            <w:tcW w:w="520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9-3</w:t>
            </w:r>
          </w:p>
        </w:tc>
      </w:tr>
      <w:tr>
        <w:trPr>
          <w:trHeight w:val="209"/>
        </w:trPr>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8.</w:t>
            </w:r>
          </w:p>
        </w:tc>
        <w:tc>
          <w:tcPr>
            <w:tcW w:w="85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Permissible Delays in Payment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9-6</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9.</w:t>
            </w:r>
          </w:p>
        </w:tc>
        <w:tc>
          <w:tcPr>
            <w:tcW w:w="256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Permitted Acceleration of Payment</w:t>
            </w:r>
          </w:p>
        </w:tc>
        <w:tc>
          <w:tcPr>
            <w:tcW w:w="602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1"/>
              </w:rPr>
              <w:t>9-7</w:t>
            </w:r>
          </w:p>
        </w:tc>
      </w:tr>
      <w:tr>
        <w:trPr>
          <w:trHeight w:val="210"/>
        </w:trPr>
        <w:tc>
          <w:tcPr>
            <w:tcW w:w="30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Article 10 - Amendment and Termination</w:t>
            </w:r>
          </w:p>
        </w:tc>
        <w:tc>
          <w:tcPr>
            <w:tcW w:w="6040" w:type="dxa"/>
            <w:vAlign w:val="bottom"/>
            <w:gridSpan w:val="8"/>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10-1</w:t>
            </w:r>
          </w:p>
        </w:tc>
      </w:tr>
      <w:tr>
        <w:trPr>
          <w:trHeight w:val="210"/>
        </w:trPr>
        <w:tc>
          <w:tcPr>
            <w:tcW w:w="1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p>
        </w:tc>
        <w:tc>
          <w:tcPr>
            <w:tcW w:w="8500" w:type="dxa"/>
            <w:vAlign w:val="bottom"/>
            <w:gridSpan w:val="33"/>
          </w:tcPr>
          <w:p>
            <w:pPr>
              <w:ind w:left="40"/>
              <w:spacing w:after="0"/>
              <w:rPr>
                <w:sz w:val="20"/>
                <w:szCs w:val="20"/>
                <w:color w:val="auto"/>
              </w:rPr>
            </w:pPr>
            <w:r>
              <w:rPr>
                <w:rFonts w:ascii="Times New Roman" w:cs="Times New Roman" w:eastAsia="Times New Roman" w:hAnsi="Times New Roman"/>
                <w:sz w:val="18"/>
                <w:szCs w:val="18"/>
                <w:color w:val="0000FF"/>
              </w:rPr>
              <w:t>Amendment by Plan Sponsor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10-1</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p>
        </w:tc>
        <w:tc>
          <w:tcPr>
            <w:tcW w:w="8500" w:type="dxa"/>
            <w:vAlign w:val="bottom"/>
            <w:gridSpan w:val="33"/>
          </w:tcPr>
          <w:p>
            <w:pPr>
              <w:ind w:left="40"/>
              <w:spacing w:after="0"/>
              <w:rPr>
                <w:sz w:val="20"/>
                <w:szCs w:val="20"/>
                <w:color w:val="auto"/>
              </w:rPr>
            </w:pPr>
            <w:r>
              <w:rPr>
                <w:rFonts w:ascii="Times New Roman" w:cs="Times New Roman" w:eastAsia="Times New Roman" w:hAnsi="Times New Roman"/>
                <w:sz w:val="18"/>
                <w:szCs w:val="18"/>
                <w:color w:val="0000FF"/>
              </w:rPr>
              <w:t>Plan Termination Following Change in Control or Corporate Dissolution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10-1</w:t>
            </w:r>
          </w:p>
        </w:tc>
      </w:tr>
      <w:tr>
        <w:trPr>
          <w:trHeight w:val="209"/>
        </w:trPr>
        <w:tc>
          <w:tcPr>
            <w:tcW w:w="1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w:t>
            </w:r>
          </w:p>
        </w:tc>
        <w:tc>
          <w:tcPr>
            <w:tcW w:w="1840" w:type="dxa"/>
            <w:vAlign w:val="bottom"/>
            <w:tcBorders>
              <w:top w:val="single" w:sz="8" w:color="0000FF"/>
              <w:bottom w:val="single" w:sz="8" w:color="0000FF"/>
            </w:tcBorders>
            <w:gridSpan w:val="20"/>
          </w:tcPr>
          <w:p>
            <w:pPr>
              <w:ind w:left="40"/>
              <w:spacing w:after="0"/>
              <w:rPr>
                <w:sz w:val="20"/>
                <w:szCs w:val="20"/>
                <w:color w:val="auto"/>
              </w:rPr>
            </w:pPr>
            <w:r>
              <w:rPr>
                <w:rFonts w:ascii="Times New Roman" w:cs="Times New Roman" w:eastAsia="Times New Roman" w:hAnsi="Times New Roman"/>
                <w:sz w:val="18"/>
                <w:szCs w:val="18"/>
                <w:color w:val="0000FF"/>
                <w:w w:val="98"/>
              </w:rPr>
              <w:t>Other Plan Terminations</w:t>
            </w:r>
          </w:p>
        </w:tc>
        <w:tc>
          <w:tcPr>
            <w:tcW w:w="3420" w:type="dxa"/>
            <w:vAlign w:val="bottom"/>
            <w:tcBorders>
              <w:top w:val="single" w:sz="8" w:color="0000FF"/>
            </w:tcBorders>
            <w:gridSpan w:val="12"/>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10-1</w:t>
            </w:r>
          </w:p>
        </w:tc>
      </w:tr>
      <w:tr>
        <w:trPr>
          <w:trHeight w:val="210"/>
        </w:trPr>
        <w:tc>
          <w:tcPr>
            <w:tcW w:w="90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Article 11 - The Trust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11-1</w:t>
            </w:r>
          </w:p>
        </w:tc>
      </w:tr>
      <w:tr>
        <w:trPr>
          <w:trHeight w:val="20"/>
        </w:trPr>
        <w:tc>
          <w:tcPr>
            <w:tcW w:w="1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0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11.</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FF"/>
                <w:w w:val="98"/>
              </w:rPr>
              <w:t xml:space="preserve"> Establishment of Trust</w:t>
            </w:r>
          </w:p>
        </w:tc>
        <w:tc>
          <w:tcPr>
            <w:tcW w:w="6840" w:type="dxa"/>
            <w:vAlign w:val="bottom"/>
            <w:gridSpan w:val="16"/>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11-1</w:t>
            </w:r>
          </w:p>
        </w:tc>
      </w:tr>
      <w:tr>
        <w:trPr>
          <w:trHeight w:val="210"/>
        </w:trPr>
        <w:tc>
          <w:tcPr>
            <w:tcW w:w="160" w:type="dxa"/>
            <w:vAlign w:val="bottom"/>
          </w:tcPr>
          <w:p>
            <w:pPr>
              <w:spacing w:after="0"/>
              <w:rPr>
                <w:sz w:val="18"/>
                <w:szCs w:val="18"/>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11.</w:t>
            </w:r>
            <w:r>
              <w:rPr>
                <w:rFonts w:ascii="Times New Roman" w:cs="Times New Roman" w:eastAsia="Times New Roman" w:hAnsi="Times New Roman"/>
                <w:sz w:val="18"/>
                <w:szCs w:val="18"/>
                <w:u w:val="single" w:color="auto"/>
                <w:color w:val="0000FF"/>
                <w:w w:val="96"/>
              </w:rPr>
              <w:t>2.</w:t>
            </w:r>
            <w:r>
              <w:rPr>
                <w:rFonts w:ascii="Times New Roman" w:cs="Times New Roman" w:eastAsia="Times New Roman" w:hAnsi="Times New Roman"/>
                <w:sz w:val="18"/>
                <w:szCs w:val="18"/>
                <w:color w:val="0000FF"/>
                <w:w w:val="96"/>
              </w:rPr>
              <w:t xml:space="preserve"> Trust</w:t>
            </w:r>
          </w:p>
        </w:tc>
        <w:tc>
          <w:tcPr>
            <w:tcW w:w="8100" w:type="dxa"/>
            <w:vAlign w:val="bottom"/>
            <w:gridSpan w:val="31"/>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11-1</w:t>
            </w:r>
          </w:p>
        </w:tc>
      </w:tr>
      <w:tr>
        <w:trPr>
          <w:trHeight w:val="210"/>
        </w:trPr>
        <w:tc>
          <w:tcPr>
            <w:tcW w:w="160" w:type="dxa"/>
            <w:vAlign w:val="bottom"/>
          </w:tcPr>
          <w:p>
            <w:pPr>
              <w:spacing w:after="0"/>
              <w:rPr>
                <w:sz w:val="18"/>
                <w:szCs w:val="18"/>
                <w:color w:val="auto"/>
              </w:rPr>
            </w:pPr>
          </w:p>
        </w:tc>
        <w:tc>
          <w:tcPr>
            <w:tcW w:w="23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11.</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Investment of Trust Funds</w:t>
            </w:r>
          </w:p>
        </w:tc>
        <w:tc>
          <w:tcPr>
            <w:tcW w:w="6540" w:type="dxa"/>
            <w:vAlign w:val="bottom"/>
            <w:gridSpan w:val="11"/>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11-1</w:t>
            </w:r>
          </w:p>
        </w:tc>
      </w:tr>
      <w:tr>
        <w:trPr>
          <w:trHeight w:val="210"/>
        </w:trPr>
        <w:tc>
          <w:tcPr>
            <w:tcW w:w="2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Article 12 - Plan Administration</w:t>
            </w:r>
          </w:p>
        </w:tc>
        <w:tc>
          <w:tcPr>
            <w:tcW w:w="6700" w:type="dxa"/>
            <w:vAlign w:val="bottom"/>
            <w:gridSpan w:val="14"/>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12-1</w:t>
            </w:r>
          </w:p>
        </w:tc>
      </w:tr>
      <w:tr>
        <w:trPr>
          <w:trHeight w:val="210"/>
        </w:trPr>
        <w:tc>
          <w:tcPr>
            <w:tcW w:w="160" w:type="dxa"/>
            <w:vAlign w:val="bottom"/>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12.</w:t>
            </w:r>
            <w:r>
              <w:rPr>
                <w:rFonts w:ascii="Times New Roman" w:cs="Times New Roman" w:eastAsia="Times New Roman" w:hAnsi="Times New Roman"/>
                <w:sz w:val="18"/>
                <w:szCs w:val="18"/>
                <w:u w:val="single" w:color="auto"/>
                <w:color w:val="0000FF"/>
                <w:w w:val="99"/>
              </w:rPr>
              <w:t>1.</w:t>
            </w:r>
          </w:p>
        </w:tc>
        <w:tc>
          <w:tcPr>
            <w:tcW w:w="3580" w:type="dxa"/>
            <w:vAlign w:val="bottom"/>
            <w:tcBorders>
              <w:bottom w:val="single" w:sz="8" w:color="0000FF"/>
            </w:tcBorders>
            <w:gridSpan w:val="31"/>
          </w:tcPr>
          <w:p>
            <w:pPr>
              <w:ind w:left="40"/>
              <w:spacing w:after="0"/>
              <w:rPr>
                <w:sz w:val="20"/>
                <w:szCs w:val="20"/>
                <w:color w:val="auto"/>
              </w:rPr>
            </w:pPr>
            <w:r>
              <w:rPr>
                <w:rFonts w:ascii="Times New Roman" w:cs="Times New Roman" w:eastAsia="Times New Roman" w:hAnsi="Times New Roman"/>
                <w:sz w:val="18"/>
                <w:szCs w:val="18"/>
                <w:color w:val="0000FF"/>
                <w:w w:val="99"/>
              </w:rPr>
              <w:t>Powers and Responsibilities of the Administrator</w:t>
            </w:r>
          </w:p>
        </w:tc>
        <w:tc>
          <w:tcPr>
            <w:tcW w:w="4920" w:type="dxa"/>
            <w:vAlign w:val="bottom"/>
            <w:gridSpan w:val="2"/>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12-1</w:t>
            </w:r>
          </w:p>
        </w:tc>
      </w:tr>
      <w:tr>
        <w:trPr>
          <w:trHeight w:val="209"/>
        </w:trPr>
        <w:tc>
          <w:tcPr>
            <w:tcW w:w="1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12.</w:t>
            </w:r>
            <w:r>
              <w:rPr>
                <w:rFonts w:ascii="Times New Roman" w:cs="Times New Roman" w:eastAsia="Times New Roman" w:hAnsi="Times New Roman"/>
                <w:sz w:val="18"/>
                <w:szCs w:val="18"/>
                <w:u w:val="single" w:color="auto"/>
                <w:color w:val="0000FF"/>
                <w:w w:val="99"/>
              </w:rPr>
              <w:t>2.</w:t>
            </w:r>
          </w:p>
        </w:tc>
        <w:tc>
          <w:tcPr>
            <w:tcW w:w="8500" w:type="dxa"/>
            <w:vAlign w:val="bottom"/>
            <w:gridSpan w:val="33"/>
          </w:tcPr>
          <w:p>
            <w:pPr>
              <w:ind w:left="40"/>
              <w:spacing w:after="0"/>
              <w:rPr>
                <w:sz w:val="20"/>
                <w:szCs w:val="20"/>
                <w:color w:val="auto"/>
              </w:rPr>
            </w:pPr>
            <w:r>
              <w:rPr>
                <w:rFonts w:ascii="Times New Roman" w:cs="Times New Roman" w:eastAsia="Times New Roman" w:hAnsi="Times New Roman"/>
                <w:sz w:val="18"/>
                <w:szCs w:val="18"/>
                <w:color w:val="0000FF"/>
              </w:rPr>
              <w:t>Claims and Review Procedures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12-2</w:t>
            </w:r>
          </w:p>
        </w:tc>
      </w:tr>
      <w:tr>
        <w:trPr>
          <w:trHeight w:val="210"/>
        </w:trPr>
        <w:tc>
          <w:tcPr>
            <w:tcW w:w="1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12.</w:t>
            </w:r>
            <w:r>
              <w:rPr>
                <w:rFonts w:ascii="Times New Roman" w:cs="Times New Roman" w:eastAsia="Times New Roman" w:hAnsi="Times New Roman"/>
                <w:sz w:val="18"/>
                <w:szCs w:val="18"/>
                <w:u w:val="single" w:color="auto"/>
                <w:color w:val="0000FF"/>
                <w:w w:val="99"/>
              </w:rPr>
              <w:t>3.</w:t>
            </w:r>
          </w:p>
        </w:tc>
        <w:tc>
          <w:tcPr>
            <w:tcW w:w="1920" w:type="dxa"/>
            <w:vAlign w:val="bottom"/>
            <w:tcBorders>
              <w:top w:val="single" w:sz="8" w:color="0000FF"/>
              <w:bottom w:val="single" w:sz="8" w:color="0000FF"/>
            </w:tcBorders>
            <w:gridSpan w:val="21"/>
          </w:tcPr>
          <w:p>
            <w:pPr>
              <w:ind w:left="40"/>
              <w:spacing w:after="0"/>
              <w:rPr>
                <w:sz w:val="20"/>
                <w:szCs w:val="20"/>
                <w:color w:val="auto"/>
              </w:rPr>
            </w:pPr>
            <w:r>
              <w:rPr>
                <w:rFonts w:ascii="Times New Roman" w:cs="Times New Roman" w:eastAsia="Times New Roman" w:hAnsi="Times New Roman"/>
                <w:sz w:val="18"/>
                <w:szCs w:val="18"/>
                <w:color w:val="0000FF"/>
                <w:w w:val="98"/>
              </w:rPr>
              <w:t>Plan Administrative Costs</w:t>
            </w:r>
          </w:p>
        </w:tc>
        <w:tc>
          <w:tcPr>
            <w:tcW w:w="360" w:type="dxa"/>
            <w:vAlign w:val="bottom"/>
            <w:tcBorders>
              <w:top w:val="single" w:sz="8" w:color="0000FF"/>
            </w:tcBorders>
            <w:gridSpan w:val="3"/>
          </w:tcPr>
          <w:p>
            <w:pPr>
              <w:spacing w:after="0"/>
              <w:rPr>
                <w:sz w:val="18"/>
                <w:szCs w:val="18"/>
                <w:color w:val="auto"/>
              </w:rPr>
            </w:pPr>
          </w:p>
        </w:tc>
        <w:tc>
          <w:tcPr>
            <w:tcW w:w="6220" w:type="dxa"/>
            <w:vAlign w:val="bottom"/>
            <w:gridSpan w:val="9"/>
          </w:tcPr>
          <w:p>
            <w:pPr>
              <w:spacing w:after="0"/>
              <w:rPr>
                <w:sz w:val="18"/>
                <w:szCs w:val="18"/>
                <w:color w:val="auto"/>
              </w:rPr>
            </w:pPr>
          </w:p>
        </w:tc>
        <w:tc>
          <w:tcPr>
            <w:tcW w:w="3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12-3</w:t>
            </w:r>
          </w:p>
        </w:tc>
      </w:tr>
      <w:tr>
        <w:trPr>
          <w:trHeight w:val="210"/>
        </w:trPr>
        <w:tc>
          <w:tcPr>
            <w:tcW w:w="1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Article 13 - Miscellaneous</w:t>
            </w:r>
          </w:p>
        </w:tc>
        <w:tc>
          <w:tcPr>
            <w:tcW w:w="7120" w:type="dxa"/>
            <w:vAlign w:val="bottom"/>
            <w:gridSpan w:val="21"/>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13-1</w:t>
            </w:r>
          </w:p>
        </w:tc>
      </w:tr>
      <w:tr>
        <w:trPr>
          <w:trHeight w:val="210"/>
        </w:trPr>
        <w:tc>
          <w:tcPr>
            <w:tcW w:w="160" w:type="dxa"/>
            <w:vAlign w:val="bottom"/>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1.</w:t>
            </w:r>
          </w:p>
        </w:tc>
        <w:tc>
          <w:tcPr>
            <w:tcW w:w="3280" w:type="dxa"/>
            <w:vAlign w:val="bottom"/>
            <w:tcBorders>
              <w:bottom w:val="single" w:sz="8" w:color="0000FF"/>
            </w:tcBorders>
            <w:gridSpan w:val="28"/>
          </w:tcPr>
          <w:p>
            <w:pPr>
              <w:ind w:left="40"/>
              <w:spacing w:after="0"/>
              <w:rPr>
                <w:sz w:val="20"/>
                <w:szCs w:val="20"/>
                <w:color w:val="auto"/>
              </w:rPr>
            </w:pPr>
            <w:r>
              <w:rPr>
                <w:rFonts w:ascii="Times New Roman" w:cs="Times New Roman" w:eastAsia="Times New Roman" w:hAnsi="Times New Roman"/>
                <w:sz w:val="18"/>
                <w:szCs w:val="18"/>
                <w:color w:val="0000FF"/>
                <w:w w:val="99"/>
              </w:rPr>
              <w:t>Unsecured General Creditor of the Employer</w:t>
            </w:r>
          </w:p>
        </w:tc>
        <w:tc>
          <w:tcPr>
            <w:tcW w:w="5220" w:type="dxa"/>
            <w:vAlign w:val="bottom"/>
            <w:gridSpan w:val="5"/>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13-1</w:t>
            </w:r>
          </w:p>
        </w:tc>
      </w:tr>
      <w:tr>
        <w:trPr>
          <w:trHeight w:val="209"/>
        </w:trPr>
        <w:tc>
          <w:tcPr>
            <w:tcW w:w="160" w:type="dxa"/>
            <w:vAlign w:val="bottom"/>
          </w:tcPr>
          <w:p>
            <w:pPr>
              <w:spacing w:after="0"/>
              <w:rPr>
                <w:sz w:val="18"/>
                <w:szCs w:val="18"/>
                <w:color w:val="auto"/>
              </w:rPr>
            </w:pPr>
          </w:p>
        </w:tc>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2.</w:t>
            </w:r>
          </w:p>
        </w:tc>
        <w:tc>
          <w:tcPr>
            <w:tcW w:w="1540" w:type="dxa"/>
            <w:vAlign w:val="bottom"/>
            <w:tcBorders>
              <w:bottom w:val="single" w:sz="8" w:color="0000FF"/>
            </w:tcBorders>
            <w:gridSpan w:val="16"/>
          </w:tcPr>
          <w:p>
            <w:pPr>
              <w:ind w:left="40"/>
              <w:spacing w:after="0"/>
              <w:rPr>
                <w:sz w:val="20"/>
                <w:szCs w:val="20"/>
                <w:color w:val="auto"/>
              </w:rPr>
            </w:pPr>
            <w:r>
              <w:rPr>
                <w:rFonts w:ascii="Times New Roman" w:cs="Times New Roman" w:eastAsia="Times New Roman" w:hAnsi="Times New Roman"/>
                <w:sz w:val="18"/>
                <w:szCs w:val="18"/>
                <w:color w:val="0000FF"/>
                <w:w w:val="98"/>
              </w:rPr>
              <w:t>Employer’s Liability</w:t>
            </w:r>
          </w:p>
        </w:tc>
        <w:tc>
          <w:tcPr>
            <w:tcW w:w="6960" w:type="dxa"/>
            <w:vAlign w:val="bottom"/>
            <w:gridSpan w:val="17"/>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13-1</w:t>
            </w:r>
          </w:p>
        </w:tc>
      </w:tr>
      <w:tr>
        <w:trPr>
          <w:trHeight w:val="210"/>
        </w:trPr>
        <w:tc>
          <w:tcPr>
            <w:tcW w:w="1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3.</w:t>
            </w:r>
          </w:p>
        </w:tc>
        <w:tc>
          <w:tcPr>
            <w:tcW w:w="8500" w:type="dxa"/>
            <w:vAlign w:val="bottom"/>
            <w:gridSpan w:val="33"/>
          </w:tcPr>
          <w:p>
            <w:pPr>
              <w:ind w:left="40"/>
              <w:spacing w:after="0"/>
              <w:rPr>
                <w:sz w:val="20"/>
                <w:szCs w:val="20"/>
                <w:color w:val="auto"/>
              </w:rPr>
            </w:pPr>
            <w:r>
              <w:rPr>
                <w:rFonts w:ascii="Times New Roman" w:cs="Times New Roman" w:eastAsia="Times New Roman" w:hAnsi="Times New Roman"/>
                <w:sz w:val="18"/>
                <w:szCs w:val="18"/>
                <w:color w:val="0000FF"/>
              </w:rPr>
              <w:t>Limitation of Rights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13-1</w:t>
            </w:r>
          </w:p>
        </w:tc>
      </w:tr>
      <w:tr>
        <w:trPr>
          <w:trHeight w:val="210"/>
        </w:trPr>
        <w:tc>
          <w:tcPr>
            <w:tcW w:w="1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4.</w:t>
            </w:r>
          </w:p>
        </w:tc>
        <w:tc>
          <w:tcPr>
            <w:tcW w:w="1280" w:type="dxa"/>
            <w:vAlign w:val="bottom"/>
            <w:tcBorders>
              <w:top w:val="single" w:sz="8" w:color="0000FF"/>
              <w:bottom w:val="single" w:sz="8" w:color="0000FF"/>
            </w:tcBorders>
            <w:gridSpan w:val="10"/>
          </w:tcPr>
          <w:p>
            <w:pPr>
              <w:ind w:left="40"/>
              <w:spacing w:after="0"/>
              <w:rPr>
                <w:sz w:val="20"/>
                <w:szCs w:val="20"/>
                <w:color w:val="auto"/>
              </w:rPr>
            </w:pPr>
            <w:r>
              <w:rPr>
                <w:rFonts w:ascii="Times New Roman" w:cs="Times New Roman" w:eastAsia="Times New Roman" w:hAnsi="Times New Roman"/>
                <w:sz w:val="18"/>
                <w:szCs w:val="18"/>
                <w:color w:val="0000FF"/>
                <w:w w:val="98"/>
              </w:rPr>
              <w:t>Anti-Assignment</w:t>
            </w:r>
          </w:p>
        </w:tc>
        <w:tc>
          <w:tcPr>
            <w:tcW w:w="220" w:type="dxa"/>
            <w:vAlign w:val="bottom"/>
            <w:tcBorders>
              <w:top w:val="single" w:sz="8" w:color="0000FF"/>
            </w:tcBorders>
            <w:gridSpan w:val="5"/>
          </w:tcPr>
          <w:p>
            <w:pPr>
              <w:spacing w:after="0"/>
              <w:rPr>
                <w:sz w:val="18"/>
                <w:szCs w:val="18"/>
                <w:color w:val="auto"/>
              </w:rPr>
            </w:pPr>
          </w:p>
        </w:tc>
        <w:tc>
          <w:tcPr>
            <w:tcW w:w="7000" w:type="dxa"/>
            <w:vAlign w:val="bottom"/>
            <w:gridSpan w:val="18"/>
          </w:tcPr>
          <w:p>
            <w:pPr>
              <w:spacing w:after="0"/>
              <w:rPr>
                <w:sz w:val="18"/>
                <w:szCs w:val="18"/>
                <w:color w:val="auto"/>
              </w:rPr>
            </w:pPr>
          </w:p>
        </w:tc>
        <w:tc>
          <w:tcPr>
            <w:tcW w:w="3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13-1</w:t>
            </w:r>
          </w:p>
        </w:tc>
      </w:tr>
      <w:tr>
        <w:trPr>
          <w:trHeight w:val="210"/>
        </w:trPr>
        <w:tc>
          <w:tcPr>
            <w:tcW w:w="1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5.</w:t>
            </w:r>
          </w:p>
        </w:tc>
        <w:tc>
          <w:tcPr>
            <w:tcW w:w="8500" w:type="dxa"/>
            <w:vAlign w:val="bottom"/>
            <w:gridSpan w:val="33"/>
          </w:tcPr>
          <w:p>
            <w:pPr>
              <w:ind w:left="40"/>
              <w:spacing w:after="0"/>
              <w:rPr>
                <w:sz w:val="20"/>
                <w:szCs w:val="20"/>
                <w:color w:val="auto"/>
              </w:rPr>
            </w:pPr>
            <w:r>
              <w:rPr>
                <w:rFonts w:ascii="Times New Roman" w:cs="Times New Roman" w:eastAsia="Times New Roman" w:hAnsi="Times New Roman"/>
                <w:sz w:val="18"/>
                <w:szCs w:val="18"/>
                <w:color w:val="0000FF"/>
              </w:rPr>
              <w:t>Facility of Payment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13-2</w:t>
            </w:r>
          </w:p>
        </w:tc>
      </w:tr>
      <w:tr>
        <w:trPr>
          <w:trHeight w:val="209"/>
        </w:trPr>
        <w:tc>
          <w:tcPr>
            <w:tcW w:w="160" w:type="dxa"/>
            <w:vAlign w:val="bottom"/>
          </w:tcPr>
          <w:p>
            <w:pPr>
              <w:spacing w:after="0"/>
              <w:rPr>
                <w:sz w:val="18"/>
                <w:szCs w:val="18"/>
                <w:color w:val="auto"/>
              </w:rPr>
            </w:pPr>
          </w:p>
        </w:tc>
        <w:tc>
          <w:tcPr>
            <w:tcW w:w="3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6.</w:t>
            </w:r>
          </w:p>
        </w:tc>
        <w:tc>
          <w:tcPr>
            <w:tcW w:w="1440" w:type="dxa"/>
            <w:vAlign w:val="bottom"/>
            <w:tcBorders>
              <w:top w:val="single" w:sz="8" w:color="0000FF"/>
            </w:tcBorders>
            <w:gridSpan w:val="13"/>
          </w:tcPr>
          <w:p>
            <w:pPr>
              <w:ind w:left="40"/>
              <w:spacing w:after="0"/>
              <w:rPr>
                <w:sz w:val="20"/>
                <w:szCs w:val="20"/>
                <w:color w:val="auto"/>
              </w:rPr>
            </w:pPr>
            <w:r>
              <w:rPr>
                <w:rFonts w:ascii="Times New Roman" w:cs="Times New Roman" w:eastAsia="Times New Roman" w:hAnsi="Times New Roman"/>
                <w:sz w:val="18"/>
                <w:szCs w:val="18"/>
                <w:color w:val="0000FF"/>
              </w:rPr>
              <w:t>Notices</w:t>
            </w:r>
          </w:p>
        </w:tc>
        <w:tc>
          <w:tcPr>
            <w:tcW w:w="7060" w:type="dxa"/>
            <w:vAlign w:val="bottom"/>
            <w:gridSpan w:val="20"/>
          </w:tcPr>
          <w:p>
            <w:pPr>
              <w:spacing w:after="0"/>
              <w:rPr>
                <w:sz w:val="18"/>
                <w:szCs w:val="18"/>
                <w:color w:val="auto"/>
              </w:rPr>
            </w:pPr>
          </w:p>
        </w:tc>
        <w:tc>
          <w:tcPr>
            <w:tcW w:w="32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13-2</w:t>
            </w: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60" w:type="dxa"/>
            <w:vAlign w:val="bottom"/>
            <w:gridSpan w:val="24"/>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7.</w:t>
            </w:r>
          </w:p>
        </w:tc>
        <w:tc>
          <w:tcPr>
            <w:tcW w:w="8500" w:type="dxa"/>
            <w:vAlign w:val="bottom"/>
            <w:gridSpan w:val="33"/>
          </w:tcPr>
          <w:p>
            <w:pPr>
              <w:ind w:left="40"/>
              <w:spacing w:after="0"/>
              <w:rPr>
                <w:sz w:val="20"/>
                <w:szCs w:val="20"/>
                <w:color w:val="auto"/>
              </w:rPr>
            </w:pPr>
            <w:r>
              <w:rPr>
                <w:rFonts w:ascii="Times New Roman" w:cs="Times New Roman" w:eastAsia="Times New Roman" w:hAnsi="Times New Roman"/>
                <w:sz w:val="18"/>
                <w:szCs w:val="18"/>
                <w:color w:val="0000FF"/>
              </w:rPr>
              <w:t>Tax Withholding</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13-2</w:t>
            </w:r>
          </w:p>
        </w:tc>
      </w:tr>
      <w:tr>
        <w:trPr>
          <w:trHeight w:val="210"/>
        </w:trPr>
        <w:tc>
          <w:tcPr>
            <w:tcW w:w="1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8.</w:t>
            </w:r>
          </w:p>
        </w:tc>
        <w:tc>
          <w:tcPr>
            <w:tcW w:w="1240" w:type="dxa"/>
            <w:vAlign w:val="bottom"/>
            <w:tcBorders>
              <w:top w:val="single" w:sz="8" w:color="0000FF"/>
              <w:bottom w:val="single" w:sz="8" w:color="0000FF"/>
            </w:tcBorders>
            <w:gridSpan w:val="9"/>
          </w:tcPr>
          <w:p>
            <w:pPr>
              <w:ind w:left="40"/>
              <w:spacing w:after="0"/>
              <w:rPr>
                <w:sz w:val="20"/>
                <w:szCs w:val="20"/>
                <w:color w:val="auto"/>
              </w:rPr>
            </w:pPr>
            <w:r>
              <w:rPr>
                <w:rFonts w:ascii="Times New Roman" w:cs="Times New Roman" w:eastAsia="Times New Roman" w:hAnsi="Times New Roman"/>
                <w:sz w:val="18"/>
                <w:szCs w:val="18"/>
                <w:color w:val="0000FF"/>
              </w:rPr>
              <w:t>Indemnification</w:t>
            </w:r>
          </w:p>
        </w:tc>
        <w:tc>
          <w:tcPr>
            <w:tcW w:w="7260" w:type="dxa"/>
            <w:vAlign w:val="bottom"/>
            <w:gridSpan w:val="24"/>
          </w:tcPr>
          <w:p>
            <w:pPr>
              <w:spacing w:after="0"/>
              <w:rPr>
                <w:sz w:val="18"/>
                <w:szCs w:val="18"/>
                <w:color w:val="auto"/>
              </w:rPr>
            </w:pPr>
          </w:p>
        </w:tc>
        <w:tc>
          <w:tcPr>
            <w:tcW w:w="3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13-3</w:t>
            </w:r>
          </w:p>
        </w:tc>
      </w:tr>
      <w:tr>
        <w:trPr>
          <w:trHeight w:val="210"/>
        </w:trPr>
        <w:tc>
          <w:tcPr>
            <w:tcW w:w="1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9.</w:t>
            </w:r>
          </w:p>
        </w:tc>
        <w:tc>
          <w:tcPr>
            <w:tcW w:w="8500" w:type="dxa"/>
            <w:vAlign w:val="bottom"/>
            <w:gridSpan w:val="33"/>
          </w:tcPr>
          <w:p>
            <w:pPr>
              <w:ind w:left="40"/>
              <w:spacing w:after="0"/>
              <w:rPr>
                <w:sz w:val="20"/>
                <w:szCs w:val="20"/>
                <w:color w:val="auto"/>
              </w:rPr>
            </w:pPr>
            <w:r>
              <w:rPr>
                <w:rFonts w:ascii="Times New Roman" w:cs="Times New Roman" w:eastAsia="Times New Roman" w:hAnsi="Times New Roman"/>
                <w:sz w:val="18"/>
                <w:szCs w:val="18"/>
                <w:color w:val="0000FF"/>
              </w:rPr>
              <w:t>Successors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13-4</w:t>
            </w:r>
          </w:p>
        </w:tc>
      </w:tr>
      <w:tr>
        <w:trPr>
          <w:trHeight w:val="20"/>
        </w:trPr>
        <w:tc>
          <w:tcPr>
            <w:tcW w:w="160" w:type="dxa"/>
            <w:vAlign w:val="bottom"/>
          </w:tcPr>
          <w:p>
            <w:pPr>
              <w:spacing w:after="0" w:line="20" w:lineRule="exact"/>
              <w:rPr>
                <w:sz w:val="1"/>
                <w:szCs w:val="1"/>
                <w:color w:val="auto"/>
              </w:rPr>
            </w:pPr>
          </w:p>
        </w:tc>
        <w:tc>
          <w:tcPr>
            <w:tcW w:w="120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60" w:type="dxa"/>
            <w:vAlign w:val="bottom"/>
            <w:gridSpan w:val="24"/>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13.</w:t>
            </w:r>
            <w:r>
              <w:rPr>
                <w:rFonts w:ascii="Times New Roman" w:cs="Times New Roman" w:eastAsia="Times New Roman" w:hAnsi="Times New Roman"/>
                <w:sz w:val="18"/>
                <w:szCs w:val="18"/>
                <w:u w:val="single" w:color="auto"/>
                <w:color w:val="0000FF"/>
                <w:w w:val="99"/>
              </w:rPr>
              <w:t>10.</w:t>
            </w:r>
            <w:r>
              <w:rPr>
                <w:rFonts w:ascii="Times New Roman" w:cs="Times New Roman" w:eastAsia="Times New Roman" w:hAnsi="Times New Roman"/>
                <w:sz w:val="18"/>
                <w:szCs w:val="18"/>
                <w:color w:val="0000FF"/>
                <w:w w:val="99"/>
              </w:rPr>
              <w:t xml:space="preserve"> Disclaimer</w:t>
            </w:r>
          </w:p>
        </w:tc>
        <w:tc>
          <w:tcPr>
            <w:tcW w:w="7580" w:type="dxa"/>
            <w:vAlign w:val="bottom"/>
            <w:gridSpan w:val="26"/>
          </w:tcPr>
          <w:p>
            <w:pPr>
              <w:spacing w:after="0"/>
              <w:rPr>
                <w:sz w:val="18"/>
                <w:szCs w:val="18"/>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13-4</w:t>
            </w:r>
          </w:p>
        </w:tc>
      </w:tr>
      <w:tr>
        <w:trPr>
          <w:trHeight w:val="210"/>
        </w:trPr>
        <w:tc>
          <w:tcPr>
            <w:tcW w:w="160" w:type="dxa"/>
            <w:vAlign w:val="bottom"/>
          </w:tcPr>
          <w:p>
            <w:pPr>
              <w:spacing w:after="0"/>
              <w:rPr>
                <w:sz w:val="18"/>
                <w:szCs w:val="18"/>
                <w:color w:val="auto"/>
              </w:rPr>
            </w:pPr>
          </w:p>
        </w:tc>
        <w:tc>
          <w:tcPr>
            <w:tcW w:w="88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13.</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0000FF"/>
              </w:rPr>
              <w:t xml:space="preserve"> Governing Law</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0"/>
              </w:rPr>
              <w:t>13-4</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820" w:val="left"/>
        </w:tabs>
        <w:rPr>
          <w:sz w:val="20"/>
          <w:szCs w:val="20"/>
          <w:color w:val="auto"/>
        </w:rPr>
      </w:pPr>
      <w:r>
        <w:rPr>
          <w:rFonts w:ascii="Cambria" w:cs="Cambria" w:eastAsia="Cambria" w:hAnsi="Cambria"/>
          <w:sz w:val="13"/>
          <w:szCs w:val="13"/>
          <w:b w:val="1"/>
          <w:bCs w:val="1"/>
          <w:color w:val="auto"/>
        </w:rPr>
        <w:t xml:space="preserve">Sandisk </w:t>
      </w:r>
      <w:r>
        <w:rPr>
          <w:rFonts w:ascii="Times New Roman" w:cs="Times New Roman" w:eastAsia="Times New Roman" w:hAnsi="Times New Roman"/>
          <w:sz w:val="13"/>
          <w:szCs w:val="13"/>
          <w:color w:val="auto"/>
        </w:rPr>
        <w:t>Corporation</w:t>
      </w:r>
      <w:r>
        <w:rPr>
          <w:rFonts w:ascii="Cambria" w:cs="Cambria" w:eastAsia="Cambria" w:hAnsi="Cambria"/>
          <w:sz w:val="13"/>
          <w:szCs w:val="13"/>
          <w:b w:val="1"/>
          <w:bCs w:val="1"/>
          <w:color w:val="auto"/>
        </w:rPr>
        <w:t xml:space="preserve"> Deferred Compensation Plan</w:t>
      </w:r>
      <w:r>
        <w:rPr>
          <w:sz w:val="20"/>
          <w:szCs w:val="20"/>
          <w:color w:val="auto"/>
        </w:rPr>
        <w:tab/>
      </w:r>
      <w:r>
        <w:rPr>
          <w:rFonts w:ascii="Times New Roman" w:cs="Times New Roman" w:eastAsia="Times New Roman" w:hAnsi="Times New Roman"/>
          <w:sz w:val="12"/>
          <w:szCs w:val="12"/>
          <w:color w:val="auto"/>
        </w:rPr>
        <w:t>TOC-ii</w:t>
      </w:r>
    </w:p>
    <w:p>
      <w:pPr>
        <w:sectPr>
          <w:pgSz w:w="11900" w:h="16838" w:orient="portrait"/>
          <w:cols w:equalWidth="0" w:num="1">
            <w:col w:w="11200"/>
          </w:cols>
          <w:pgMar w:left="340" w:top="1440" w:right="359" w:bottom="1440" w:gutter="0" w:footer="0" w:header="0"/>
        </w:sectPr>
      </w:pPr>
    </w:p>
    <w:bookmarkStart w:id="67" w:name="page68"/>
    <w:bookmarkEnd w:id="67"/>
    <w:p>
      <w:pPr>
        <w:spacing w:after="0" w:line="258" w:lineRule="exact"/>
        <w:rPr>
          <w:sz w:val="20"/>
          <w:szCs w:val="20"/>
          <w:color w:val="auto"/>
        </w:rPr>
      </w:pPr>
    </w:p>
    <w:p>
      <w:pPr>
        <w:ind w:left="900"/>
        <w:spacing w:after="0"/>
        <w:rPr>
          <w:sz w:val="20"/>
          <w:szCs w:val="20"/>
          <w:color w:val="auto"/>
        </w:rPr>
      </w:pPr>
      <w:r>
        <w:rPr>
          <w:rFonts w:ascii="Cambria" w:cs="Cambria" w:eastAsia="Cambria" w:hAnsi="Cambria"/>
          <w:sz w:val="29"/>
          <w:szCs w:val="29"/>
          <w:b w:val="1"/>
          <w:bCs w:val="1"/>
          <w:color w:val="auto"/>
        </w:rPr>
        <w:t>Preamble</w:t>
      </w:r>
    </w:p>
    <w:p>
      <w:pPr>
        <w:spacing w:after="0" w:line="128" w:lineRule="exact"/>
        <w:rPr>
          <w:sz w:val="20"/>
          <w:szCs w:val="20"/>
          <w:color w:val="auto"/>
        </w:rPr>
      </w:pPr>
    </w:p>
    <w:p>
      <w:pPr>
        <w:jc w:val="both"/>
        <w:ind w:left="900" w:right="900"/>
        <w:spacing w:after="0" w:line="242" w:lineRule="auto"/>
        <w:rPr>
          <w:sz w:val="20"/>
          <w:szCs w:val="20"/>
          <w:color w:val="auto"/>
        </w:rPr>
      </w:pPr>
      <w:r>
        <w:rPr>
          <w:rFonts w:ascii="Cambria" w:cs="Cambria" w:eastAsia="Cambria" w:hAnsi="Cambria"/>
          <w:sz w:val="20"/>
          <w:szCs w:val="20"/>
          <w:b w:val="1"/>
          <w:bCs w:val="1"/>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0820" w:val="left"/>
        </w:tabs>
        <w:rPr>
          <w:sz w:val="20"/>
          <w:szCs w:val="20"/>
          <w:color w:val="auto"/>
        </w:rPr>
      </w:pPr>
      <w:r>
        <w:rPr>
          <w:rFonts w:ascii="Cambria" w:cs="Cambria" w:eastAsia="Cambria" w:hAnsi="Cambria"/>
          <w:sz w:val="13"/>
          <w:szCs w:val="13"/>
          <w:b w:val="1"/>
          <w:bCs w:val="1"/>
          <w:color w:val="auto"/>
        </w:rPr>
        <w:t xml:space="preserve">Sandisk </w:t>
      </w:r>
      <w:r>
        <w:rPr>
          <w:rFonts w:ascii="Times New Roman" w:cs="Times New Roman" w:eastAsia="Times New Roman" w:hAnsi="Times New Roman"/>
          <w:sz w:val="13"/>
          <w:szCs w:val="13"/>
          <w:color w:val="auto"/>
        </w:rPr>
        <w:t>Corporation</w:t>
      </w:r>
      <w:r>
        <w:rPr>
          <w:rFonts w:ascii="Cambria" w:cs="Cambria" w:eastAsia="Cambria" w:hAnsi="Cambria"/>
          <w:sz w:val="13"/>
          <w:szCs w:val="13"/>
          <w:b w:val="1"/>
          <w:bCs w:val="1"/>
          <w:color w:val="auto"/>
        </w:rPr>
        <w:t xml:space="preserve"> Deferred Compensation Plan</w:t>
      </w:r>
      <w:r>
        <w:rPr>
          <w:sz w:val="20"/>
          <w:szCs w:val="20"/>
          <w:color w:val="auto"/>
        </w:rPr>
        <w:tab/>
      </w:r>
      <w:r>
        <w:rPr>
          <w:rFonts w:ascii="Times New Roman" w:cs="Times New Roman" w:eastAsia="Times New Roman" w:hAnsi="Times New Roman"/>
          <w:sz w:val="12"/>
          <w:szCs w:val="12"/>
          <w:color w:val="auto"/>
        </w:rPr>
        <w:t>TOC-1</w:t>
      </w:r>
    </w:p>
    <w:p>
      <w:pPr>
        <w:sectPr>
          <w:pgSz w:w="11900" w:h="16838" w:orient="portrait"/>
          <w:cols w:equalWidth="0" w:num="1">
            <w:col w:w="11200"/>
          </w:cols>
          <w:pgMar w:left="340" w:top="1440" w:right="359" w:bottom="1440" w:gutter="0" w:footer="0" w:header="0"/>
        </w:sectPr>
      </w:pPr>
    </w:p>
    <w:bookmarkStart w:id="68" w:name="page69"/>
    <w:bookmarkEnd w:id="68"/>
    <w:p>
      <w:pPr>
        <w:spacing w:after="0" w:line="231" w:lineRule="exact"/>
        <w:rPr>
          <w:sz w:val="20"/>
          <w:szCs w:val="20"/>
          <w:color w:val="auto"/>
        </w:rPr>
      </w:pPr>
    </w:p>
    <w:p>
      <w:pPr>
        <w:jc w:val="center"/>
        <w:ind w:right="7300"/>
        <w:spacing w:after="0"/>
        <w:tabs>
          <w:tab w:leader="none" w:pos="240" w:val="left"/>
        </w:tabs>
        <w:rPr>
          <w:sz w:val="20"/>
          <w:szCs w:val="20"/>
          <w:color w:val="auto"/>
        </w:rPr>
      </w:pPr>
      <w:r>
        <w:rPr>
          <w:rFonts w:ascii="Cambria" w:cs="Cambria" w:eastAsia="Cambria" w:hAnsi="Cambria"/>
          <w:sz w:val="29"/>
          <w:szCs w:val="29"/>
          <w:b w:val="1"/>
          <w:bCs w:val="1"/>
          <w:color w:val="auto"/>
        </w:rPr>
        <w:t>Article 1 -</w:t>
      </w:r>
      <w:r>
        <w:rPr>
          <w:sz w:val="20"/>
          <w:szCs w:val="20"/>
          <w:color w:val="auto"/>
        </w:rPr>
        <w:tab/>
      </w:r>
      <w:r>
        <w:rPr>
          <w:rFonts w:ascii="Cambria" w:cs="Cambria" w:eastAsia="Cambria" w:hAnsi="Cambria"/>
          <w:sz w:val="28"/>
          <w:szCs w:val="28"/>
          <w:b w:val="1"/>
          <w:bCs w:val="1"/>
          <w:color w:val="auto"/>
        </w:rPr>
        <w:t>General</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1.1.</w:t>
      </w:r>
      <w:r>
        <w:rPr>
          <w:sz w:val="20"/>
          <w:szCs w:val="20"/>
          <w:color w:val="auto"/>
        </w:rPr>
        <w:tab/>
      </w:r>
      <w:r>
        <w:rPr>
          <w:rFonts w:ascii="Cambria" w:cs="Cambria" w:eastAsia="Cambria" w:hAnsi="Cambria"/>
          <w:sz w:val="25"/>
          <w:szCs w:val="25"/>
          <w:b w:val="1"/>
          <w:bCs w:val="1"/>
          <w:i w:val="1"/>
          <w:iCs w:val="1"/>
          <w:color w:val="auto"/>
        </w:rPr>
        <w:t>Plan</w:t>
      </w:r>
    </w:p>
    <w:p>
      <w:pPr>
        <w:spacing w:after="0" w:line="91"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The Plan will be referred to by the name specified in the Adoption Agreement.</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1.2.</w:t>
      </w:r>
      <w:r>
        <w:rPr>
          <w:sz w:val="20"/>
          <w:szCs w:val="20"/>
          <w:color w:val="auto"/>
        </w:rPr>
        <w:tab/>
      </w:r>
      <w:r>
        <w:rPr>
          <w:rFonts w:ascii="Cambria" w:cs="Cambria" w:eastAsia="Cambria" w:hAnsi="Cambria"/>
          <w:sz w:val="25"/>
          <w:szCs w:val="25"/>
          <w:b w:val="1"/>
          <w:bCs w:val="1"/>
          <w:i w:val="1"/>
          <w:iCs w:val="1"/>
          <w:color w:val="auto"/>
        </w:rPr>
        <w:t>Effective Dates</w:t>
      </w:r>
    </w:p>
    <w:p>
      <w:pPr>
        <w:spacing w:after="0" w:line="82" w:lineRule="exact"/>
        <w:rPr>
          <w:sz w:val="20"/>
          <w:szCs w:val="20"/>
          <w:color w:val="auto"/>
        </w:rPr>
      </w:pPr>
    </w:p>
    <w:p>
      <w:pPr>
        <w:ind w:left="2860" w:right="920" w:hanging="658"/>
        <w:spacing w:after="0" w:line="244" w:lineRule="auto"/>
        <w:tabs>
          <w:tab w:leader="none" w:pos="2877" w:val="left"/>
        </w:tabs>
        <w:numPr>
          <w:ilvl w:val="0"/>
          <w:numId w:val="22"/>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Original Effective Date.</w:t>
      </w:r>
      <w:r>
        <w:rPr>
          <w:rFonts w:ascii="Cambria" w:cs="Cambria" w:eastAsia="Cambria" w:hAnsi="Cambria"/>
          <w:sz w:val="20"/>
          <w:szCs w:val="20"/>
          <w:b w:val="1"/>
          <w:bCs w:val="1"/>
          <w:color w:val="auto"/>
        </w:rPr>
        <w:t xml:space="preserve"> The Original Effective Date is the date as of which the Plan was initially adopted.</w:t>
      </w:r>
    </w:p>
    <w:p>
      <w:pPr>
        <w:spacing w:after="0" w:line="238" w:lineRule="exact"/>
        <w:rPr>
          <w:rFonts w:ascii="Cambria" w:cs="Cambria" w:eastAsia="Cambria" w:hAnsi="Cambria"/>
          <w:sz w:val="20"/>
          <w:szCs w:val="20"/>
          <w:b w:val="1"/>
          <w:bCs w:val="1"/>
          <w:color w:val="auto"/>
        </w:rPr>
      </w:pPr>
    </w:p>
    <w:p>
      <w:pPr>
        <w:jc w:val="both"/>
        <w:ind w:left="2860" w:right="900" w:hanging="658"/>
        <w:spacing w:after="0" w:line="244" w:lineRule="auto"/>
        <w:tabs>
          <w:tab w:leader="none" w:pos="2875" w:val="left"/>
        </w:tabs>
        <w:numPr>
          <w:ilvl w:val="0"/>
          <w:numId w:val="22"/>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Amendment Effective Date.</w:t>
      </w:r>
      <w:r>
        <w:rPr>
          <w:rFonts w:ascii="Cambria" w:cs="Cambria" w:eastAsia="Cambria" w:hAnsi="Cambria"/>
          <w:sz w:val="20"/>
          <w:szCs w:val="20"/>
          <w:b w:val="1"/>
          <w:bCs w:val="1"/>
          <w:color w:val="auto"/>
        </w:rPr>
        <w:t xml:space="preserve"> The Amendment Effective Date is the date specified in the Adoption Agreement as of which the Plan is amended and restated. Except as otherwise provided in the Adoption Agreement, all amounts deferred under the Plan prior to the Amendment Effective Date shall be governed by the terms of the Plan as in effect on the day before the Amendment Effective Date.</w:t>
      </w:r>
    </w:p>
    <w:p>
      <w:pPr>
        <w:spacing w:after="0" w:line="239" w:lineRule="exact"/>
        <w:rPr>
          <w:rFonts w:ascii="Cambria" w:cs="Cambria" w:eastAsia="Cambria" w:hAnsi="Cambria"/>
          <w:sz w:val="20"/>
          <w:szCs w:val="20"/>
          <w:b w:val="1"/>
          <w:bCs w:val="1"/>
          <w:color w:val="auto"/>
        </w:rPr>
      </w:pPr>
    </w:p>
    <w:p>
      <w:pPr>
        <w:jc w:val="both"/>
        <w:ind w:left="2860" w:right="900" w:hanging="658"/>
        <w:spacing w:after="0" w:line="242" w:lineRule="auto"/>
        <w:tabs>
          <w:tab w:leader="none" w:pos="2877" w:val="left"/>
        </w:tabs>
        <w:numPr>
          <w:ilvl w:val="0"/>
          <w:numId w:val="22"/>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Special Effective Date.</w:t>
      </w:r>
      <w:r>
        <w:rPr>
          <w:rFonts w:ascii="Cambria" w:cs="Cambria" w:eastAsia="Cambria" w:hAnsi="Cambria"/>
          <w:sz w:val="20"/>
          <w:szCs w:val="20"/>
          <w:b w:val="1"/>
          <w:bCs w:val="1"/>
          <w:color w:val="auto"/>
        </w:rPr>
        <w:t xml:space="preserve"> A Special Effective Date may apply to any given provision if so specified in Appendix A of the Adoption Agreement. A Special Effective Date will control over the Original Effective Date or Amendment Effective Date, whichever is applicable, with respect to such provision of the Plan.</w:t>
      </w:r>
    </w:p>
    <w:p>
      <w:pPr>
        <w:spacing w:after="0" w:line="231"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w:t>
      </w:r>
      <w:r>
        <w:rPr>
          <w:sz w:val="20"/>
          <w:szCs w:val="20"/>
          <w:color w:val="auto"/>
        </w:rPr>
        <w:tab/>
      </w:r>
      <w:r>
        <w:rPr>
          <w:rFonts w:ascii="Cambria" w:cs="Cambria" w:eastAsia="Cambria" w:hAnsi="Cambria"/>
          <w:sz w:val="25"/>
          <w:szCs w:val="25"/>
          <w:b w:val="1"/>
          <w:bCs w:val="1"/>
          <w:i w:val="1"/>
          <w:iCs w:val="1"/>
          <w:color w:val="auto"/>
        </w:rPr>
        <w:t>Amounts Not Subject to Code Section 409A</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Except as otherwise indicated by the Plan Sponsor in Section 1.01 of the Adoption Agreement, amounts deferred before January 1, 2005 that are earned and vested on December 31, 2004 will be separately accounted for and administered in accordance with the terms of the Plan as in effect on 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TOC-1-1</w:t>
      </w:r>
    </w:p>
    <w:p>
      <w:pPr>
        <w:sectPr>
          <w:pgSz w:w="11900" w:h="16838" w:orient="portrait"/>
          <w:cols w:equalWidth="0" w:num="1">
            <w:col w:w="11200"/>
          </w:cols>
          <w:pgMar w:left="340" w:top="1440" w:right="359" w:bottom="1440" w:gutter="0" w:footer="0" w:header="0"/>
        </w:sectPr>
      </w:pPr>
    </w:p>
    <w:bookmarkStart w:id="69" w:name="page70"/>
    <w:bookmarkEnd w:id="69"/>
    <w:p>
      <w:pPr>
        <w:spacing w:after="0" w:line="231" w:lineRule="exact"/>
        <w:rPr>
          <w:sz w:val="20"/>
          <w:szCs w:val="20"/>
          <w:color w:val="auto"/>
        </w:rPr>
      </w:pPr>
    </w:p>
    <w:p>
      <w:pPr>
        <w:ind w:left="660"/>
        <w:spacing w:after="0"/>
        <w:tabs>
          <w:tab w:leader="none" w:pos="2180" w:val="left"/>
        </w:tabs>
        <w:rPr>
          <w:sz w:val="20"/>
          <w:szCs w:val="20"/>
          <w:color w:val="auto"/>
        </w:rPr>
      </w:pPr>
      <w:r>
        <w:rPr>
          <w:rFonts w:ascii="Cambria" w:cs="Cambria" w:eastAsia="Cambria" w:hAnsi="Cambria"/>
          <w:sz w:val="29"/>
          <w:szCs w:val="29"/>
          <w:b w:val="1"/>
          <w:bCs w:val="1"/>
          <w:color w:val="auto"/>
        </w:rPr>
        <w:t>Article 2 -</w:t>
      </w:r>
      <w:r>
        <w:rPr>
          <w:sz w:val="20"/>
          <w:szCs w:val="20"/>
          <w:color w:val="auto"/>
        </w:rPr>
        <w:tab/>
      </w:r>
      <w:r>
        <w:rPr>
          <w:rFonts w:ascii="Cambria" w:cs="Cambria" w:eastAsia="Cambria" w:hAnsi="Cambria"/>
          <w:sz w:val="28"/>
          <w:szCs w:val="28"/>
          <w:b w:val="1"/>
          <w:bCs w:val="1"/>
          <w:color w:val="auto"/>
        </w:rPr>
        <w:t>Definitions</w:t>
      </w:r>
    </w:p>
    <w:p>
      <w:pPr>
        <w:spacing w:after="0" w:line="87" w:lineRule="exact"/>
        <w:rPr>
          <w:sz w:val="20"/>
          <w:szCs w:val="20"/>
          <w:color w:val="auto"/>
        </w:rPr>
      </w:pPr>
    </w:p>
    <w:p>
      <w:pPr>
        <w:ind w:left="900" w:right="900"/>
        <w:spacing w:after="0" w:line="244" w:lineRule="auto"/>
        <w:rPr>
          <w:sz w:val="20"/>
          <w:szCs w:val="20"/>
          <w:color w:val="auto"/>
        </w:rPr>
      </w:pPr>
      <w:r>
        <w:rPr>
          <w:rFonts w:ascii="Cambria" w:cs="Cambria" w:eastAsia="Cambria" w:hAnsi="Cambria"/>
          <w:sz w:val="20"/>
          <w:szCs w:val="20"/>
          <w:b w:val="1"/>
          <w:bCs w:val="1"/>
          <w:color w:val="auto"/>
        </w:rPr>
        <w:t>Wherever used herein, the following terms have the meanings set forth below, unless a different meaning is clearly required by the context:</w:t>
      </w:r>
    </w:p>
    <w:p>
      <w:pPr>
        <w:spacing w:after="0" w:line="22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w:t>
      </w:r>
      <w:r>
        <w:rPr>
          <w:sz w:val="20"/>
          <w:szCs w:val="20"/>
          <w:color w:val="auto"/>
        </w:rPr>
        <w:tab/>
      </w:r>
      <w:r>
        <w:rPr>
          <w:rFonts w:ascii="Cambria" w:cs="Cambria" w:eastAsia="Cambria" w:hAnsi="Cambria"/>
          <w:sz w:val="25"/>
          <w:szCs w:val="25"/>
          <w:b w:val="1"/>
          <w:bCs w:val="1"/>
          <w:i w:val="1"/>
          <w:iCs w:val="1"/>
          <w:color w:val="auto"/>
        </w:rPr>
        <w:t>Account</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“Account” means an account and any subaccounts established for the purpose of recording amounts credited on behalf of a Participant and any earnings,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231"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w:t>
      </w:r>
      <w:r>
        <w:rPr>
          <w:sz w:val="20"/>
          <w:szCs w:val="20"/>
          <w:color w:val="auto"/>
        </w:rPr>
        <w:tab/>
      </w:r>
      <w:r>
        <w:rPr>
          <w:rFonts w:ascii="Cambria" w:cs="Cambria" w:eastAsia="Cambria" w:hAnsi="Cambria"/>
          <w:sz w:val="25"/>
          <w:szCs w:val="25"/>
          <w:b w:val="1"/>
          <w:bCs w:val="1"/>
          <w:i w:val="1"/>
          <w:iCs w:val="1"/>
          <w:color w:val="auto"/>
        </w:rPr>
        <w:t>Administrator</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“Administrator” means the person or persons designated by the Plan Sponsor in Section 1.05 of the Adoption Agreement to be responsible for the administration of the Plan. If no Administrator is designated in the Adoption Agreement, the Administrator is the Plan Sponsor.</w:t>
      </w:r>
    </w:p>
    <w:p>
      <w:pPr>
        <w:spacing w:after="0" w:line="231"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2.3.</w:t>
      </w:r>
      <w:r>
        <w:rPr>
          <w:sz w:val="20"/>
          <w:szCs w:val="20"/>
          <w:color w:val="auto"/>
        </w:rPr>
        <w:tab/>
      </w:r>
      <w:r>
        <w:rPr>
          <w:rFonts w:ascii="Cambria" w:cs="Cambria" w:eastAsia="Cambria" w:hAnsi="Cambria"/>
          <w:sz w:val="25"/>
          <w:szCs w:val="25"/>
          <w:b w:val="1"/>
          <w:bCs w:val="1"/>
          <w:i w:val="1"/>
          <w:iCs w:val="1"/>
          <w:color w:val="auto"/>
        </w:rPr>
        <w:t>Adoption Agreement</w:t>
      </w:r>
    </w:p>
    <w:p>
      <w:pPr>
        <w:spacing w:after="0" w:line="82"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“Adoption Agreement” means the agreement adopted by the Plan Sponsor that establishes the Plan.</w:t>
      </w:r>
    </w:p>
    <w:p>
      <w:pPr>
        <w:spacing w:after="0" w:line="22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2.4.</w:t>
      </w:r>
      <w:r>
        <w:rPr>
          <w:sz w:val="20"/>
          <w:szCs w:val="20"/>
          <w:color w:val="auto"/>
        </w:rPr>
        <w:tab/>
      </w:r>
      <w:r>
        <w:rPr>
          <w:rFonts w:ascii="Cambria" w:cs="Cambria" w:eastAsia="Cambria" w:hAnsi="Cambria"/>
          <w:sz w:val="25"/>
          <w:szCs w:val="25"/>
          <w:b w:val="1"/>
          <w:bCs w:val="1"/>
          <w:i w:val="1"/>
          <w:iCs w:val="1"/>
          <w:color w:val="auto"/>
        </w:rPr>
        <w:t>Beneficiary</w:t>
      </w:r>
    </w:p>
    <w:p>
      <w:pPr>
        <w:spacing w:after="0" w:line="82" w:lineRule="exact"/>
        <w:rPr>
          <w:sz w:val="20"/>
          <w:szCs w:val="20"/>
          <w:color w:val="auto"/>
        </w:rPr>
      </w:pPr>
    </w:p>
    <w:p>
      <w:pPr>
        <w:jc w:val="both"/>
        <w:ind w:left="2200" w:right="920"/>
        <w:spacing w:after="0" w:line="244" w:lineRule="auto"/>
        <w:rPr>
          <w:sz w:val="20"/>
          <w:szCs w:val="20"/>
          <w:color w:val="auto"/>
        </w:rPr>
      </w:pPr>
      <w:r>
        <w:rPr>
          <w:rFonts w:ascii="Cambria" w:cs="Cambria" w:eastAsia="Cambria" w:hAnsi="Cambria"/>
          <w:sz w:val="20"/>
          <w:szCs w:val="20"/>
          <w:b w:val="1"/>
          <w:bCs w:val="1"/>
          <w:color w:val="auto"/>
        </w:rPr>
        <w:t>“Beneficiary” means the persons, trusts, estates, or other entities entitled under Section 8.2 to receive benefits under the Plan upon the death of a Participant.</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2.5.</w:t>
      </w:r>
      <w:r>
        <w:rPr>
          <w:sz w:val="20"/>
          <w:szCs w:val="20"/>
          <w:color w:val="auto"/>
        </w:rPr>
        <w:tab/>
      </w:r>
      <w:r>
        <w:rPr>
          <w:rFonts w:ascii="Cambria" w:cs="Cambria" w:eastAsia="Cambria" w:hAnsi="Cambria"/>
          <w:sz w:val="25"/>
          <w:szCs w:val="25"/>
          <w:b w:val="1"/>
          <w:bCs w:val="1"/>
          <w:i w:val="1"/>
          <w:iCs w:val="1"/>
          <w:color w:val="auto"/>
        </w:rPr>
        <w:t>Board or Board of Directors</w:t>
      </w:r>
    </w:p>
    <w:p>
      <w:pPr>
        <w:spacing w:after="0" w:line="91"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“Board” or “Board of Directors” means the Board of Directors of the Plan Sponsor.</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2.6.</w:t>
      </w:r>
      <w:r>
        <w:rPr>
          <w:sz w:val="20"/>
          <w:szCs w:val="20"/>
          <w:color w:val="auto"/>
        </w:rPr>
        <w:tab/>
      </w:r>
      <w:r>
        <w:rPr>
          <w:rFonts w:ascii="Cambria" w:cs="Cambria" w:eastAsia="Cambria" w:hAnsi="Cambria"/>
          <w:sz w:val="25"/>
          <w:szCs w:val="25"/>
          <w:b w:val="1"/>
          <w:bCs w:val="1"/>
          <w:i w:val="1"/>
          <w:iCs w:val="1"/>
          <w:color w:val="auto"/>
        </w:rPr>
        <w:t>Bonus</w:t>
      </w:r>
    </w:p>
    <w:p>
      <w:pPr>
        <w:spacing w:after="0" w:line="82" w:lineRule="exact"/>
        <w:rPr>
          <w:sz w:val="20"/>
          <w:szCs w:val="20"/>
          <w:color w:val="auto"/>
        </w:rPr>
      </w:pPr>
    </w:p>
    <w:p>
      <w:pPr>
        <w:jc w:val="both"/>
        <w:ind w:left="2200" w:right="920"/>
        <w:spacing w:after="0" w:line="244" w:lineRule="auto"/>
        <w:rPr>
          <w:sz w:val="20"/>
          <w:szCs w:val="20"/>
          <w:color w:val="auto"/>
        </w:rPr>
      </w:pPr>
      <w:r>
        <w:rPr>
          <w:rFonts w:ascii="Cambria" w:cs="Cambria" w:eastAsia="Cambria" w:hAnsi="Cambria"/>
          <w:sz w:val="20"/>
          <w:szCs w:val="20"/>
          <w:b w:val="1"/>
          <w:bCs w:val="1"/>
          <w:color w:val="auto"/>
        </w:rPr>
        <w:t>“Bonus” means an amount of incentive remuneration payable by the Employer to a Participant.</w:t>
      </w:r>
    </w:p>
    <w:p>
      <w:pPr>
        <w:spacing w:after="0" w:line="22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2.7.</w:t>
      </w:r>
      <w:r>
        <w:rPr>
          <w:sz w:val="20"/>
          <w:szCs w:val="20"/>
          <w:color w:val="auto"/>
        </w:rPr>
        <w:tab/>
      </w:r>
      <w:r>
        <w:rPr>
          <w:rFonts w:ascii="Cambria" w:cs="Cambria" w:eastAsia="Cambria" w:hAnsi="Cambria"/>
          <w:sz w:val="25"/>
          <w:szCs w:val="25"/>
          <w:b w:val="1"/>
          <w:bCs w:val="1"/>
          <w:i w:val="1"/>
          <w:iCs w:val="1"/>
          <w:color w:val="auto"/>
        </w:rPr>
        <w:t>Change in Control</w:t>
      </w:r>
    </w:p>
    <w:p>
      <w:pPr>
        <w:spacing w:after="0" w:line="82"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“Change in Control” means the occurrence of an event involving the Plan Sponsor that is described in Section 9.7.</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2.8.</w:t>
      </w:r>
      <w:r>
        <w:rPr>
          <w:sz w:val="20"/>
          <w:szCs w:val="20"/>
          <w:color w:val="auto"/>
        </w:rPr>
        <w:tab/>
      </w:r>
      <w:r>
        <w:rPr>
          <w:rFonts w:ascii="Cambria" w:cs="Cambria" w:eastAsia="Cambria" w:hAnsi="Cambria"/>
          <w:sz w:val="24"/>
          <w:szCs w:val="24"/>
          <w:b w:val="1"/>
          <w:bCs w:val="1"/>
          <w:i w:val="1"/>
          <w:iCs w:val="1"/>
          <w:color w:val="auto"/>
        </w:rPr>
        <w:t>Code</w:t>
      </w:r>
    </w:p>
    <w:p>
      <w:pPr>
        <w:spacing w:after="0" w:line="91"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“Code” means the Internal Revenue Code of 1986, as amended.</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2.9.</w:t>
      </w:r>
      <w:r>
        <w:rPr>
          <w:sz w:val="20"/>
          <w:szCs w:val="20"/>
          <w:color w:val="auto"/>
        </w:rPr>
        <w:tab/>
      </w:r>
      <w:r>
        <w:rPr>
          <w:rFonts w:ascii="Cambria" w:cs="Cambria" w:eastAsia="Cambria" w:hAnsi="Cambria"/>
          <w:sz w:val="25"/>
          <w:szCs w:val="25"/>
          <w:b w:val="1"/>
          <w:bCs w:val="1"/>
          <w:i w:val="1"/>
          <w:iCs w:val="1"/>
          <w:color w:val="auto"/>
        </w:rPr>
        <w:t>Compensation</w:t>
      </w:r>
    </w:p>
    <w:p>
      <w:pPr>
        <w:spacing w:after="0" w:line="78"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“Compensation” has the meaning specified in Section 3.01 of the Adoption Agreement.</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2.10.</w:t>
      </w:r>
      <w:r>
        <w:rPr>
          <w:sz w:val="20"/>
          <w:szCs w:val="20"/>
          <w:color w:val="auto"/>
        </w:rPr>
        <w:tab/>
      </w:r>
      <w:r>
        <w:rPr>
          <w:rFonts w:ascii="Cambria" w:cs="Cambria" w:eastAsia="Cambria" w:hAnsi="Cambria"/>
          <w:sz w:val="25"/>
          <w:szCs w:val="25"/>
          <w:b w:val="1"/>
          <w:bCs w:val="1"/>
          <w:i w:val="1"/>
          <w:iCs w:val="1"/>
          <w:color w:val="auto"/>
        </w:rPr>
        <w:t>Director</w:t>
      </w:r>
    </w:p>
    <w:p>
      <w:pPr>
        <w:spacing w:after="0" w:line="96" w:lineRule="exact"/>
        <w:rPr>
          <w:sz w:val="20"/>
          <w:szCs w:val="20"/>
          <w:color w:val="auto"/>
        </w:rPr>
      </w:pPr>
    </w:p>
    <w:p>
      <w:pPr>
        <w:jc w:val="both"/>
        <w:ind w:left="2200" w:right="900"/>
        <w:spacing w:after="0" w:line="235" w:lineRule="auto"/>
        <w:rPr>
          <w:sz w:val="20"/>
          <w:szCs w:val="20"/>
          <w:color w:val="auto"/>
        </w:rPr>
      </w:pPr>
      <w:r>
        <w:rPr>
          <w:rFonts w:ascii="Cambria" w:cs="Cambria" w:eastAsia="Cambria" w:hAnsi="Cambria"/>
          <w:sz w:val="20"/>
          <w:szCs w:val="20"/>
          <w:b w:val="1"/>
          <w:bCs w:val="1"/>
          <w:color w:val="auto"/>
        </w:rPr>
        <w:t>“Director” means a non -employee member of the Board who has been designated by the Employer as eligible to participate in the Plan.</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TOC-2-1</w:t>
      </w:r>
    </w:p>
    <w:p>
      <w:pPr>
        <w:sectPr>
          <w:pgSz w:w="11900" w:h="16838" w:orient="portrait"/>
          <w:cols w:equalWidth="0" w:num="1">
            <w:col w:w="11200"/>
          </w:cols>
          <w:pgMar w:left="340" w:top="1440" w:right="359" w:bottom="1440" w:gutter="0" w:footer="0" w:header="0"/>
          <w:type w:val="continuous"/>
        </w:sectPr>
      </w:pPr>
    </w:p>
    <w:bookmarkStart w:id="70" w:name="page71"/>
    <w:bookmarkEnd w:id="70"/>
    <w:p>
      <w:pPr>
        <w:spacing w:after="0" w:line="200" w:lineRule="exact"/>
        <w:rPr>
          <w:sz w:val="20"/>
          <w:szCs w:val="20"/>
          <w:color w:val="auto"/>
        </w:rPr>
      </w:pPr>
    </w:p>
    <w:p>
      <w:pPr>
        <w:spacing w:after="0" w:line="286"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2.11.</w:t>
      </w:r>
      <w:r>
        <w:rPr>
          <w:sz w:val="20"/>
          <w:szCs w:val="20"/>
          <w:color w:val="auto"/>
        </w:rPr>
        <w:tab/>
      </w:r>
      <w:r>
        <w:rPr>
          <w:rFonts w:ascii="Cambria" w:cs="Cambria" w:eastAsia="Cambria" w:hAnsi="Cambria"/>
          <w:sz w:val="25"/>
          <w:szCs w:val="25"/>
          <w:b w:val="1"/>
          <w:bCs w:val="1"/>
          <w:i w:val="1"/>
          <w:iCs w:val="1"/>
          <w:color w:val="auto"/>
        </w:rPr>
        <w:t>Disability</w:t>
      </w:r>
    </w:p>
    <w:p>
      <w:pPr>
        <w:spacing w:after="0" w:line="96" w:lineRule="exact"/>
        <w:rPr>
          <w:sz w:val="20"/>
          <w:szCs w:val="20"/>
          <w:color w:val="auto"/>
        </w:rPr>
      </w:pPr>
    </w:p>
    <w:p>
      <w:pPr>
        <w:jc w:val="both"/>
        <w:ind w:left="2200" w:right="900"/>
        <w:spacing w:after="0" w:line="235" w:lineRule="auto"/>
        <w:rPr>
          <w:sz w:val="20"/>
          <w:szCs w:val="20"/>
          <w:color w:val="auto"/>
        </w:rPr>
      </w:pPr>
      <w:r>
        <w:rPr>
          <w:rFonts w:ascii="Cambria" w:cs="Cambria" w:eastAsia="Cambria" w:hAnsi="Cambria"/>
          <w:sz w:val="20"/>
          <w:szCs w:val="20"/>
          <w:b w:val="1"/>
          <w:bCs w:val="1"/>
          <w:color w:val="auto"/>
        </w:rPr>
        <w:t>“Disability” means that a Participant is disabled as defined in Section 6.01(i) of the Adoption Agreement.</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2.12.</w:t>
      </w:r>
      <w:r>
        <w:rPr>
          <w:sz w:val="20"/>
          <w:szCs w:val="20"/>
          <w:color w:val="auto"/>
        </w:rPr>
        <w:tab/>
      </w:r>
      <w:r>
        <w:rPr>
          <w:rFonts w:ascii="Cambria" w:cs="Cambria" w:eastAsia="Cambria" w:hAnsi="Cambria"/>
          <w:sz w:val="25"/>
          <w:szCs w:val="25"/>
          <w:b w:val="1"/>
          <w:bCs w:val="1"/>
          <w:i w:val="1"/>
          <w:iCs w:val="1"/>
          <w:color w:val="auto"/>
        </w:rPr>
        <w:t>Eligible Employee</w:t>
      </w:r>
    </w:p>
    <w:p>
      <w:pPr>
        <w:spacing w:after="0" w:line="96" w:lineRule="exact"/>
        <w:rPr>
          <w:sz w:val="20"/>
          <w:szCs w:val="20"/>
          <w:color w:val="auto"/>
        </w:rPr>
      </w:pPr>
    </w:p>
    <w:p>
      <w:pPr>
        <w:jc w:val="both"/>
        <w:ind w:left="2200" w:right="900"/>
        <w:spacing w:after="0" w:line="235" w:lineRule="auto"/>
        <w:rPr>
          <w:sz w:val="20"/>
          <w:szCs w:val="20"/>
          <w:color w:val="auto"/>
        </w:rPr>
      </w:pPr>
      <w:r>
        <w:rPr>
          <w:rFonts w:ascii="Cambria" w:cs="Cambria" w:eastAsia="Cambria" w:hAnsi="Cambria"/>
          <w:sz w:val="20"/>
          <w:szCs w:val="20"/>
          <w:b w:val="1"/>
          <w:bCs w:val="1"/>
          <w:color w:val="auto"/>
        </w:rPr>
        <w:t>“Eligible Employee” means an employee of the Employer who satisfies the requirements in Section 2.01 of the Adoption Agreement.</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2.13.</w:t>
      </w:r>
      <w:r>
        <w:rPr>
          <w:sz w:val="20"/>
          <w:szCs w:val="20"/>
          <w:color w:val="auto"/>
        </w:rPr>
        <w:tab/>
      </w:r>
      <w:r>
        <w:rPr>
          <w:rFonts w:ascii="Cambria" w:cs="Cambria" w:eastAsia="Cambria" w:hAnsi="Cambria"/>
          <w:sz w:val="25"/>
          <w:szCs w:val="25"/>
          <w:b w:val="1"/>
          <w:bCs w:val="1"/>
          <w:i w:val="1"/>
          <w:iCs w:val="1"/>
          <w:color w:val="auto"/>
        </w:rPr>
        <w:t>Employer</w:t>
      </w:r>
    </w:p>
    <w:p>
      <w:pPr>
        <w:spacing w:after="0" w:line="82" w:lineRule="exact"/>
        <w:rPr>
          <w:sz w:val="20"/>
          <w:szCs w:val="20"/>
          <w:color w:val="auto"/>
        </w:rPr>
      </w:pPr>
    </w:p>
    <w:p>
      <w:pPr>
        <w:jc w:val="both"/>
        <w:ind w:left="2200" w:right="900"/>
        <w:spacing w:after="0" w:line="246" w:lineRule="auto"/>
        <w:rPr>
          <w:sz w:val="20"/>
          <w:szCs w:val="20"/>
          <w:color w:val="auto"/>
        </w:rPr>
      </w:pPr>
      <w:r>
        <w:rPr>
          <w:rFonts w:ascii="Cambria" w:cs="Cambria" w:eastAsia="Cambria" w:hAnsi="Cambria"/>
          <w:sz w:val="20"/>
          <w:szCs w:val="20"/>
          <w:b w:val="1"/>
          <w:bCs w:val="1"/>
          <w:color w:val="auto"/>
        </w:rPr>
        <w:t>“Employer” means the Plan Sponsor and any other Related Employer that is listed in Section 1.04 of the Adoption Agreement and which is authorized by the Plan Sponsor to participate in and, in fact, does adopt the Plan.</w:t>
      </w:r>
    </w:p>
    <w:p>
      <w:pPr>
        <w:spacing w:after="0" w:line="21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2.14.</w:t>
      </w:r>
      <w:r>
        <w:rPr>
          <w:sz w:val="20"/>
          <w:szCs w:val="20"/>
          <w:color w:val="auto"/>
        </w:rPr>
        <w:tab/>
      </w:r>
      <w:r>
        <w:rPr>
          <w:rFonts w:ascii="Cambria" w:cs="Cambria" w:eastAsia="Cambria" w:hAnsi="Cambria"/>
          <w:sz w:val="24"/>
          <w:szCs w:val="24"/>
          <w:b w:val="1"/>
          <w:bCs w:val="1"/>
          <w:i w:val="1"/>
          <w:iCs w:val="1"/>
          <w:color w:val="auto"/>
        </w:rPr>
        <w:t>ERISA</w:t>
      </w:r>
    </w:p>
    <w:p>
      <w:pPr>
        <w:spacing w:after="0" w:line="91"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“ERISA” means the Employee Retirement Income Security Act of 1974, as amended.</w:t>
      </w:r>
    </w:p>
    <w:p>
      <w:pPr>
        <w:spacing w:after="0" w:line="21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2.15.</w:t>
      </w:r>
      <w:r>
        <w:rPr>
          <w:sz w:val="20"/>
          <w:szCs w:val="20"/>
          <w:color w:val="auto"/>
        </w:rPr>
        <w:tab/>
      </w:r>
      <w:r>
        <w:rPr>
          <w:rFonts w:ascii="Cambria" w:cs="Cambria" w:eastAsia="Cambria" w:hAnsi="Cambria"/>
          <w:sz w:val="25"/>
          <w:szCs w:val="25"/>
          <w:b w:val="1"/>
          <w:bCs w:val="1"/>
          <w:i w:val="1"/>
          <w:iCs w:val="1"/>
          <w:color w:val="auto"/>
        </w:rPr>
        <w:t>Identification Date</w:t>
      </w:r>
    </w:p>
    <w:p>
      <w:pPr>
        <w:spacing w:after="0" w:line="96" w:lineRule="exact"/>
        <w:rPr>
          <w:sz w:val="20"/>
          <w:szCs w:val="20"/>
          <w:color w:val="auto"/>
        </w:rPr>
      </w:pPr>
    </w:p>
    <w:p>
      <w:pPr>
        <w:jc w:val="both"/>
        <w:ind w:left="2200" w:right="920"/>
        <w:spacing w:after="0" w:line="244" w:lineRule="auto"/>
        <w:rPr>
          <w:sz w:val="20"/>
          <w:szCs w:val="20"/>
          <w:color w:val="auto"/>
        </w:rPr>
      </w:pPr>
      <w:r>
        <w:rPr>
          <w:rFonts w:ascii="Cambria" w:cs="Cambria" w:eastAsia="Cambria" w:hAnsi="Cambria"/>
          <w:sz w:val="20"/>
          <w:szCs w:val="20"/>
          <w:b w:val="1"/>
          <w:bCs w:val="1"/>
          <w:color w:val="auto"/>
        </w:rPr>
        <w:t>“Identification Date” means the date as of which Key Employees are determined which is specified in Section 1.06 of the Adoption Agreement.</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2.16.</w:t>
      </w:r>
      <w:r>
        <w:rPr>
          <w:sz w:val="20"/>
          <w:szCs w:val="20"/>
          <w:color w:val="auto"/>
        </w:rPr>
        <w:tab/>
      </w:r>
      <w:r>
        <w:rPr>
          <w:rFonts w:ascii="Cambria" w:cs="Cambria" w:eastAsia="Cambria" w:hAnsi="Cambria"/>
          <w:sz w:val="24"/>
          <w:szCs w:val="24"/>
          <w:b w:val="1"/>
          <w:bCs w:val="1"/>
          <w:i w:val="1"/>
          <w:iCs w:val="1"/>
          <w:color w:val="auto"/>
        </w:rPr>
        <w:t>Key Employee</w:t>
      </w:r>
    </w:p>
    <w:p>
      <w:pPr>
        <w:spacing w:after="0" w:line="96"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“Key Employee” means an employee who satisfies the conditions set forth in Section 9.6.</w:t>
      </w:r>
    </w:p>
    <w:p>
      <w:pPr>
        <w:spacing w:after="0" w:line="200" w:lineRule="exact"/>
        <w:rPr>
          <w:sz w:val="20"/>
          <w:szCs w:val="20"/>
          <w:color w:val="auto"/>
        </w:rPr>
      </w:pPr>
    </w:p>
    <w:p>
      <w:pPr>
        <w:spacing w:after="0" w:line="257"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2.17.</w:t>
      </w:r>
      <w:r>
        <w:rPr>
          <w:sz w:val="20"/>
          <w:szCs w:val="20"/>
          <w:color w:val="auto"/>
        </w:rPr>
        <w:tab/>
      </w:r>
      <w:r>
        <w:rPr>
          <w:rFonts w:ascii="Cambria" w:cs="Cambria" w:eastAsia="Cambria" w:hAnsi="Cambria"/>
          <w:sz w:val="24"/>
          <w:szCs w:val="24"/>
          <w:b w:val="1"/>
          <w:bCs w:val="1"/>
          <w:i w:val="1"/>
          <w:iCs w:val="1"/>
          <w:color w:val="auto"/>
        </w:rPr>
        <w:t>Participant</w:t>
      </w:r>
    </w:p>
    <w:p>
      <w:pPr>
        <w:spacing w:after="0" w:line="96" w:lineRule="exact"/>
        <w:rPr>
          <w:sz w:val="20"/>
          <w:szCs w:val="20"/>
          <w:color w:val="auto"/>
        </w:rPr>
      </w:pPr>
    </w:p>
    <w:p>
      <w:pPr>
        <w:jc w:val="both"/>
        <w:ind w:left="2200" w:right="900"/>
        <w:spacing w:after="0" w:line="235" w:lineRule="auto"/>
        <w:rPr>
          <w:sz w:val="20"/>
          <w:szCs w:val="20"/>
          <w:color w:val="auto"/>
        </w:rPr>
      </w:pPr>
      <w:r>
        <w:rPr>
          <w:rFonts w:ascii="Cambria" w:cs="Cambria" w:eastAsia="Cambria" w:hAnsi="Cambria"/>
          <w:sz w:val="20"/>
          <w:szCs w:val="20"/>
          <w:b w:val="1"/>
          <w:bCs w:val="1"/>
          <w:color w:val="auto"/>
        </w:rPr>
        <w:t>“Participant” means an Eligible Employee or Director who commences participation in the Plan in accordance with Article 3.</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2.18.</w:t>
      </w:r>
      <w:r>
        <w:rPr>
          <w:sz w:val="20"/>
          <w:szCs w:val="20"/>
          <w:color w:val="auto"/>
        </w:rPr>
        <w:tab/>
      </w:r>
      <w:r>
        <w:rPr>
          <w:rFonts w:ascii="Cambria" w:cs="Cambria" w:eastAsia="Cambria" w:hAnsi="Cambria"/>
          <w:sz w:val="25"/>
          <w:szCs w:val="25"/>
          <w:b w:val="1"/>
          <w:bCs w:val="1"/>
          <w:i w:val="1"/>
          <w:iCs w:val="1"/>
          <w:color w:val="auto"/>
        </w:rPr>
        <w:t>Plan</w:t>
      </w:r>
    </w:p>
    <w:p>
      <w:pPr>
        <w:spacing w:after="0" w:line="96" w:lineRule="exact"/>
        <w:rPr>
          <w:sz w:val="20"/>
          <w:szCs w:val="20"/>
          <w:color w:val="auto"/>
        </w:rPr>
      </w:pPr>
    </w:p>
    <w:p>
      <w:pPr>
        <w:jc w:val="both"/>
        <w:ind w:left="2200" w:right="900"/>
        <w:spacing w:after="0" w:line="239" w:lineRule="auto"/>
        <w:rPr>
          <w:sz w:val="20"/>
          <w:szCs w:val="20"/>
          <w:color w:val="auto"/>
        </w:rPr>
      </w:pPr>
      <w:r>
        <w:rPr>
          <w:rFonts w:ascii="Cambria" w:cs="Cambria" w:eastAsia="Cambria" w:hAnsi="Cambria"/>
          <w:sz w:val="20"/>
          <w:szCs w:val="20"/>
          <w:b w:val="1"/>
          <w:bCs w:val="1"/>
          <w:color w:val="auto"/>
        </w:rPr>
        <w:t>“Plan” means the unfunded plan of deferred compensation set forth herein, including the Adoption Agreement and any trust agreement, as adopted by the Plan Sponsor, and as amended from time to time.</w:t>
      </w:r>
    </w:p>
    <w:p>
      <w:pPr>
        <w:spacing w:after="0" w:line="220"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2.19.</w:t>
      </w:r>
      <w:r>
        <w:rPr>
          <w:sz w:val="20"/>
          <w:szCs w:val="20"/>
          <w:color w:val="auto"/>
        </w:rPr>
        <w:tab/>
      </w:r>
      <w:r>
        <w:rPr>
          <w:rFonts w:ascii="Cambria" w:cs="Cambria" w:eastAsia="Cambria" w:hAnsi="Cambria"/>
          <w:sz w:val="25"/>
          <w:szCs w:val="25"/>
          <w:b w:val="1"/>
          <w:bCs w:val="1"/>
          <w:i w:val="1"/>
          <w:iCs w:val="1"/>
          <w:color w:val="auto"/>
        </w:rPr>
        <w:t>Plan Sponsor</w:t>
      </w:r>
    </w:p>
    <w:p>
      <w:pPr>
        <w:spacing w:after="0" w:line="96" w:lineRule="exact"/>
        <w:rPr>
          <w:sz w:val="20"/>
          <w:szCs w:val="20"/>
          <w:color w:val="auto"/>
        </w:rPr>
      </w:pPr>
    </w:p>
    <w:p>
      <w:pPr>
        <w:jc w:val="both"/>
        <w:ind w:left="2200" w:right="920"/>
        <w:spacing w:after="0" w:line="244" w:lineRule="auto"/>
        <w:rPr>
          <w:sz w:val="20"/>
          <w:szCs w:val="20"/>
          <w:color w:val="auto"/>
        </w:rPr>
      </w:pPr>
      <w:r>
        <w:rPr>
          <w:rFonts w:ascii="Cambria" w:cs="Cambria" w:eastAsia="Cambria" w:hAnsi="Cambria"/>
          <w:sz w:val="20"/>
          <w:szCs w:val="20"/>
          <w:b w:val="1"/>
          <w:bCs w:val="1"/>
          <w:color w:val="auto"/>
        </w:rPr>
        <w:t>“Plan Sponsor” means the entity identified in Section 1.03 of the Adoption Agreement or any successor by merger, consolidation or otherwise.</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2.20.</w:t>
      </w:r>
      <w:r>
        <w:rPr>
          <w:sz w:val="20"/>
          <w:szCs w:val="20"/>
          <w:color w:val="auto"/>
        </w:rPr>
        <w:tab/>
      </w:r>
      <w:r>
        <w:rPr>
          <w:rFonts w:ascii="Cambria" w:cs="Cambria" w:eastAsia="Cambria" w:hAnsi="Cambria"/>
          <w:sz w:val="24"/>
          <w:szCs w:val="24"/>
          <w:b w:val="1"/>
          <w:bCs w:val="1"/>
          <w:i w:val="1"/>
          <w:iCs w:val="1"/>
          <w:color w:val="auto"/>
        </w:rPr>
        <w:t>Plan Year</w:t>
      </w:r>
    </w:p>
    <w:p>
      <w:pPr>
        <w:spacing w:after="0" w:line="91"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“Plan Year” means the period identified in Section 1.02 of the Adoption Agreement.</w:t>
      </w:r>
    </w:p>
    <w:p>
      <w:pPr>
        <w:spacing w:after="0" w:line="21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2.21.</w:t>
      </w:r>
      <w:r>
        <w:rPr>
          <w:sz w:val="20"/>
          <w:szCs w:val="20"/>
          <w:color w:val="auto"/>
        </w:rPr>
        <w:tab/>
      </w:r>
      <w:r>
        <w:rPr>
          <w:rFonts w:ascii="Cambria" w:cs="Cambria" w:eastAsia="Cambria" w:hAnsi="Cambria"/>
          <w:sz w:val="24"/>
          <w:szCs w:val="24"/>
          <w:b w:val="1"/>
          <w:bCs w:val="1"/>
          <w:i w:val="1"/>
          <w:iCs w:val="1"/>
          <w:color w:val="auto"/>
        </w:rPr>
        <w:t>Related Employer</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“Related Employer” means the Plan Sponsor and (a) any corporation that is a member of a controlled group of corporations as defined in Code Section 414(b) that includes the Plan Sponsor and (b) any trade or business that is under common control as defined in Code Section 414(c) that includes the Plan Sponsor.</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TOC-2-2</w:t>
      </w:r>
    </w:p>
    <w:p>
      <w:pPr>
        <w:sectPr>
          <w:pgSz w:w="11900" w:h="16838" w:orient="portrait"/>
          <w:cols w:equalWidth="0" w:num="1">
            <w:col w:w="11200"/>
          </w:cols>
          <w:pgMar w:left="340" w:top="1440" w:right="359" w:bottom="1440" w:gutter="0" w:footer="0" w:header="0"/>
          <w:type w:val="continuous"/>
        </w:sectPr>
      </w:pPr>
    </w:p>
    <w:bookmarkStart w:id="71" w:name="page72"/>
    <w:bookmarkEnd w:id="71"/>
    <w:p>
      <w:pPr>
        <w:spacing w:after="0" w:line="24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2.22.</w:t>
      </w:r>
      <w:r>
        <w:rPr>
          <w:sz w:val="20"/>
          <w:szCs w:val="20"/>
          <w:color w:val="auto"/>
        </w:rPr>
        <w:tab/>
      </w:r>
      <w:r>
        <w:rPr>
          <w:rFonts w:ascii="Cambria" w:cs="Cambria" w:eastAsia="Cambria" w:hAnsi="Cambria"/>
          <w:sz w:val="24"/>
          <w:szCs w:val="24"/>
          <w:b w:val="1"/>
          <w:bCs w:val="1"/>
          <w:i w:val="1"/>
          <w:iCs w:val="1"/>
          <w:color w:val="auto"/>
        </w:rPr>
        <w:t>Retirement</w:t>
      </w:r>
    </w:p>
    <w:p>
      <w:pPr>
        <w:spacing w:after="0" w:line="91"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“Retirement” has the meaning specified in 6.01(f) of the Adoption Agreement.</w:t>
      </w:r>
    </w:p>
    <w:p>
      <w:pPr>
        <w:spacing w:after="0" w:line="21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2.23.</w:t>
      </w:r>
      <w:r>
        <w:rPr>
          <w:sz w:val="20"/>
          <w:szCs w:val="20"/>
          <w:color w:val="auto"/>
        </w:rPr>
        <w:tab/>
      </w:r>
      <w:r>
        <w:rPr>
          <w:rFonts w:ascii="Cambria" w:cs="Cambria" w:eastAsia="Cambria" w:hAnsi="Cambria"/>
          <w:sz w:val="25"/>
          <w:szCs w:val="25"/>
          <w:b w:val="1"/>
          <w:bCs w:val="1"/>
          <w:i w:val="1"/>
          <w:iCs w:val="1"/>
          <w:color w:val="auto"/>
        </w:rPr>
        <w:t>Separation from Service</w:t>
      </w:r>
    </w:p>
    <w:p>
      <w:pPr>
        <w:spacing w:after="0" w:line="96"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“Separation from Service” means the date that the Participant dies, retires, or otherwise has a termination of 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spacing w:after="0" w:line="240"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spacing w:after="0" w:line="262"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1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24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TOC-2-3</w:t>
      </w:r>
    </w:p>
    <w:p>
      <w:pPr>
        <w:sectPr>
          <w:pgSz w:w="11900" w:h="16838" w:orient="portrait"/>
          <w:cols w:equalWidth="0" w:num="1">
            <w:col w:w="11200"/>
          </w:cols>
          <w:pgMar w:left="340" w:top="1440" w:right="359" w:bottom="1440" w:gutter="0" w:footer="0" w:header="0"/>
          <w:type w:val="continuous"/>
        </w:sectPr>
      </w:pPr>
    </w:p>
    <w:bookmarkStart w:id="72" w:name="page73"/>
    <w:bookmarkEnd w:id="72"/>
    <w:p>
      <w:pPr>
        <w:spacing w:after="0" w:line="267"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under Code Section 409A with any plan in which the Participant participates as a Director.</w:t>
      </w:r>
    </w:p>
    <w:p>
      <w:pPr>
        <w:spacing w:after="0" w:line="239"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spacing w:after="0" w:line="242"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All determinations of whether a Separation from Service has occurred will be made in a manner consistent with Code Section 409A and the final regulations thereunder.</w:t>
      </w:r>
    </w:p>
    <w:p>
      <w:pPr>
        <w:spacing w:after="0" w:line="22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2.24.</w:t>
      </w:r>
      <w:r>
        <w:rPr>
          <w:sz w:val="20"/>
          <w:szCs w:val="20"/>
          <w:color w:val="auto"/>
        </w:rPr>
        <w:tab/>
      </w:r>
      <w:r>
        <w:rPr>
          <w:rFonts w:ascii="Cambria" w:cs="Cambria" w:eastAsia="Cambria" w:hAnsi="Cambria"/>
          <w:sz w:val="25"/>
          <w:szCs w:val="25"/>
          <w:b w:val="1"/>
          <w:bCs w:val="1"/>
          <w:i w:val="1"/>
          <w:iCs w:val="1"/>
          <w:color w:val="auto"/>
        </w:rPr>
        <w:t>Unforeseeable Emergency</w:t>
      </w:r>
    </w:p>
    <w:p>
      <w:pPr>
        <w:spacing w:after="0" w:line="82"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“Unforeseeable Emergency” means a severe financial hardship of the Participant resulting from an illness or accident of the Participant, the Participant’s spouse, the Participant’s Beneficiary, or the Participant’s dependent (as defined in Code Section 152, without regard to Code section 152(b)(1), (b)(2) and (d)(1)(B); loss of the Participant’s property due to casualty; or other similar extraordinary and unforeseeable circumstances arising as a result of events beyond the control of the Participant.</w:t>
      </w:r>
    </w:p>
    <w:p>
      <w:pPr>
        <w:spacing w:after="0" w:line="217"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2.25.</w:t>
      </w:r>
      <w:r>
        <w:rPr>
          <w:sz w:val="20"/>
          <w:szCs w:val="20"/>
          <w:color w:val="auto"/>
        </w:rPr>
        <w:tab/>
      </w:r>
      <w:r>
        <w:rPr>
          <w:rFonts w:ascii="Cambria" w:cs="Cambria" w:eastAsia="Cambria" w:hAnsi="Cambria"/>
          <w:sz w:val="24"/>
          <w:szCs w:val="24"/>
          <w:b w:val="1"/>
          <w:bCs w:val="1"/>
          <w:i w:val="1"/>
          <w:iCs w:val="1"/>
          <w:color w:val="auto"/>
        </w:rPr>
        <w:t>Valuation Date</w:t>
      </w:r>
    </w:p>
    <w:p>
      <w:pPr>
        <w:spacing w:after="0" w:line="96" w:lineRule="exact"/>
        <w:rPr>
          <w:sz w:val="20"/>
          <w:szCs w:val="20"/>
          <w:color w:val="auto"/>
        </w:rPr>
      </w:pPr>
    </w:p>
    <w:p>
      <w:pPr>
        <w:jc w:val="both"/>
        <w:ind w:left="2200" w:right="920"/>
        <w:spacing w:after="0" w:line="244" w:lineRule="auto"/>
        <w:rPr>
          <w:sz w:val="20"/>
          <w:szCs w:val="20"/>
          <w:color w:val="auto"/>
        </w:rPr>
      </w:pPr>
      <w:r>
        <w:rPr>
          <w:rFonts w:ascii="Cambria" w:cs="Cambria" w:eastAsia="Cambria" w:hAnsi="Cambria"/>
          <w:sz w:val="20"/>
          <w:szCs w:val="20"/>
          <w:b w:val="1"/>
          <w:bCs w:val="1"/>
          <w:color w:val="auto"/>
        </w:rPr>
        <w:t>“Valuation Date” means each business day of the Plan Year that the New York Stock Exchange is open.</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2.26.</w:t>
      </w:r>
      <w:r>
        <w:rPr>
          <w:sz w:val="20"/>
          <w:szCs w:val="20"/>
          <w:color w:val="auto"/>
        </w:rPr>
        <w:tab/>
      </w:r>
      <w:r>
        <w:rPr>
          <w:rFonts w:ascii="Cambria" w:cs="Cambria" w:eastAsia="Cambria" w:hAnsi="Cambria"/>
          <w:sz w:val="24"/>
          <w:szCs w:val="24"/>
          <w:b w:val="1"/>
          <w:bCs w:val="1"/>
          <w:i w:val="1"/>
          <w:iCs w:val="1"/>
          <w:color w:val="auto"/>
        </w:rPr>
        <w:t>Years of Service</w:t>
      </w:r>
    </w:p>
    <w:p>
      <w:pPr>
        <w:spacing w:after="0" w:line="96" w:lineRule="exact"/>
        <w:rPr>
          <w:sz w:val="20"/>
          <w:szCs w:val="20"/>
          <w:color w:val="auto"/>
        </w:rPr>
      </w:pPr>
    </w:p>
    <w:p>
      <w:pPr>
        <w:jc w:val="both"/>
        <w:ind w:left="2200" w:right="900"/>
        <w:spacing w:after="0" w:line="239" w:lineRule="auto"/>
        <w:rPr>
          <w:sz w:val="20"/>
          <w:szCs w:val="20"/>
          <w:color w:val="auto"/>
        </w:rPr>
      </w:pPr>
      <w:r>
        <w:rPr>
          <w:rFonts w:ascii="Cambria" w:cs="Cambria" w:eastAsia="Cambria" w:hAnsi="Cambria"/>
          <w:sz w:val="20"/>
          <w:szCs w:val="20"/>
          <w:b w:val="1"/>
          <w:bCs w:val="1"/>
          <w:color w:val="auto"/>
        </w:rPr>
        <w:t>“Years of Service” means each one-year period for which the Participant receives service credit in accordance with the provisions of Section 7.01(d) of the Adoption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TOC-2-4</w:t>
      </w:r>
    </w:p>
    <w:p>
      <w:pPr>
        <w:sectPr>
          <w:pgSz w:w="11900" w:h="16838" w:orient="portrait"/>
          <w:cols w:equalWidth="0" w:num="1">
            <w:col w:w="11200"/>
          </w:cols>
          <w:pgMar w:left="340" w:top="1440" w:right="359" w:bottom="1440" w:gutter="0" w:footer="0" w:header="0"/>
        </w:sectPr>
      </w:pPr>
    </w:p>
    <w:bookmarkStart w:id="73" w:name="page74"/>
    <w:bookmarkEnd w:id="73"/>
    <w:p>
      <w:pPr>
        <w:spacing w:after="0" w:line="231" w:lineRule="exact"/>
        <w:rPr>
          <w:sz w:val="20"/>
          <w:szCs w:val="20"/>
          <w:color w:val="auto"/>
        </w:rPr>
      </w:pPr>
    </w:p>
    <w:p>
      <w:pPr>
        <w:ind w:left="660"/>
        <w:spacing w:after="0"/>
        <w:tabs>
          <w:tab w:leader="none" w:pos="2180" w:val="left"/>
        </w:tabs>
        <w:rPr>
          <w:sz w:val="20"/>
          <w:szCs w:val="20"/>
          <w:color w:val="auto"/>
        </w:rPr>
      </w:pPr>
      <w:r>
        <w:rPr>
          <w:rFonts w:ascii="Cambria" w:cs="Cambria" w:eastAsia="Cambria" w:hAnsi="Cambria"/>
          <w:sz w:val="29"/>
          <w:szCs w:val="29"/>
          <w:b w:val="1"/>
          <w:bCs w:val="1"/>
          <w:color w:val="auto"/>
        </w:rPr>
        <w:t>Article 3 -</w:t>
      </w:r>
      <w:r>
        <w:rPr>
          <w:sz w:val="20"/>
          <w:szCs w:val="20"/>
          <w:color w:val="auto"/>
        </w:rPr>
        <w:tab/>
      </w:r>
      <w:r>
        <w:rPr>
          <w:rFonts w:ascii="Cambria" w:cs="Cambria" w:eastAsia="Cambria" w:hAnsi="Cambria"/>
          <w:sz w:val="28"/>
          <w:szCs w:val="28"/>
          <w:b w:val="1"/>
          <w:bCs w:val="1"/>
          <w:color w:val="auto"/>
        </w:rPr>
        <w:t>Participation</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3.1.</w:t>
      </w:r>
      <w:r>
        <w:rPr>
          <w:sz w:val="20"/>
          <w:szCs w:val="20"/>
          <w:color w:val="auto"/>
        </w:rPr>
        <w:tab/>
      </w:r>
      <w:r>
        <w:rPr>
          <w:rFonts w:ascii="Cambria" w:cs="Cambria" w:eastAsia="Cambria" w:hAnsi="Cambria"/>
          <w:sz w:val="25"/>
          <w:szCs w:val="25"/>
          <w:b w:val="1"/>
          <w:bCs w:val="1"/>
          <w:i w:val="1"/>
          <w:iCs w:val="1"/>
          <w:color w:val="auto"/>
        </w:rPr>
        <w:t>Participation</w:t>
      </w:r>
    </w:p>
    <w:p>
      <w:pPr>
        <w:spacing w:after="0" w:line="96" w:lineRule="exact"/>
        <w:rPr>
          <w:sz w:val="20"/>
          <w:szCs w:val="20"/>
          <w:color w:val="auto"/>
        </w:rPr>
      </w:pPr>
    </w:p>
    <w:p>
      <w:pPr>
        <w:ind w:left="2200" w:right="920"/>
        <w:spacing w:after="0" w:line="244" w:lineRule="auto"/>
        <w:rPr>
          <w:sz w:val="20"/>
          <w:szCs w:val="20"/>
          <w:color w:val="auto"/>
        </w:rPr>
      </w:pPr>
      <w:r>
        <w:rPr>
          <w:rFonts w:ascii="Cambria" w:cs="Cambria" w:eastAsia="Cambria" w:hAnsi="Cambria"/>
          <w:sz w:val="20"/>
          <w:szCs w:val="20"/>
          <w:b w:val="1"/>
          <w:bCs w:val="1"/>
          <w:color w:val="auto"/>
        </w:rPr>
        <w:t>The Participants in the Plan shall be those Eligible Employees and Directors of the Employer who satisfy the requirements of Section 2.01 of the Adoption Agreement.</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3.2.</w:t>
      </w:r>
      <w:r>
        <w:rPr>
          <w:sz w:val="20"/>
          <w:szCs w:val="20"/>
          <w:color w:val="auto"/>
        </w:rPr>
        <w:tab/>
      </w:r>
      <w:r>
        <w:rPr>
          <w:rFonts w:ascii="Cambria" w:cs="Cambria" w:eastAsia="Cambria" w:hAnsi="Cambria"/>
          <w:sz w:val="25"/>
          <w:szCs w:val="25"/>
          <w:b w:val="1"/>
          <w:bCs w:val="1"/>
          <w:i w:val="1"/>
          <w:iCs w:val="1"/>
          <w:color w:val="auto"/>
        </w:rPr>
        <w:t>Termination of Participation</w:t>
      </w:r>
    </w:p>
    <w:p>
      <w:pPr>
        <w:spacing w:after="0" w:line="96"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The Administrator may terminate a Participant’s participation in the Plan in a manner consistent with Code Section 409A. If the Employer terminates a Participant’s participation before the Participant experiences a Separation from Service, the Participant’s vested Accounts shall be paid in accordance with the provisions of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TOC-3-1</w:t>
      </w:r>
    </w:p>
    <w:p>
      <w:pPr>
        <w:sectPr>
          <w:pgSz w:w="11900" w:h="16838" w:orient="portrait"/>
          <w:cols w:equalWidth="0" w:num="1">
            <w:col w:w="11200"/>
          </w:cols>
          <w:pgMar w:left="340" w:top="1440" w:right="359" w:bottom="1440" w:gutter="0" w:footer="0" w:header="0"/>
        </w:sectPr>
      </w:pPr>
    </w:p>
    <w:bookmarkStart w:id="74" w:name="page75"/>
    <w:bookmarkEnd w:id="74"/>
    <w:p>
      <w:pPr>
        <w:spacing w:after="0" w:line="231" w:lineRule="exact"/>
        <w:rPr>
          <w:sz w:val="20"/>
          <w:szCs w:val="20"/>
          <w:color w:val="auto"/>
        </w:rPr>
      </w:pPr>
    </w:p>
    <w:p>
      <w:pPr>
        <w:jc w:val="center"/>
        <w:ind w:right="5580"/>
        <w:spacing w:after="0"/>
        <w:tabs>
          <w:tab w:leader="none" w:pos="240" w:val="left"/>
        </w:tabs>
        <w:rPr>
          <w:sz w:val="20"/>
          <w:szCs w:val="20"/>
          <w:color w:val="auto"/>
        </w:rPr>
      </w:pPr>
      <w:r>
        <w:rPr>
          <w:rFonts w:ascii="Cambria" w:cs="Cambria" w:eastAsia="Cambria" w:hAnsi="Cambria"/>
          <w:sz w:val="29"/>
          <w:szCs w:val="29"/>
          <w:b w:val="1"/>
          <w:bCs w:val="1"/>
          <w:color w:val="auto"/>
        </w:rPr>
        <w:t>Article 4 -</w:t>
      </w:r>
      <w:r>
        <w:rPr>
          <w:sz w:val="20"/>
          <w:szCs w:val="20"/>
          <w:color w:val="auto"/>
        </w:rPr>
        <w:tab/>
      </w:r>
      <w:r>
        <w:rPr>
          <w:rFonts w:ascii="Cambria" w:cs="Cambria" w:eastAsia="Cambria" w:hAnsi="Cambria"/>
          <w:sz w:val="28"/>
          <w:szCs w:val="28"/>
          <w:b w:val="1"/>
          <w:bCs w:val="1"/>
          <w:color w:val="auto"/>
        </w:rPr>
        <w:t>Participant Elections</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4.1.</w:t>
      </w:r>
      <w:r>
        <w:rPr>
          <w:sz w:val="20"/>
          <w:szCs w:val="20"/>
          <w:color w:val="auto"/>
        </w:rPr>
        <w:tab/>
      </w:r>
      <w:r>
        <w:rPr>
          <w:rFonts w:ascii="Cambria" w:cs="Cambria" w:eastAsia="Cambria" w:hAnsi="Cambria"/>
          <w:sz w:val="25"/>
          <w:szCs w:val="25"/>
          <w:b w:val="1"/>
          <w:bCs w:val="1"/>
          <w:i w:val="1"/>
          <w:iCs w:val="1"/>
          <w:color w:val="auto"/>
        </w:rPr>
        <w:t>Deferral Agreement</w:t>
      </w:r>
    </w:p>
    <w:p>
      <w:pPr>
        <w:spacing w:after="0" w:line="96"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If permitted by the Plan Sponsor in accordance with Section 4.01 of the Adoption Agreement, each Eligible Employee and Director may elect to defer his or her Compensation within the meaning of Section 3.01 of the Adoption Agreement by executing in writing or electronically, a deferral agreement in accordance with rules and procedures established by the Administrator and the provisions of this Article 4.</w:t>
      </w:r>
    </w:p>
    <w:p>
      <w:pPr>
        <w:spacing w:after="0" w:line="259"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 new deferral agreement must be timely executed for each Plan Year during which the Eligible Employee or Director desires to defer Compensation. An Eligible Employee or Director who does not timely execute a deferral agreement shall be deemed to have elected zero deferrals of Compensation for such Plan Year.</w:t>
      </w:r>
    </w:p>
    <w:p>
      <w:pPr>
        <w:spacing w:after="0" w:line="242" w:lineRule="exact"/>
        <w:rPr>
          <w:sz w:val="20"/>
          <w:szCs w:val="20"/>
          <w:color w:val="auto"/>
        </w:rPr>
      </w:pPr>
    </w:p>
    <w:p>
      <w:pPr>
        <w:jc w:val="both"/>
        <w:ind w:left="2200" w:right="900"/>
        <w:spacing w:after="0" w:line="246" w:lineRule="auto"/>
        <w:rPr>
          <w:sz w:val="20"/>
          <w:szCs w:val="20"/>
          <w:color w:val="auto"/>
        </w:rPr>
      </w:pPr>
      <w:r>
        <w:rPr>
          <w:rFonts w:ascii="Cambria" w:cs="Cambria" w:eastAsia="Cambria" w:hAnsi="Cambria"/>
          <w:sz w:val="20"/>
          <w:szCs w:val="20"/>
          <w:b w:val="1"/>
          <w:bCs w:val="1"/>
          <w:color w:val="auto"/>
        </w:rPr>
        <w:t>A deferral agreement may be changed or revoked during the period specified by the Administrator. Except as provided in Section 9.3, a deferral agreement becomes irrevocable at the close of the specified period.</w:t>
      </w:r>
    </w:p>
    <w:p>
      <w:pPr>
        <w:spacing w:after="0" w:line="21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4.2.</w:t>
      </w:r>
      <w:r>
        <w:rPr>
          <w:sz w:val="20"/>
          <w:szCs w:val="20"/>
          <w:color w:val="auto"/>
        </w:rPr>
        <w:tab/>
      </w:r>
      <w:r>
        <w:rPr>
          <w:rFonts w:ascii="Cambria" w:cs="Cambria" w:eastAsia="Cambria" w:hAnsi="Cambria"/>
          <w:sz w:val="25"/>
          <w:szCs w:val="25"/>
          <w:b w:val="1"/>
          <w:bCs w:val="1"/>
          <w:i w:val="1"/>
          <w:iCs w:val="1"/>
          <w:color w:val="auto"/>
        </w:rPr>
        <w:t>Amount of Deferral</w:t>
      </w:r>
    </w:p>
    <w:p>
      <w:pPr>
        <w:spacing w:after="0" w:line="96" w:lineRule="exact"/>
        <w:rPr>
          <w:sz w:val="20"/>
          <w:szCs w:val="20"/>
          <w:color w:val="auto"/>
        </w:rPr>
      </w:pPr>
    </w:p>
    <w:p>
      <w:pPr>
        <w:jc w:val="both"/>
        <w:ind w:left="2200" w:right="920"/>
        <w:spacing w:after="0" w:line="235" w:lineRule="auto"/>
        <w:rPr>
          <w:sz w:val="20"/>
          <w:szCs w:val="20"/>
          <w:color w:val="auto"/>
        </w:rPr>
      </w:pPr>
      <w:r>
        <w:rPr>
          <w:rFonts w:ascii="Cambria" w:cs="Cambria" w:eastAsia="Cambria" w:hAnsi="Cambria"/>
          <w:sz w:val="20"/>
          <w:szCs w:val="20"/>
          <w:b w:val="1"/>
          <w:bCs w:val="1"/>
          <w:color w:val="auto"/>
        </w:rPr>
        <w:t>An Eligible Employee or Director may elect to defer Compensation in any amount permitted by Section 4.01(a) of the Adoption Agreement.</w:t>
      </w:r>
    </w:p>
    <w:p>
      <w:pPr>
        <w:spacing w:after="0" w:line="23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4.3.</w:t>
      </w:r>
      <w:r>
        <w:rPr>
          <w:sz w:val="20"/>
          <w:szCs w:val="20"/>
          <w:color w:val="auto"/>
        </w:rPr>
        <w:tab/>
      </w:r>
      <w:r>
        <w:rPr>
          <w:rFonts w:ascii="Cambria" w:cs="Cambria" w:eastAsia="Cambria" w:hAnsi="Cambria"/>
          <w:sz w:val="25"/>
          <w:szCs w:val="25"/>
          <w:b w:val="1"/>
          <w:bCs w:val="1"/>
          <w:i w:val="1"/>
          <w:iCs w:val="1"/>
          <w:color w:val="auto"/>
        </w:rPr>
        <w:t>Timing of Election to Defer</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Each Eligible Employee or Director who desires to defer Compensation otherwise payable during a Plan Year must execute a deferral agreement within the period preceding the Plan Year specified by the Administrator. Each Eligible Employee who desires to defer Compensation that is a Bonus must execute a deferral agreement within the period preceding the Plan Year during which the Bonus is earned that is specified by the Administrator, except that if the Bonus can be treated as performance based compensation as described in Code Section 409A(a)(4)(B)(iii), the deferral agreement may be executed within the period specified by the Administrator, which period, in no event, shall end after the date which is six months prior to the end of the period during which the Bonus is earned, provided the Participant has performed services continuously from the later of the beginning of the performance period or the date the performance criteria are established through the date the Participant executed the deferral agreement and provided further that the compensation has not yet become ‘readily ascertainable’ within the meaning of Treas. Reg. § 1.409A-2(a)(8). In addition, if the Compensation qualifies as ‘fiscal year compensation’ within the meaning of Treas. Reg. § 1.409A- 2(a)(6), the deferral agreement may be made not later than the end of the Employer’s taxable year immediately preceding the first taxable year of the Employer in which any services are performed for which such Compensation is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TOC-4-1</w:t>
      </w:r>
    </w:p>
    <w:p>
      <w:pPr>
        <w:sectPr>
          <w:pgSz w:w="11900" w:h="16838" w:orient="portrait"/>
          <w:cols w:equalWidth="0" w:num="1">
            <w:col w:w="11200"/>
          </w:cols>
          <w:pgMar w:left="340" w:top="1440" w:right="359" w:bottom="1440" w:gutter="0" w:footer="0" w:header="0"/>
        </w:sectPr>
      </w:pPr>
    </w:p>
    <w:bookmarkStart w:id="75" w:name="page76"/>
    <w:bookmarkEnd w:id="75"/>
    <w:p>
      <w:pPr>
        <w:spacing w:after="0" w:line="267"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Except as otherwise provided below, an employee who is classified or designated as an Eligible Employee during a Plan Year or a Director who is designated as eligible to participate during a Plan Year may elect to defer Compensation otherwise payable during the remainder of such Plan Year in accordance with the rules of this Section 4.3 by executing a deferral agreement within the thirty (30) day period beginning on the date the employee is classified or designated as an Eligible Employee or the date the Director is designated as eligible, whichever is applicable, if permitted by Section 4.01(b)(ii) of the Adoption Agreement. If Compensation is based on a specified performance period that begins before the Eligible Employee or Director executes his or her deferral agreement, the election will be deemed to apply to the portion of such Compensation equal to the total amount of Compensation for the performance period multiplied by the ratio of the number of days remaining in the performance period after the election becomes irrevocable and effective over the total number of days in the performance period. The rules of this paragraph shall not apply unless the Eligible Employee or Director can be treated as initially eligible in accordance with Treas. Reg. § 1.409A-2(a)(7).</w:t>
      </w:r>
    </w:p>
    <w:p>
      <w:pPr>
        <w:spacing w:after="0" w:line="24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4.4.</w:t>
      </w:r>
      <w:r>
        <w:rPr>
          <w:sz w:val="20"/>
          <w:szCs w:val="20"/>
          <w:color w:val="auto"/>
        </w:rPr>
        <w:tab/>
      </w:r>
      <w:r>
        <w:rPr>
          <w:rFonts w:ascii="Cambria" w:cs="Cambria" w:eastAsia="Cambria" w:hAnsi="Cambria"/>
          <w:sz w:val="25"/>
          <w:szCs w:val="25"/>
          <w:b w:val="1"/>
          <w:bCs w:val="1"/>
          <w:i w:val="1"/>
          <w:iCs w:val="1"/>
          <w:color w:val="auto"/>
        </w:rPr>
        <w:t>Election of Payment Schedule and Form of Payment</w:t>
      </w:r>
    </w:p>
    <w:p>
      <w:pPr>
        <w:spacing w:after="0" w:line="82" w:lineRule="exact"/>
        <w:rPr>
          <w:sz w:val="20"/>
          <w:szCs w:val="20"/>
          <w:color w:val="auto"/>
        </w:rPr>
      </w:pPr>
    </w:p>
    <w:p>
      <w:pPr>
        <w:jc w:val="both"/>
        <w:ind w:left="2200" w:right="900"/>
        <w:spacing w:after="0" w:line="239" w:lineRule="auto"/>
        <w:rPr>
          <w:sz w:val="20"/>
          <w:szCs w:val="20"/>
          <w:color w:val="auto"/>
        </w:rPr>
      </w:pPr>
      <w:r>
        <w:rPr>
          <w:rFonts w:ascii="Cambria" w:cs="Cambria" w:eastAsia="Cambria" w:hAnsi="Cambria"/>
          <w:sz w:val="20"/>
          <w:szCs w:val="20"/>
          <w:b w:val="1"/>
          <w:bCs w:val="1"/>
          <w:color w:val="auto"/>
        </w:rPr>
        <w:t>All elections of a payment schedule and a form of payment will be made in accordance with rules and procedures established by the Administrator and the provisions of this Section 4.4.</w:t>
      </w:r>
    </w:p>
    <w:p>
      <w:pPr>
        <w:spacing w:after="0" w:line="258" w:lineRule="exact"/>
        <w:rPr>
          <w:sz w:val="20"/>
          <w:szCs w:val="20"/>
          <w:color w:val="auto"/>
        </w:rPr>
      </w:pPr>
    </w:p>
    <w:p>
      <w:pPr>
        <w:jc w:val="both"/>
        <w:ind w:left="2860" w:right="900" w:hanging="658"/>
        <w:spacing w:after="0" w:line="242" w:lineRule="auto"/>
        <w:tabs>
          <w:tab w:leader="none" w:pos="2877" w:val="left"/>
        </w:tabs>
        <w:numPr>
          <w:ilvl w:val="0"/>
          <w:numId w:val="2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If the Plan Sponsor has elected to permit annual distribution elections in accordance with Section 6.01(h) of the Adoption Agreement the following rules apply. At the time an Eligible Employee or Director completes a deferral agreement, the Eligible Employee or Director must elect a distribution event (which includes a specified time) and a form of payment for the Compensation subject to the deferral agreement from among the options the Plan Sponsor has made available for this purpose and which are specified in 6.01(b) of the Adoption Agreement. Prior to the time required by Treas. Reg. § 1.409A-2, the Eligible Employee or Director shall elect a distribution event (which includes a specified time) and a form of payment for any Employer contributions that may be credited to the Participant’s Account during the Plan Year. If an Eligible Employee or Director fails to elect a distribution event, he or she shall be deemed to have elected Separation from Service as the distribution event. If he or she fails to elect a form of payment, he or she shall be deemed to have elected a lump sum form of payment.</w:t>
      </w:r>
    </w:p>
    <w:p>
      <w:pPr>
        <w:spacing w:after="0" w:line="260" w:lineRule="exact"/>
        <w:rPr>
          <w:rFonts w:ascii="Cambria" w:cs="Cambria" w:eastAsia="Cambria" w:hAnsi="Cambria"/>
          <w:sz w:val="20"/>
          <w:szCs w:val="20"/>
          <w:b w:val="1"/>
          <w:bCs w:val="1"/>
          <w:color w:val="auto"/>
        </w:rPr>
      </w:pPr>
    </w:p>
    <w:p>
      <w:pPr>
        <w:jc w:val="both"/>
        <w:ind w:left="2860" w:right="900" w:hanging="658"/>
        <w:spacing w:after="0" w:line="242" w:lineRule="auto"/>
        <w:tabs>
          <w:tab w:leader="none" w:pos="2875" w:val="left"/>
        </w:tabs>
        <w:numPr>
          <w:ilvl w:val="0"/>
          <w:numId w:val="2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If the Plan Sponsor has elected not to permit annual distribution elections in accordance with Section 6.01(h) of the Adoption Agreement the following rules apply. At the time an Eligible Employee or Director first completes a deferral agreement but in no event later than the time required by Treas. Reg. § 1.409A-2, the Eligible Employee or Director must elect a distribution event (which includes a specified time) and a form of payment for amounts credited to his or her Account from among the options the Plan Sponsor has made available for this purpose and which are specified in Section 6.01(b) of the Adoption Agreement. If an Eligible Employee or Director fails to elect a distribution event, he or she shall be deemed to have elected Separation from Service in the distribution event. If the Participant fails to elect a form of payment, he or she shall be deemed to have elected a lump sum form of payment</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TOC-4-2</w:t>
      </w:r>
    </w:p>
    <w:p>
      <w:pPr>
        <w:sectPr>
          <w:pgSz w:w="11900" w:h="16838" w:orient="portrait"/>
          <w:cols w:equalWidth="0" w:num="1">
            <w:col w:w="11200"/>
          </w:cols>
          <w:pgMar w:left="340" w:top="1440" w:right="359" w:bottom="1440" w:gutter="0" w:footer="0" w:header="0"/>
          <w:type w:val="continuous"/>
        </w:sectPr>
      </w:pPr>
    </w:p>
    <w:bookmarkStart w:id="76" w:name="page77"/>
    <w:bookmarkEnd w:id="76"/>
    <w:p>
      <w:pPr>
        <w:spacing w:after="0" w:line="245" w:lineRule="exact"/>
        <w:rPr>
          <w:sz w:val="20"/>
          <w:szCs w:val="20"/>
          <w:color w:val="auto"/>
        </w:rPr>
      </w:pPr>
    </w:p>
    <w:p>
      <w:pPr>
        <w:jc w:val="center"/>
        <w:ind w:right="5160"/>
        <w:spacing w:after="0"/>
        <w:tabs>
          <w:tab w:leader="none" w:pos="240" w:val="left"/>
        </w:tabs>
        <w:rPr>
          <w:sz w:val="20"/>
          <w:szCs w:val="20"/>
          <w:color w:val="auto"/>
        </w:rPr>
      </w:pPr>
      <w:r>
        <w:rPr>
          <w:rFonts w:ascii="Cambria" w:cs="Cambria" w:eastAsia="Cambria" w:hAnsi="Cambria"/>
          <w:sz w:val="29"/>
          <w:szCs w:val="29"/>
          <w:b w:val="1"/>
          <w:bCs w:val="1"/>
          <w:color w:val="auto"/>
        </w:rPr>
        <w:t>Article 5 -</w:t>
      </w:r>
      <w:r>
        <w:rPr>
          <w:sz w:val="20"/>
          <w:szCs w:val="20"/>
          <w:color w:val="auto"/>
        </w:rPr>
        <w:tab/>
      </w:r>
      <w:r>
        <w:rPr>
          <w:rFonts w:ascii="Cambria" w:cs="Cambria" w:eastAsia="Cambria" w:hAnsi="Cambria"/>
          <w:sz w:val="28"/>
          <w:szCs w:val="28"/>
          <w:b w:val="1"/>
          <w:bCs w:val="1"/>
          <w:color w:val="auto"/>
        </w:rPr>
        <w:t>Employer Contributions</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5.1.</w:t>
      </w:r>
      <w:r>
        <w:rPr>
          <w:sz w:val="20"/>
          <w:szCs w:val="20"/>
          <w:color w:val="auto"/>
        </w:rPr>
        <w:tab/>
      </w:r>
      <w:r>
        <w:rPr>
          <w:rFonts w:ascii="Cambria" w:cs="Cambria" w:eastAsia="Cambria" w:hAnsi="Cambria"/>
          <w:sz w:val="25"/>
          <w:szCs w:val="25"/>
          <w:b w:val="1"/>
          <w:bCs w:val="1"/>
          <w:i w:val="1"/>
          <w:iCs w:val="1"/>
          <w:color w:val="auto"/>
        </w:rPr>
        <w:t>Matching Contributions</w:t>
      </w:r>
    </w:p>
    <w:p>
      <w:pPr>
        <w:spacing w:after="0" w:line="96"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If elected by the Plan Sponsor in Section 5.01(a) of the Adoption Agreement, the Employer will credit the Participant’s Account with a matching contribution determined in accordance with the formula specified in Section 5.01(a) of the Adoption Agreement. The matching contribution will be treated as allocated to the Participant’s Account at the time specified in Section 5.01(a)(iii) of the Adoption Agreement.</w:t>
      </w:r>
    </w:p>
    <w:p>
      <w:pPr>
        <w:spacing w:after="0" w:line="23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5.2.</w:t>
      </w:r>
      <w:r>
        <w:rPr>
          <w:sz w:val="20"/>
          <w:szCs w:val="20"/>
          <w:color w:val="auto"/>
        </w:rPr>
        <w:tab/>
      </w:r>
      <w:r>
        <w:rPr>
          <w:rFonts w:ascii="Cambria" w:cs="Cambria" w:eastAsia="Cambria" w:hAnsi="Cambria"/>
          <w:sz w:val="25"/>
          <w:szCs w:val="25"/>
          <w:b w:val="1"/>
          <w:bCs w:val="1"/>
          <w:i w:val="1"/>
          <w:iCs w:val="1"/>
          <w:color w:val="auto"/>
        </w:rPr>
        <w:t>Other Contributions</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If elected by the Plan Sponsor in Section 5.01(b) of the Adoption Agreement, the Employer will credit the Participant’s Account with a contribution or contributions determined in accordance with the formula or method specified in Section 5.01(b) of the Adoption Agreement. These contributions will be treated as allocated to the Participant’s Account at the time specified in Section 5.01(b)(iii) of the Adoption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TOC-5-1</w:t>
      </w:r>
    </w:p>
    <w:p>
      <w:pPr>
        <w:sectPr>
          <w:pgSz w:w="11900" w:h="16838" w:orient="portrait"/>
          <w:cols w:equalWidth="0" w:num="1">
            <w:col w:w="11200"/>
          </w:cols>
          <w:pgMar w:left="340" w:top="1440" w:right="359" w:bottom="1440" w:gutter="0" w:footer="0" w:header="0"/>
        </w:sectPr>
      </w:pPr>
    </w:p>
    <w:bookmarkStart w:id="77" w:name="page78"/>
    <w:bookmarkEnd w:id="77"/>
    <w:p>
      <w:pPr>
        <w:spacing w:after="0" w:line="231" w:lineRule="exact"/>
        <w:rPr>
          <w:sz w:val="20"/>
          <w:szCs w:val="20"/>
          <w:color w:val="auto"/>
        </w:rPr>
      </w:pPr>
    </w:p>
    <w:p>
      <w:pPr>
        <w:ind w:left="660"/>
        <w:spacing w:after="0"/>
        <w:tabs>
          <w:tab w:leader="none" w:pos="2180" w:val="left"/>
        </w:tabs>
        <w:rPr>
          <w:sz w:val="20"/>
          <w:szCs w:val="20"/>
          <w:color w:val="auto"/>
        </w:rPr>
      </w:pPr>
      <w:r>
        <w:rPr>
          <w:rFonts w:ascii="Cambria" w:cs="Cambria" w:eastAsia="Cambria" w:hAnsi="Cambria"/>
          <w:sz w:val="29"/>
          <w:szCs w:val="29"/>
          <w:b w:val="1"/>
          <w:bCs w:val="1"/>
          <w:color w:val="auto"/>
        </w:rPr>
        <w:t>Article 6 -</w:t>
      </w:r>
      <w:r>
        <w:rPr>
          <w:sz w:val="20"/>
          <w:szCs w:val="20"/>
          <w:color w:val="auto"/>
        </w:rPr>
        <w:tab/>
      </w:r>
      <w:r>
        <w:rPr>
          <w:rFonts w:ascii="Cambria" w:cs="Cambria" w:eastAsia="Cambria" w:hAnsi="Cambria"/>
          <w:sz w:val="28"/>
          <w:szCs w:val="28"/>
          <w:b w:val="1"/>
          <w:bCs w:val="1"/>
          <w:color w:val="auto"/>
        </w:rPr>
        <w:t>Accounts and Credits</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6.1.</w:t>
      </w:r>
      <w:r>
        <w:rPr>
          <w:sz w:val="20"/>
          <w:szCs w:val="20"/>
          <w:color w:val="auto"/>
        </w:rPr>
        <w:tab/>
      </w:r>
      <w:r>
        <w:rPr>
          <w:rFonts w:ascii="Cambria" w:cs="Cambria" w:eastAsia="Cambria" w:hAnsi="Cambria"/>
          <w:sz w:val="25"/>
          <w:szCs w:val="25"/>
          <w:b w:val="1"/>
          <w:bCs w:val="1"/>
          <w:i w:val="1"/>
          <w:iCs w:val="1"/>
          <w:color w:val="auto"/>
        </w:rPr>
        <w:t>Establishment of Account</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For accounting and computational purposes only, the Administrator will establish and 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may establish and maintain such other records and accounts, as it decides in its discretion to be reasonably required or appropriate to discharge its duties under the Plan.</w:t>
      </w:r>
    </w:p>
    <w:p>
      <w:pPr>
        <w:spacing w:after="0" w:line="200" w:lineRule="exact"/>
        <w:rPr>
          <w:sz w:val="20"/>
          <w:szCs w:val="20"/>
          <w:color w:val="auto"/>
        </w:rPr>
      </w:pPr>
    </w:p>
    <w:p>
      <w:pPr>
        <w:spacing w:after="0" w:line="267"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6.2.</w:t>
      </w:r>
      <w:r>
        <w:rPr>
          <w:sz w:val="20"/>
          <w:szCs w:val="20"/>
          <w:color w:val="auto"/>
        </w:rPr>
        <w:tab/>
      </w:r>
      <w:r>
        <w:rPr>
          <w:rFonts w:ascii="Cambria" w:cs="Cambria" w:eastAsia="Cambria" w:hAnsi="Cambria"/>
          <w:sz w:val="25"/>
          <w:szCs w:val="25"/>
          <w:b w:val="1"/>
          <w:bCs w:val="1"/>
          <w:i w:val="1"/>
          <w:iCs w:val="1"/>
          <w:color w:val="auto"/>
        </w:rPr>
        <w:t>Credits to Account</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 Participant’s Account will be credited for each Plan Year with the amount of his or her elective deferrals under Section 4.1 at the time the amount subject to the deferral election would otherwise have been payable to the Participant and the amount of Employer contributions, if any, treated as allocated on his or her behalf under Article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TOC-6-1</w:t>
      </w:r>
    </w:p>
    <w:p>
      <w:pPr>
        <w:sectPr>
          <w:pgSz w:w="11900" w:h="16838" w:orient="portrait"/>
          <w:cols w:equalWidth="0" w:num="1">
            <w:col w:w="11200"/>
          </w:cols>
          <w:pgMar w:left="340" w:top="1440" w:right="359" w:bottom="1440" w:gutter="0" w:footer="0" w:header="0"/>
        </w:sectPr>
      </w:pPr>
    </w:p>
    <w:bookmarkStart w:id="78" w:name="page79"/>
    <w:bookmarkEnd w:id="78"/>
    <w:p>
      <w:pPr>
        <w:spacing w:after="0" w:line="231" w:lineRule="exact"/>
        <w:rPr>
          <w:sz w:val="20"/>
          <w:szCs w:val="20"/>
          <w:color w:val="auto"/>
        </w:rPr>
      </w:pPr>
    </w:p>
    <w:p>
      <w:pPr>
        <w:ind w:left="660"/>
        <w:spacing w:after="0"/>
        <w:tabs>
          <w:tab w:leader="none" w:pos="2180" w:val="left"/>
        </w:tabs>
        <w:rPr>
          <w:sz w:val="20"/>
          <w:szCs w:val="20"/>
          <w:color w:val="auto"/>
        </w:rPr>
      </w:pPr>
      <w:r>
        <w:rPr>
          <w:rFonts w:ascii="Cambria" w:cs="Cambria" w:eastAsia="Cambria" w:hAnsi="Cambria"/>
          <w:sz w:val="29"/>
          <w:szCs w:val="29"/>
          <w:b w:val="1"/>
          <w:bCs w:val="1"/>
          <w:color w:val="auto"/>
        </w:rPr>
        <w:t>Article 7 -</w:t>
      </w:r>
      <w:r>
        <w:rPr>
          <w:sz w:val="20"/>
          <w:szCs w:val="20"/>
          <w:color w:val="auto"/>
        </w:rPr>
        <w:tab/>
      </w:r>
      <w:r>
        <w:rPr>
          <w:rFonts w:ascii="Cambria" w:cs="Cambria" w:eastAsia="Cambria" w:hAnsi="Cambria"/>
          <w:sz w:val="28"/>
          <w:szCs w:val="28"/>
          <w:b w:val="1"/>
          <w:bCs w:val="1"/>
          <w:color w:val="auto"/>
        </w:rPr>
        <w:t>Investment of Contributions</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7.1.</w:t>
      </w:r>
      <w:r>
        <w:rPr>
          <w:sz w:val="20"/>
          <w:szCs w:val="20"/>
          <w:color w:val="auto"/>
        </w:rPr>
        <w:tab/>
      </w:r>
      <w:r>
        <w:rPr>
          <w:rFonts w:ascii="Cambria" w:cs="Cambria" w:eastAsia="Cambria" w:hAnsi="Cambria"/>
          <w:sz w:val="25"/>
          <w:szCs w:val="25"/>
          <w:b w:val="1"/>
          <w:bCs w:val="1"/>
          <w:i w:val="1"/>
          <w:iCs w:val="1"/>
          <w:color w:val="auto"/>
        </w:rPr>
        <w:t>Investment Options</w:t>
      </w:r>
    </w:p>
    <w:p>
      <w:pPr>
        <w:spacing w:after="0" w:line="96"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The amount credited to each Account shall be treated as invested in the investment options designated for this purpose by the Administrator.</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7.2.</w:t>
      </w:r>
      <w:r>
        <w:rPr>
          <w:sz w:val="20"/>
          <w:szCs w:val="20"/>
          <w:color w:val="auto"/>
        </w:rPr>
        <w:tab/>
      </w:r>
      <w:r>
        <w:rPr>
          <w:rFonts w:ascii="Cambria" w:cs="Cambria" w:eastAsia="Cambria" w:hAnsi="Cambria"/>
          <w:sz w:val="25"/>
          <w:szCs w:val="25"/>
          <w:b w:val="1"/>
          <w:bCs w:val="1"/>
          <w:i w:val="1"/>
          <w:iCs w:val="1"/>
          <w:color w:val="auto"/>
        </w:rPr>
        <w:t>Adjustment of Accounts</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The amount credited to each Account shall be adjusted for hypothetical investment earnings, expenses, gains or losses in an amount equal to the earnings, expenses, gains or losses attributable to the investment options selected by the party designated in Section 9.01 of the Adoption Agreement from among the investment options provided in Section 7.1. If permitted by Section 9.01 of the Adoption Agreement,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 (b) 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TOC-7-1</w:t>
      </w:r>
    </w:p>
    <w:p>
      <w:pPr>
        <w:sectPr>
          <w:pgSz w:w="11900" w:h="16838" w:orient="portrait"/>
          <w:cols w:equalWidth="0" w:num="1">
            <w:col w:w="11200"/>
          </w:cols>
          <w:pgMar w:left="340" w:top="1440" w:right="359" w:bottom="1440" w:gutter="0" w:footer="0" w:header="0"/>
        </w:sectPr>
      </w:pPr>
    </w:p>
    <w:bookmarkStart w:id="79" w:name="page80"/>
    <w:bookmarkEnd w:id="79"/>
    <w:p>
      <w:pPr>
        <w:spacing w:after="0" w:line="231" w:lineRule="exact"/>
        <w:rPr>
          <w:sz w:val="20"/>
          <w:szCs w:val="20"/>
          <w:color w:val="auto"/>
        </w:rPr>
      </w:pPr>
    </w:p>
    <w:p>
      <w:pPr>
        <w:ind w:left="660"/>
        <w:spacing w:after="0"/>
        <w:tabs>
          <w:tab w:leader="none" w:pos="2180" w:val="left"/>
        </w:tabs>
        <w:rPr>
          <w:sz w:val="20"/>
          <w:szCs w:val="20"/>
          <w:color w:val="auto"/>
        </w:rPr>
      </w:pPr>
      <w:r>
        <w:rPr>
          <w:rFonts w:ascii="Cambria" w:cs="Cambria" w:eastAsia="Cambria" w:hAnsi="Cambria"/>
          <w:sz w:val="29"/>
          <w:szCs w:val="29"/>
          <w:b w:val="1"/>
          <w:bCs w:val="1"/>
          <w:color w:val="auto"/>
        </w:rPr>
        <w:t>Article 8 -</w:t>
      </w:r>
      <w:r>
        <w:rPr>
          <w:sz w:val="20"/>
          <w:szCs w:val="20"/>
          <w:color w:val="auto"/>
        </w:rPr>
        <w:tab/>
      </w:r>
      <w:r>
        <w:rPr>
          <w:rFonts w:ascii="Cambria" w:cs="Cambria" w:eastAsia="Cambria" w:hAnsi="Cambria"/>
          <w:sz w:val="28"/>
          <w:szCs w:val="28"/>
          <w:b w:val="1"/>
          <w:bCs w:val="1"/>
          <w:color w:val="auto"/>
        </w:rPr>
        <w:t>Right to Benefits</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8.1.</w:t>
      </w:r>
      <w:r>
        <w:rPr>
          <w:sz w:val="20"/>
          <w:szCs w:val="20"/>
          <w:color w:val="auto"/>
        </w:rPr>
        <w:tab/>
      </w:r>
      <w:r>
        <w:rPr>
          <w:rFonts w:ascii="Cambria" w:cs="Cambria" w:eastAsia="Cambria" w:hAnsi="Cambria"/>
          <w:sz w:val="24"/>
          <w:szCs w:val="24"/>
          <w:b w:val="1"/>
          <w:bCs w:val="1"/>
          <w:i w:val="1"/>
          <w:iCs w:val="1"/>
          <w:color w:val="auto"/>
        </w:rPr>
        <w:t>Vesting</w:t>
      </w:r>
    </w:p>
    <w:p>
      <w:pPr>
        <w:spacing w:after="0" w:line="96" w:lineRule="exact"/>
        <w:rPr>
          <w:sz w:val="20"/>
          <w:szCs w:val="20"/>
          <w:color w:val="auto"/>
        </w:rPr>
      </w:pPr>
    </w:p>
    <w:p>
      <w:pPr>
        <w:jc w:val="both"/>
        <w:ind w:left="2200" w:right="900"/>
        <w:spacing w:after="0" w:line="239" w:lineRule="auto"/>
        <w:rPr>
          <w:sz w:val="20"/>
          <w:szCs w:val="20"/>
          <w:color w:val="auto"/>
        </w:rPr>
      </w:pPr>
      <w:r>
        <w:rPr>
          <w:rFonts w:ascii="Cambria" w:cs="Cambria" w:eastAsia="Cambria" w:hAnsi="Cambria"/>
          <w:sz w:val="20"/>
          <w:szCs w:val="20"/>
          <w:b w:val="1"/>
          <w:bCs w:val="1"/>
          <w:color w:val="auto"/>
        </w:rPr>
        <w:t>A Participant, at all times, has a 100% nonforfeitable interest in the amounts credited to his or her Account attributable to his or her elective deferrals made in accordance with Section 4.1.</w:t>
      </w:r>
    </w:p>
    <w:p>
      <w:pPr>
        <w:spacing w:after="0" w:line="258"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 Participant’s right to the amounts credited to his or her Account attributable to Employer contributions made in accordance with Article 5 shall be determined in accordance with the relevant schedule and provisions in Section 7.01 of the Adoption Agreement. Upon a Separation from Service and after application of the provisions of Section 7.01 of the Adoption Agreement, the Participant shall forfeit the nonvested portion of his or her Account.</w:t>
      </w:r>
    </w:p>
    <w:p>
      <w:pPr>
        <w:spacing w:after="0" w:line="21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8.2.</w:t>
      </w:r>
      <w:r>
        <w:rPr>
          <w:sz w:val="20"/>
          <w:szCs w:val="20"/>
          <w:color w:val="auto"/>
        </w:rPr>
        <w:tab/>
      </w:r>
      <w:r>
        <w:rPr>
          <w:rFonts w:ascii="Cambria" w:cs="Cambria" w:eastAsia="Cambria" w:hAnsi="Cambria"/>
          <w:sz w:val="25"/>
          <w:szCs w:val="25"/>
          <w:b w:val="1"/>
          <w:bCs w:val="1"/>
          <w:i w:val="1"/>
          <w:iCs w:val="1"/>
          <w:color w:val="auto"/>
        </w:rPr>
        <w:t>Death</w:t>
      </w:r>
    </w:p>
    <w:p>
      <w:pPr>
        <w:spacing w:after="0" w:line="96"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The Plan Sponsor may elect to accelerate vesting upon the death of the Participant in accordance with Section 7.01(c) of the Adoption Agreement and/or to accelerate distributions upon death in accordance with Section 6.01(b) or Section 6.01(d) of the Adoption Agreement. If the Plan Sponsor does not elect to accelerate distributions upon death in accordance with Section 6.01(b) or Section 6.01(d) of the Adoption Agreement, the vested amount credited to the Participant’s Account will be paid in accordance with the provisions of Article 9.</w:t>
      </w:r>
    </w:p>
    <w:p>
      <w:pPr>
        <w:spacing w:after="0" w:line="24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 Participant may designate a Beneficiary or Beneficiaries, or change any prior designation of Beneficiary or Beneficiaries in accordance with rules and procedures established by the Administrator. Whenever a Participant designates a new Beneficiary, all former Beneficiary designations by such Participant shall be revoked automatically. If a Participant and the Participant’s spouse divorce, any designations of the spouse as Beneficiary shall become null and void. The former spouse shall be treated as the Beneficiary under the Plan only if after the divorce is final, the Participant expressly re-designates the former spouse as the Participant’s Beneficiary.</w:t>
      </w:r>
    </w:p>
    <w:p>
      <w:pPr>
        <w:spacing w:after="0" w:line="255"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or her estate (such estate shall be deemed to be the Beneficiary for purposes of the Plan) in accordance with the provisions of Article 9.</w:t>
      </w:r>
    </w:p>
    <w:p>
      <w:pPr>
        <w:spacing w:after="0" w:line="21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8.3.</w:t>
      </w:r>
      <w:r>
        <w:rPr>
          <w:sz w:val="20"/>
          <w:szCs w:val="20"/>
          <w:color w:val="auto"/>
        </w:rPr>
        <w:tab/>
      </w:r>
      <w:r>
        <w:rPr>
          <w:rFonts w:ascii="Cambria" w:cs="Cambria" w:eastAsia="Cambria" w:hAnsi="Cambria"/>
          <w:sz w:val="25"/>
          <w:szCs w:val="25"/>
          <w:b w:val="1"/>
          <w:bCs w:val="1"/>
          <w:i w:val="1"/>
          <w:iCs w:val="1"/>
          <w:color w:val="auto"/>
        </w:rPr>
        <w:t>Disability</w:t>
      </w:r>
    </w:p>
    <w:p>
      <w:pPr>
        <w:spacing w:after="0" w:line="96"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If the Plan Sponsor has elected to accelerate vesting upon the occurrence of a Disability in accordance with Section 7.01(c) of the Adoption Agreement and/or to permit distributions upon Disability in accordance with Section 6.01(b) or Section 6.01(d) of the Adoption Agreement, the determination of whether a Participant has incurred a Disability shall be based on the definition of Disability in Section 6.01(i) of the Adoption Agreement and in a manner consistent with the requirements of Code Section 409A.</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TOC-8-1</w:t>
      </w:r>
    </w:p>
    <w:p>
      <w:pPr>
        <w:sectPr>
          <w:pgSz w:w="11900" w:h="16838" w:orient="portrait"/>
          <w:cols w:equalWidth="0" w:num="1">
            <w:col w:w="11200"/>
          </w:cols>
          <w:pgMar w:left="340" w:top="1440" w:right="359" w:bottom="1440" w:gutter="0" w:footer="0" w:header="0"/>
          <w:type w:val="continuous"/>
        </w:sectPr>
      </w:pPr>
    </w:p>
    <w:bookmarkStart w:id="80" w:name="page81"/>
    <w:bookmarkEnd w:id="80"/>
    <w:p>
      <w:pPr>
        <w:spacing w:after="0" w:line="231" w:lineRule="exact"/>
        <w:rPr>
          <w:sz w:val="20"/>
          <w:szCs w:val="20"/>
          <w:color w:val="auto"/>
        </w:rPr>
      </w:pPr>
    </w:p>
    <w:p>
      <w:pPr>
        <w:ind w:left="660"/>
        <w:spacing w:after="0"/>
        <w:tabs>
          <w:tab w:leader="none" w:pos="2180" w:val="left"/>
        </w:tabs>
        <w:rPr>
          <w:sz w:val="20"/>
          <w:szCs w:val="20"/>
          <w:color w:val="auto"/>
        </w:rPr>
      </w:pPr>
      <w:r>
        <w:rPr>
          <w:rFonts w:ascii="Cambria" w:cs="Cambria" w:eastAsia="Cambria" w:hAnsi="Cambria"/>
          <w:sz w:val="29"/>
          <w:szCs w:val="29"/>
          <w:b w:val="1"/>
          <w:bCs w:val="1"/>
          <w:color w:val="auto"/>
        </w:rPr>
        <w:t>Article 9 -</w:t>
      </w:r>
      <w:r>
        <w:rPr>
          <w:sz w:val="20"/>
          <w:szCs w:val="20"/>
          <w:color w:val="auto"/>
        </w:rPr>
        <w:tab/>
      </w:r>
      <w:r>
        <w:rPr>
          <w:rFonts w:ascii="Cambria" w:cs="Cambria" w:eastAsia="Cambria" w:hAnsi="Cambria"/>
          <w:sz w:val="28"/>
          <w:szCs w:val="28"/>
          <w:b w:val="1"/>
          <w:bCs w:val="1"/>
          <w:color w:val="auto"/>
        </w:rPr>
        <w:t>Distribution of Benefits</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9.1.</w:t>
      </w:r>
      <w:r>
        <w:rPr>
          <w:sz w:val="20"/>
          <w:szCs w:val="20"/>
          <w:color w:val="auto"/>
        </w:rPr>
        <w:tab/>
      </w:r>
      <w:r>
        <w:rPr>
          <w:rFonts w:ascii="Cambria" w:cs="Cambria" w:eastAsia="Cambria" w:hAnsi="Cambria"/>
          <w:sz w:val="25"/>
          <w:szCs w:val="25"/>
          <w:b w:val="1"/>
          <w:bCs w:val="1"/>
          <w:i w:val="1"/>
          <w:iCs w:val="1"/>
          <w:color w:val="auto"/>
        </w:rPr>
        <w:t>Amount of Benefits</w:t>
      </w:r>
    </w:p>
    <w:p>
      <w:pPr>
        <w:spacing w:after="0" w:line="96" w:lineRule="exact"/>
        <w:rPr>
          <w:sz w:val="20"/>
          <w:szCs w:val="20"/>
          <w:color w:val="auto"/>
        </w:rPr>
      </w:pPr>
    </w:p>
    <w:p>
      <w:pPr>
        <w:jc w:val="both"/>
        <w:ind w:left="2200" w:right="900"/>
        <w:spacing w:after="0" w:line="239" w:lineRule="auto"/>
        <w:rPr>
          <w:sz w:val="20"/>
          <w:szCs w:val="20"/>
          <w:color w:val="auto"/>
        </w:rPr>
      </w:pPr>
      <w:r>
        <w:rPr>
          <w:rFonts w:ascii="Cambria" w:cs="Cambria" w:eastAsia="Cambria" w:hAnsi="Cambria"/>
          <w:sz w:val="20"/>
          <w:szCs w:val="20"/>
          <w:b w:val="1"/>
          <w:bCs w:val="1"/>
          <w:color w:val="auto"/>
        </w:rPr>
        <w:t>The vested amount credited to a Participant’s Account as determined under Articles 6, 7 and 8 shall determine and constitute the basis for the value of benefits payable to the Participant under the Plan.</w:t>
      </w:r>
    </w:p>
    <w:p>
      <w:pPr>
        <w:spacing w:after="0" w:line="23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9.2.</w:t>
      </w:r>
      <w:r>
        <w:rPr>
          <w:sz w:val="20"/>
          <w:szCs w:val="20"/>
          <w:color w:val="auto"/>
        </w:rPr>
        <w:tab/>
      </w:r>
      <w:r>
        <w:rPr>
          <w:rFonts w:ascii="Cambria" w:cs="Cambria" w:eastAsia="Cambria" w:hAnsi="Cambria"/>
          <w:sz w:val="25"/>
          <w:szCs w:val="25"/>
          <w:b w:val="1"/>
          <w:bCs w:val="1"/>
          <w:i w:val="1"/>
          <w:iCs w:val="1"/>
          <w:color w:val="auto"/>
        </w:rPr>
        <w:t>Method and Timing of Distributions</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Except as otherwise provided in this Article 9, distributions under the Plan shall be made in accordance with the elections made or deemed made by the Participant under Article 4. Subject to the provisions of Section 9.6 requiring a six- month delay for certain distributions to Key Employees, distributions following a payment event shall commence at the time specified in Section 6.01(a) of the Adoption Agreement. If permitted by Section 6.01(g) of the Adoption Agreement, a Participant may elect, at least twelve months before a scheduled distribution event, to delay the payment date for a minimum period of sixty months from the originally scheduled date of payment, provided the election does not take effect for at least twelve months from the date on which the election is made. The distribution election change must be made in accordance with procedures and rules established by the Administrator. The Participant may, at the same time the date of payment is deferred, change the form of payment but such change in the form of payment may not effect an acceleration of payment in violation of Code Section 409A or the provisions of Treas. Reg. § 1.409A-2(b). For purposes of this Section 9.2, a series of installment payments is always treated as a single payment and not as a series of separate payments.</w:t>
      </w:r>
    </w:p>
    <w:p>
      <w:pPr>
        <w:spacing w:after="0" w:line="24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9.3.</w:t>
      </w:r>
      <w:r>
        <w:rPr>
          <w:sz w:val="20"/>
          <w:szCs w:val="20"/>
          <w:color w:val="auto"/>
        </w:rPr>
        <w:tab/>
      </w:r>
      <w:r>
        <w:rPr>
          <w:rFonts w:ascii="Cambria" w:cs="Cambria" w:eastAsia="Cambria" w:hAnsi="Cambria"/>
          <w:sz w:val="25"/>
          <w:szCs w:val="25"/>
          <w:b w:val="1"/>
          <w:bCs w:val="1"/>
          <w:i w:val="1"/>
          <w:iCs w:val="1"/>
          <w:color w:val="auto"/>
        </w:rPr>
        <w:t>Unforeseeable Emergency</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 Participant may request a distribution due to an Unforeseeable Emergency if the Plan Sponsor has elected to permit Unforeseeable Emergency withdrawals under Section 8.01(a) of the Adoption Agreement. The request must be in writing and must be submitted to the Administrator along with evidence that the circumstances constitute an Unforeseeable Emergency. The Administrator has the discretion to require whatever evidence it deems necessary to determine whether a distribution is warranted, and may require the Participant to certify that the need cannot be met from other sources reasonably available to the Participant. Whether a Participant has incurred an Unforeseeable Emergency will be determined by the Administrator on the basis of the relevant facts and circumstances in its sole discretion, but, in no event, will an Unforeseeable Emergency be deemed to exist if the hardship can be relieved: (a) through reimbursement or compensation by insurance or otherwise, (b) by liquidation of the Participant’s assets to the extent such liquidation would not itself cause severe financial hardship, or (c) by cessation of deferrals under the Plan. A distribution due to an Unforeseeable Emergency must be limited to the amount reasonably necessary to satisfy the emergency need and may include any amounts necessary to pay any federal, state, foreign or local income taxes and penalties reasonably anticipated to result from the distribution. The distribution will be made in the form of a single lump sum cash payment. If permitted by Section 8.01(b) of the Adoption Agreement, a Participant’s deferral elections for the remainder of the Plan Year will be cancelled upon a withdrawal due to an Unforeseeable Emergency. If the payment of all or any portion of the Participant’s vested Account is being delayed in accordance with Section 9.6 at the time he or she experiences an Unforeseeable Emergency, the amount being delayed shall not be subject to the</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TOC-9-1</w:t>
      </w:r>
    </w:p>
    <w:p>
      <w:pPr>
        <w:sectPr>
          <w:pgSz w:w="11900" w:h="16838" w:orient="portrait"/>
          <w:cols w:equalWidth="0" w:num="1">
            <w:col w:w="11200"/>
          </w:cols>
          <w:pgMar w:left="340" w:top="1440" w:right="359" w:bottom="1440" w:gutter="0" w:footer="0" w:header="0"/>
          <w:type w:val="continuous"/>
        </w:sectPr>
      </w:pPr>
    </w:p>
    <w:bookmarkStart w:id="81" w:name="page82"/>
    <w:bookmarkEnd w:id="81"/>
    <w:p>
      <w:pPr>
        <w:spacing w:after="0" w:line="267"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provisions of this Section 9.3 until the expiration of the six month period of delay required by section 9.6.</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9.4.</w:t>
      </w:r>
      <w:r>
        <w:rPr>
          <w:sz w:val="20"/>
          <w:szCs w:val="20"/>
          <w:color w:val="auto"/>
        </w:rPr>
        <w:tab/>
      </w:r>
      <w:r>
        <w:rPr>
          <w:rFonts w:ascii="Cambria" w:cs="Cambria" w:eastAsia="Cambria" w:hAnsi="Cambria"/>
          <w:sz w:val="25"/>
          <w:szCs w:val="25"/>
          <w:b w:val="1"/>
          <w:bCs w:val="1"/>
          <w:i w:val="1"/>
          <w:iCs w:val="1"/>
          <w:color w:val="auto"/>
        </w:rPr>
        <w:t>Payment Election Overrides</w:t>
      </w:r>
    </w:p>
    <w:p>
      <w:pPr>
        <w:spacing w:after="0" w:line="96" w:lineRule="exact"/>
        <w:rPr>
          <w:sz w:val="20"/>
          <w:szCs w:val="20"/>
          <w:color w:val="auto"/>
        </w:rPr>
      </w:pPr>
    </w:p>
    <w:p>
      <w:pPr>
        <w:jc w:val="both"/>
        <w:ind w:left="2200" w:right="900"/>
        <w:spacing w:after="0" w:line="241" w:lineRule="auto"/>
        <w:rPr>
          <w:sz w:val="20"/>
          <w:szCs w:val="20"/>
          <w:color w:val="auto"/>
        </w:rPr>
      </w:pPr>
      <w:r>
        <w:rPr>
          <w:rFonts w:ascii="Cambria" w:cs="Cambria" w:eastAsia="Cambria" w:hAnsi="Cambria"/>
          <w:sz w:val="20"/>
          <w:szCs w:val="20"/>
          <w:b w:val="1"/>
          <w:bCs w:val="1"/>
          <w:color w:val="auto"/>
        </w:rPr>
        <w:t>If the Plan Sponsor has elected one or more payment election overrides in accordance with Section 6.01(d) of the Adoption Agreement, the following provisions apply. Upon the occurrence of the first event selected by the Plan Sponsor, the remaining vested amount credited to the Participant’s Account shall be paid in the form designated to the Participant or his or her Beneficiary regardless of whether the Participant had made different elections of time and/or form of payment or whether the Participant was receiving installment payments at the time of the event.</w:t>
      </w:r>
    </w:p>
    <w:p>
      <w:pPr>
        <w:spacing w:after="0" w:line="231"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9.5.</w:t>
      </w:r>
      <w:r>
        <w:rPr>
          <w:sz w:val="20"/>
          <w:szCs w:val="20"/>
          <w:color w:val="auto"/>
        </w:rPr>
        <w:tab/>
      </w:r>
      <w:r>
        <w:rPr>
          <w:rFonts w:ascii="Cambria" w:cs="Cambria" w:eastAsia="Cambria" w:hAnsi="Cambria"/>
          <w:sz w:val="25"/>
          <w:szCs w:val="25"/>
          <w:b w:val="1"/>
          <w:bCs w:val="1"/>
          <w:i w:val="1"/>
          <w:iCs w:val="1"/>
          <w:color w:val="auto"/>
        </w:rPr>
        <w:t>Cashouts of Amounts Not Exceeding Stated Limit</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If the vested amount credited to the Participant’s Account does not exceed the limit established for this purpose by the Plan Sponsor in Section 6.01(e) of the Adoption Agreement at the time he or she incurs a Separation from Service for any reason, the Employer shall distribute such amount to the Participant at the time specified in Section 6.01(a) of the Adoption Agreement in a single lump sum cash payment following such Separation from Service regardless of whether the Participant had made different elections of time or form of payment as to the vested amount credited to his or her Account or whether the Participant was receiving installments at the time of such termination. A Participant’s Account, for purposes of this Section 9.5, shall include any amounts described in Section 1.3.</w:t>
      </w:r>
    </w:p>
    <w:p>
      <w:pPr>
        <w:spacing w:after="0" w:line="230"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9.6.</w:t>
      </w:r>
      <w:r>
        <w:rPr>
          <w:sz w:val="20"/>
          <w:szCs w:val="20"/>
          <w:color w:val="auto"/>
        </w:rPr>
        <w:tab/>
      </w:r>
      <w:r>
        <w:rPr>
          <w:rFonts w:ascii="Cambria" w:cs="Cambria" w:eastAsia="Cambria" w:hAnsi="Cambria"/>
          <w:sz w:val="25"/>
          <w:szCs w:val="25"/>
          <w:b w:val="1"/>
          <w:bCs w:val="1"/>
          <w:i w:val="1"/>
          <w:iCs w:val="1"/>
          <w:color w:val="auto"/>
        </w:rPr>
        <w:t>Required Delay in Payment to Key Employees</w:t>
      </w:r>
    </w:p>
    <w:p>
      <w:pPr>
        <w:spacing w:after="0" w:line="82"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Except as otherwise provided in this Section 9.6, a distribution made on account of Separation from Service (or Retirement, if applicable) to a Participant who is a Key Employee as of the date of his or her Separation from Service (or Retirement, if applicable) shall not be made before the date which is six months after the Separation from Service (or Retirement, if applicable).</w:t>
      </w:r>
    </w:p>
    <w:p>
      <w:pPr>
        <w:spacing w:after="0" w:line="239" w:lineRule="exact"/>
        <w:rPr>
          <w:sz w:val="20"/>
          <w:szCs w:val="20"/>
          <w:color w:val="auto"/>
        </w:rPr>
      </w:pPr>
    </w:p>
    <w:p>
      <w:pPr>
        <w:jc w:val="both"/>
        <w:ind w:left="2860" w:right="900" w:hanging="658"/>
        <w:spacing w:after="0" w:line="242" w:lineRule="auto"/>
        <w:tabs>
          <w:tab w:leader="none" w:pos="2877" w:val="left"/>
        </w:tabs>
        <w:numPr>
          <w:ilvl w:val="0"/>
          <w:numId w:val="2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Participant is treated as a Key Employee if: (i) he or she is employed by a Related Employer any of whose stock is publicly traded on an established securities market, and (ii) he or she satisfies the requirements of Code Section 416(i)(1)(A)(i), (ii) or (iii), determined without regard to Code Section 416(i)</w:t>
      </w:r>
    </w:p>
    <w:p>
      <w:pPr>
        <w:spacing w:after="0" w:line="12" w:lineRule="exact"/>
        <w:rPr>
          <w:rFonts w:ascii="Cambria" w:cs="Cambria" w:eastAsia="Cambria" w:hAnsi="Cambria"/>
          <w:sz w:val="20"/>
          <w:szCs w:val="20"/>
          <w:b w:val="1"/>
          <w:bCs w:val="1"/>
          <w:color w:val="auto"/>
        </w:rPr>
      </w:pPr>
    </w:p>
    <w:p>
      <w:pPr>
        <w:ind w:left="2860" w:right="920"/>
        <w:spacing w:after="0" w:line="235" w:lineRule="auto"/>
        <w:rPr>
          <w:rFonts w:ascii="Cambria" w:cs="Cambria" w:eastAsia="Cambria" w:hAnsi="Cambria"/>
          <w:sz w:val="20"/>
          <w:szCs w:val="20"/>
          <w:b w:val="1"/>
          <w:bCs w:val="1"/>
          <w:color w:val="auto"/>
        </w:rPr>
      </w:pPr>
      <w:r>
        <w:rPr>
          <w:rFonts w:ascii="Cambria" w:cs="Cambria" w:eastAsia="Cambria" w:hAnsi="Cambria"/>
          <w:sz w:val="20"/>
          <w:szCs w:val="20"/>
          <w:b w:val="1"/>
          <w:bCs w:val="1"/>
          <w:color w:val="auto"/>
        </w:rPr>
        <w:t>(5), at any time during the twelve month period ending on the Identification Date.</w:t>
      </w:r>
    </w:p>
    <w:p>
      <w:pPr>
        <w:spacing w:after="0" w:line="256" w:lineRule="exact"/>
        <w:rPr>
          <w:rFonts w:ascii="Cambria" w:cs="Cambria" w:eastAsia="Cambria" w:hAnsi="Cambria"/>
          <w:sz w:val="20"/>
          <w:szCs w:val="20"/>
          <w:b w:val="1"/>
          <w:bCs w:val="1"/>
          <w:color w:val="auto"/>
        </w:rPr>
      </w:pPr>
    </w:p>
    <w:p>
      <w:pPr>
        <w:jc w:val="both"/>
        <w:ind w:left="2860" w:right="900" w:hanging="658"/>
        <w:spacing w:after="0" w:line="242" w:lineRule="auto"/>
        <w:tabs>
          <w:tab w:leader="none" w:pos="2875" w:val="left"/>
        </w:tabs>
        <w:numPr>
          <w:ilvl w:val="0"/>
          <w:numId w:val="2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Participant who is a Key Employee on an Identification Date shall be treated as a Key Employee for purposes of the six month delay in distributions for the twelve month period beginning on the first day of a month no later than the fourth month following the Identification Date. The Identification Date and the effective date of the delay in distributions shall be determined in accordance with Section 1.06 of the Adoption Agreement.</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TOC-9-2</w:t>
      </w:r>
    </w:p>
    <w:p>
      <w:pPr>
        <w:sectPr>
          <w:pgSz w:w="11900" w:h="16838" w:orient="portrait"/>
          <w:cols w:equalWidth="0" w:num="1">
            <w:col w:w="11200"/>
          </w:cols>
          <w:pgMar w:left="340" w:top="1440" w:right="359" w:bottom="1440" w:gutter="0" w:footer="0" w:header="0"/>
          <w:type w:val="continuous"/>
        </w:sectPr>
      </w:pPr>
    </w:p>
    <w:bookmarkStart w:id="82" w:name="page83"/>
    <w:bookmarkEnd w:id="82"/>
    <w:p>
      <w:pPr>
        <w:spacing w:after="0" w:line="267" w:lineRule="exact"/>
        <w:rPr>
          <w:sz w:val="20"/>
          <w:szCs w:val="20"/>
          <w:color w:val="auto"/>
        </w:rPr>
      </w:pPr>
    </w:p>
    <w:p>
      <w:pPr>
        <w:jc w:val="both"/>
        <w:ind w:left="2860" w:right="900" w:hanging="658"/>
        <w:spacing w:after="0" w:line="239" w:lineRule="auto"/>
        <w:tabs>
          <w:tab w:leader="none" w:pos="2877" w:val="left"/>
        </w:tabs>
        <w:numPr>
          <w:ilvl w:val="0"/>
          <w:numId w:val="2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Plan Sponsor may elect to apply an alternative method to identify Participants who will be treated as Key Employees for purposes of the six month delay in distributions if the method satisfies each of the following requirements:</w:t>
      </w:r>
    </w:p>
    <w:p>
      <w:pPr>
        <w:spacing w:after="0" w:line="15" w:lineRule="exact"/>
        <w:rPr>
          <w:rFonts w:ascii="Cambria" w:cs="Cambria" w:eastAsia="Cambria" w:hAnsi="Cambria"/>
          <w:sz w:val="20"/>
          <w:szCs w:val="20"/>
          <w:b w:val="1"/>
          <w:bCs w:val="1"/>
          <w:color w:val="auto"/>
        </w:rPr>
      </w:pPr>
    </w:p>
    <w:p>
      <w:pPr>
        <w:jc w:val="both"/>
        <w:ind w:left="2860" w:right="900" w:hanging="10"/>
        <w:spacing w:after="0" w:line="241" w:lineRule="auto"/>
        <w:tabs>
          <w:tab w:leader="none" w:pos="3172" w:val="left"/>
        </w:tabs>
        <w:numPr>
          <w:ilvl w:val="1"/>
          <w:numId w:val="2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is reasonably designed to include all Key Employees, (ii) is an objectively determinable standard providing no direct or indirect election to any Participant regarding its application, and (iii) results in either all Key Employees or no more than 200 Key Employees being identified in the class as of any date. Use of an alternative method that satisfies the requirements of this Section 9.6(c) will not be treated as a change in the time and form of payment for purposes of Treas. Reg. § 1.409A-2(b).</w:t>
      </w:r>
    </w:p>
    <w:p>
      <w:pPr>
        <w:spacing w:after="0" w:line="255" w:lineRule="exact"/>
        <w:rPr>
          <w:rFonts w:ascii="Cambria" w:cs="Cambria" w:eastAsia="Cambria" w:hAnsi="Cambria"/>
          <w:sz w:val="20"/>
          <w:szCs w:val="20"/>
          <w:b w:val="1"/>
          <w:bCs w:val="1"/>
          <w:color w:val="auto"/>
        </w:rPr>
      </w:pPr>
    </w:p>
    <w:p>
      <w:pPr>
        <w:jc w:val="both"/>
        <w:ind w:left="2860" w:right="900" w:hanging="658"/>
        <w:spacing w:after="0" w:line="243" w:lineRule="auto"/>
        <w:tabs>
          <w:tab w:leader="none" w:pos="2876" w:val="left"/>
        </w:tabs>
        <w:numPr>
          <w:ilvl w:val="0"/>
          <w:numId w:val="2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six-month delay does not apply to payments described in Section 9.9(a), (b) or (d) or to payments that occur after the death of the Participant. If the payment of all or any portion of the Participant’s vested Account is being delayed in accordance with this Section 9.6 at the time he or she incurs a Disability which would otherwise require a distribution under the terms of the Plan, no amount shall be paid until the expiration of the six month period of delay required by this Section 9.6.</w:t>
      </w:r>
    </w:p>
    <w:p>
      <w:pPr>
        <w:spacing w:after="0" w:line="217"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9.7.</w:t>
      </w:r>
      <w:r>
        <w:rPr>
          <w:sz w:val="20"/>
          <w:szCs w:val="20"/>
          <w:color w:val="auto"/>
        </w:rPr>
        <w:tab/>
      </w:r>
      <w:r>
        <w:rPr>
          <w:rFonts w:ascii="Cambria" w:cs="Cambria" w:eastAsia="Cambria" w:hAnsi="Cambria"/>
          <w:sz w:val="25"/>
          <w:szCs w:val="25"/>
          <w:b w:val="1"/>
          <w:bCs w:val="1"/>
          <w:i w:val="1"/>
          <w:iCs w:val="1"/>
          <w:color w:val="auto"/>
        </w:rPr>
        <w:t>Change in Control</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u w:val="single" w:color="auto"/>
          <w:color w:val="auto"/>
        </w:rPr>
        <w:t>Administration Upon Change in Control</w:t>
      </w:r>
      <w:r>
        <w:rPr>
          <w:rFonts w:ascii="Cambria" w:cs="Cambria" w:eastAsia="Cambria" w:hAnsi="Cambria"/>
          <w:sz w:val="20"/>
          <w:szCs w:val="20"/>
          <w:b w:val="1"/>
          <w:bCs w:val="1"/>
          <w:color w:val="auto"/>
        </w:rPr>
        <w:t>. Upon a Change in Control, the Committee, as constituted immediately prior to such Change in Control, shall continue to act as the Committee. The individual who was the Chief Executive Officer of the Company (or if such person is unable or unwilling to act, the next highest ranking officer) prior to the Change in Control shall have the authority (but shall not be obligated) to appoint an independent third party to act as the Committee.</w:t>
      </w:r>
    </w:p>
    <w:p>
      <w:pPr>
        <w:spacing w:after="0" w:line="24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Upon such Change in Control, the Company may not remove the Committee, unless 2/3rds of the members of the Board of Directors of the Company and a majority of Participants and Beneficiaries with Account Balances consent to the removal and replacement of the Committee. Notwithstanding the foregoing, upon or after a Change in Control, neither the Committee nor the officer described above shall have authority to direct investment of trust assets under any rabbi trust described in Article 11 (which authority shall be exercised by the trustee of any such trust in accordance with the terms of the trust agreement).</w:t>
      </w:r>
    </w:p>
    <w:p>
      <w:pPr>
        <w:spacing w:after="0" w:line="255"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The Participating Employer shall, with respect to the Committee identified under this Section: (i) pay all reasonable expenses and fees of the Committee, (ii) indemnify the Committee (including individuals serving as Committee members) against any costs, expenses and liabilities including, without limitation, attorneys’ fees and expenses arising in connection with the performance of the Committee’s duties hereunder, except with respect to matters resulting from the Committee’s gross negligence or willful misconduct, and (iii) supply full and timely information to the Committee on all matters related to the Plan, any trust, Participants, Beneficiaries and Accounts as the Committee may reasonably require.</w:t>
      </w:r>
    </w:p>
    <w:p>
      <w:pPr>
        <w:spacing w:after="0" w:line="248"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If the Plan Sponsor has elected to permit distributions upon a Change in Control, the following provisions shall apply. A distribution made upon a Change in Control will be made at the time specified in Section 6.01(a) of the Adoption Agreement in the form elected by the Participant in accordance with the procedures described in Article 4. Alternatively, if the Plan Sponsor has elected in accordance with Section 11.02 of the Adoption Agreement to require distributions upon a Change in Control,</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TOC-9-3</w:t>
      </w:r>
    </w:p>
    <w:p>
      <w:pPr>
        <w:sectPr>
          <w:pgSz w:w="11900" w:h="16838" w:orient="portrait"/>
          <w:cols w:equalWidth="0" w:num="1">
            <w:col w:w="11200"/>
          </w:cols>
          <w:pgMar w:left="340" w:top="1440" w:right="359" w:bottom="1440" w:gutter="0" w:footer="0" w:header="0"/>
          <w:type w:val="continuous"/>
        </w:sectPr>
      </w:pPr>
    </w:p>
    <w:bookmarkStart w:id="83" w:name="page84"/>
    <w:bookmarkEnd w:id="83"/>
    <w:p>
      <w:pPr>
        <w:spacing w:after="0" w:line="267"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the Participant’s remaining vested Account shall be paid to the Participant or the Participant’s Beneficiary at the time specified in Section 6.01(a) of the Adoption Agreement as a single lump sum payment. A Change in Control, for purposes of the Plan, will occur upon a change in the ownership of the Plan Sponsor, a change in the effective control of the Plan Sponsor or a change in the ownership of a substantial portion of the assets of the Plan Sponsor, but only if elected by the Plan Sponsor in Section 11.03 of the Adoption Agreement. The Plan Sponsor, for this purpose, includes any corporation identified in this Section 9.7. All distributions made in accordance with this Section 9.7 are subject to the provisions of Section 9.6.</w:t>
      </w:r>
    </w:p>
    <w:p>
      <w:pPr>
        <w:spacing w:after="0" w:line="248"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If a Participant continues to make deferrals in accordance with Article 4 after he or she has received a distribution due to a Change in Control, the residual amount payable to the Participant shall be paid at the time and in the form specified in the elections he or she makes in accordance with Article 4 or upon his or her death or Disability as provided in Article 8.</w:t>
      </w:r>
    </w:p>
    <w:p>
      <w:pPr>
        <w:spacing w:after="0" w:line="239"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Whether a Change in Control has occurred will be determined by the Administrator in accordance with the rules and definitions set forth in this Section 9.7.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spacing w:after="0" w:line="200" w:lineRule="exact"/>
        <w:rPr>
          <w:sz w:val="20"/>
          <w:szCs w:val="20"/>
          <w:color w:val="auto"/>
        </w:rPr>
      </w:pPr>
    </w:p>
    <w:p>
      <w:pPr>
        <w:spacing w:after="0" w:line="292" w:lineRule="exact"/>
        <w:rPr>
          <w:sz w:val="20"/>
          <w:szCs w:val="20"/>
          <w:color w:val="auto"/>
        </w:rPr>
      </w:pPr>
    </w:p>
    <w:p>
      <w:pPr>
        <w:jc w:val="both"/>
        <w:ind w:left="2860" w:right="900" w:hanging="658"/>
        <w:spacing w:after="0" w:line="242" w:lineRule="auto"/>
        <w:tabs>
          <w:tab w:leader="none" w:pos="2877" w:val="left"/>
        </w:tabs>
        <w:numPr>
          <w:ilvl w:val="0"/>
          <w:numId w:val="26"/>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Relevant Corporations.</w:t>
      </w:r>
      <w:r>
        <w:rPr>
          <w:rFonts w:ascii="Cambria" w:cs="Cambria" w:eastAsia="Cambria" w:hAnsi="Cambria"/>
          <w:sz w:val="20"/>
          <w:szCs w:val="20"/>
          <w:b w:val="1"/>
          <w:bCs w:val="1"/>
          <w:color w:val="auto"/>
        </w:rPr>
        <w:t xml:space="preserve"> To constitute a Change in Control for purposes of the Plan, the event must relate to: (i) the 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w:t>
      </w:r>
    </w:p>
    <w:p>
      <w:pPr>
        <w:spacing w:after="0" w:line="7" w:lineRule="exact"/>
        <w:rPr>
          <w:sz w:val="20"/>
          <w:szCs w:val="20"/>
          <w:color w:val="auto"/>
        </w:rPr>
      </w:pPr>
    </w:p>
    <w:p>
      <w:pPr>
        <w:ind w:left="2860"/>
        <w:spacing w:after="0"/>
        <w:rPr>
          <w:sz w:val="20"/>
          <w:szCs w:val="20"/>
          <w:color w:val="auto"/>
        </w:rPr>
      </w:pPr>
      <w:r>
        <w:rPr>
          <w:rFonts w:ascii="Cambria" w:cs="Cambria" w:eastAsia="Cambria" w:hAnsi="Cambria"/>
          <w:sz w:val="20"/>
          <w:szCs w:val="20"/>
          <w:b w:val="1"/>
          <w:bCs w:val="1"/>
          <w:color w:val="auto"/>
        </w:rPr>
        <w:t>or (iii) a corporation that is a majority shareholder of a corporation identified in</w:t>
      </w:r>
    </w:p>
    <w:p>
      <w:pPr>
        <w:jc w:val="both"/>
        <w:ind w:left="2860" w:right="900" w:hanging="10"/>
        <w:spacing w:after="0" w:line="244" w:lineRule="auto"/>
        <w:tabs>
          <w:tab w:leader="none" w:pos="3216" w:val="left"/>
        </w:tabs>
        <w:numPr>
          <w:ilvl w:val="1"/>
          <w:numId w:val="2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239" w:lineRule="exact"/>
        <w:rPr>
          <w:rFonts w:ascii="Cambria" w:cs="Cambria" w:eastAsia="Cambria" w:hAnsi="Cambria"/>
          <w:sz w:val="20"/>
          <w:szCs w:val="20"/>
          <w:b w:val="1"/>
          <w:bCs w:val="1"/>
          <w:color w:val="auto"/>
        </w:rPr>
      </w:pPr>
    </w:p>
    <w:p>
      <w:pPr>
        <w:jc w:val="both"/>
        <w:ind w:left="2860" w:right="900" w:hanging="658"/>
        <w:spacing w:after="0" w:line="244" w:lineRule="auto"/>
        <w:tabs>
          <w:tab w:leader="none" w:pos="2875" w:val="left"/>
        </w:tabs>
        <w:numPr>
          <w:ilvl w:val="0"/>
          <w:numId w:val="28"/>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Stock Ownership.</w:t>
      </w:r>
      <w:r>
        <w:rPr>
          <w:rFonts w:ascii="Cambria" w:cs="Cambria" w:eastAsia="Cambria" w:hAnsi="Cambria"/>
          <w:sz w:val="20"/>
          <w:szCs w:val="20"/>
          <w:b w:val="1"/>
          <w:bCs w:val="1"/>
          <w:color w:val="auto"/>
        </w:rPr>
        <w:t xml:space="preserve"> Code Section 318(a) applies for purposes of determining stock ownership. Stock underlying a 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 Reg. § 1.83-3(b) and (j)) the stock underlying the option is not treated as owned by the individual who holds the option.</w:t>
      </w:r>
    </w:p>
    <w:p>
      <w:pPr>
        <w:spacing w:after="0" w:line="239" w:lineRule="exact"/>
        <w:rPr>
          <w:rFonts w:ascii="Cambria" w:cs="Cambria" w:eastAsia="Cambria" w:hAnsi="Cambria"/>
          <w:sz w:val="20"/>
          <w:szCs w:val="20"/>
          <w:b w:val="1"/>
          <w:bCs w:val="1"/>
          <w:color w:val="auto"/>
        </w:rPr>
      </w:pPr>
    </w:p>
    <w:p>
      <w:pPr>
        <w:jc w:val="both"/>
        <w:ind w:left="2860" w:right="900" w:hanging="658"/>
        <w:spacing w:after="0" w:line="239" w:lineRule="auto"/>
        <w:tabs>
          <w:tab w:leader="none" w:pos="2877" w:val="left"/>
        </w:tabs>
        <w:numPr>
          <w:ilvl w:val="0"/>
          <w:numId w:val="28"/>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Change in the Ownership of a Corporation.</w:t>
      </w:r>
      <w:r>
        <w:rPr>
          <w:rFonts w:ascii="Cambria" w:cs="Cambria" w:eastAsia="Cambria" w:hAnsi="Cambria"/>
          <w:sz w:val="20"/>
          <w:szCs w:val="20"/>
          <w:b w:val="1"/>
          <w:bCs w:val="1"/>
          <w:color w:val="auto"/>
        </w:rPr>
        <w:t xml:space="preserve"> A change in the ownership of a corporation occurs on the date that any one person or more than one person acting as a group, acquires ownership of stock of the corporation that,</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TOC-9-4</w:t>
      </w:r>
    </w:p>
    <w:p>
      <w:pPr>
        <w:sectPr>
          <w:pgSz w:w="11900" w:h="16838" w:orient="portrait"/>
          <w:cols w:equalWidth="0" w:num="1">
            <w:col w:w="11200"/>
          </w:cols>
          <w:pgMar w:left="340" w:top="1440" w:right="359" w:bottom="1440" w:gutter="0" w:footer="0" w:header="0"/>
          <w:type w:val="continuous"/>
        </w:sectPr>
      </w:pPr>
    </w:p>
    <w:bookmarkStart w:id="84" w:name="page85"/>
    <w:bookmarkEnd w:id="84"/>
    <w:p>
      <w:pPr>
        <w:spacing w:after="0" w:line="267" w:lineRule="exact"/>
        <w:rPr>
          <w:sz w:val="20"/>
          <w:szCs w:val="20"/>
          <w:color w:val="auto"/>
        </w:rPr>
      </w:pPr>
    </w:p>
    <w:p>
      <w:pPr>
        <w:jc w:val="both"/>
        <w:ind w:left="2860" w:right="900"/>
        <w:spacing w:after="0" w:line="243" w:lineRule="auto"/>
        <w:rPr>
          <w:sz w:val="20"/>
          <w:szCs w:val="20"/>
          <w:color w:val="auto"/>
        </w:rPr>
      </w:pPr>
      <w:r>
        <w:rPr>
          <w:rFonts w:ascii="Cambria" w:cs="Cambria" w:eastAsia="Cambria" w:hAnsi="Cambria"/>
          <w:sz w:val="20"/>
          <w:szCs w:val="20"/>
          <w:b w:val="1"/>
          <w:bCs w:val="1"/>
          <w:color w:val="auto"/>
        </w:rPr>
        <w:t>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9.7(d)). An increase in the percentage of stock owned by any one person, or persons acting as a group, as a result of a transaction in which the corporation acquires its stock in exchange for property will be treated as an acquisition of stock. Section 9.7(c) applies only when there is a transfer of stock of a corporation (or issuance of stock of a corporation) and stock in such corporation remains outstanding after the transaction. For purposes of this Section 9.7(c),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spacing w:after="0" w:line="242" w:lineRule="exact"/>
        <w:rPr>
          <w:sz w:val="20"/>
          <w:szCs w:val="20"/>
          <w:color w:val="auto"/>
        </w:rPr>
      </w:pPr>
    </w:p>
    <w:p>
      <w:pPr>
        <w:jc w:val="both"/>
        <w:ind w:left="2860" w:right="900" w:hanging="658"/>
        <w:spacing w:after="0" w:line="243" w:lineRule="auto"/>
        <w:tabs>
          <w:tab w:leader="none" w:pos="2876" w:val="left"/>
        </w:tabs>
        <w:numPr>
          <w:ilvl w:val="0"/>
          <w:numId w:val="29"/>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Change in the Effective Control of a Corporation.</w:t>
      </w:r>
      <w:r>
        <w:rPr>
          <w:rFonts w:ascii="Cambria" w:cs="Cambria" w:eastAsia="Cambria" w:hAnsi="Cambria"/>
          <w:sz w:val="20"/>
          <w:szCs w:val="20"/>
          <w:b w:val="1"/>
          <w:bCs w:val="1"/>
          <w:color w:val="auto"/>
        </w:rPr>
        <w:t xml:space="preserve"> A change in the effective control of a corporation occurs on the date that either (i)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9.7(a) for which no other corporation is a majority shareholder for purposes of Section 9.7(a). In the absence of an event described in Section 9.7(d)(i)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9.7(c) or a change in the ownership of a substantial portion of the assets of such corporation as described in Section 9.7(e). If any one person, or more than one person acting as a group, is considered to effectively control a corporation within the meaning of this Section 9.7(d), the acquisition of additional control of the corporation by the same person or persons is not considered to cause a change in the effective control of the corporation or to cause a change in the ownership of the corporation within the meaning of Section 9.7(c). For purposes of this Section 9.7(d), persons will or will not be considered to be</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TOC-9-5</w:t>
      </w:r>
    </w:p>
    <w:p>
      <w:pPr>
        <w:sectPr>
          <w:pgSz w:w="11900" w:h="16838" w:orient="portrait"/>
          <w:cols w:equalWidth="0" w:num="1">
            <w:col w:w="11200"/>
          </w:cols>
          <w:pgMar w:left="340" w:top="1440" w:right="359" w:bottom="1440" w:gutter="0" w:footer="0" w:header="0"/>
          <w:type w:val="continuous"/>
        </w:sectPr>
      </w:pPr>
    </w:p>
    <w:bookmarkStart w:id="85" w:name="page86"/>
    <w:bookmarkEnd w:id="85"/>
    <w:p>
      <w:pPr>
        <w:spacing w:after="0" w:line="267" w:lineRule="exact"/>
        <w:rPr>
          <w:sz w:val="20"/>
          <w:szCs w:val="20"/>
          <w:color w:val="auto"/>
        </w:rPr>
      </w:pPr>
    </w:p>
    <w:p>
      <w:pPr>
        <w:jc w:val="both"/>
        <w:ind w:left="2860" w:right="900"/>
        <w:spacing w:after="0" w:line="243" w:lineRule="auto"/>
        <w:rPr>
          <w:sz w:val="20"/>
          <w:szCs w:val="20"/>
          <w:color w:val="auto"/>
        </w:rPr>
      </w:pPr>
      <w:r>
        <w:rPr>
          <w:rFonts w:ascii="Cambria" w:cs="Cambria" w:eastAsia="Cambria" w:hAnsi="Cambria"/>
          <w:sz w:val="20"/>
          <w:szCs w:val="20"/>
          <w:b w:val="1"/>
          <w:bCs w:val="1"/>
          <w:color w:val="auto"/>
        </w:rPr>
        <w:t>acting as a group in accordance with rules similar to those set forth in Section 9.7(c)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242" w:lineRule="exact"/>
        <w:rPr>
          <w:sz w:val="20"/>
          <w:szCs w:val="20"/>
          <w:color w:val="auto"/>
        </w:rPr>
      </w:pPr>
    </w:p>
    <w:p>
      <w:pPr>
        <w:jc w:val="both"/>
        <w:ind w:left="2860" w:right="900" w:hanging="658"/>
        <w:spacing w:after="0" w:line="243" w:lineRule="auto"/>
        <w:tabs>
          <w:tab w:leader="none" w:pos="2876" w:val="left"/>
        </w:tabs>
        <w:numPr>
          <w:ilvl w:val="0"/>
          <w:numId w:val="30"/>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Change in the Ownership of a Substantial Portion of a Corporation’s Assets.</w:t>
      </w:r>
      <w:r>
        <w:rPr>
          <w:rFonts w:ascii="Cambria" w:cs="Cambria" w:eastAsia="Cambria" w:hAnsi="Cambria"/>
          <w:sz w:val="20"/>
          <w:szCs w:val="20"/>
          <w:b w:val="1"/>
          <w:bCs w:val="1"/>
          <w:color w:val="auto"/>
        </w:rPr>
        <w:t xml:space="preserve"> A change in the ownership of a substantial portion of a corporation’s assets occurs on the date that any one person, or more than one person acting as a group (as determined in accordance with rules similar to those set forth in Section 9.7(d)),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9.7(e)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9.7(e)(iii). For purposes of the foregoing, and except as otherwise provided, a person’s status is determined immediately after the transfer of assets.</w:t>
      </w:r>
    </w:p>
    <w:p>
      <w:pPr>
        <w:spacing w:after="0" w:line="229"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9.8.</w:t>
      </w:r>
      <w:r>
        <w:rPr>
          <w:sz w:val="20"/>
          <w:szCs w:val="20"/>
          <w:color w:val="auto"/>
        </w:rPr>
        <w:tab/>
      </w:r>
      <w:r>
        <w:rPr>
          <w:rFonts w:ascii="Cambria" w:cs="Cambria" w:eastAsia="Cambria" w:hAnsi="Cambria"/>
          <w:sz w:val="25"/>
          <w:szCs w:val="25"/>
          <w:b w:val="1"/>
          <w:bCs w:val="1"/>
          <w:i w:val="1"/>
          <w:iCs w:val="1"/>
          <w:color w:val="auto"/>
        </w:rPr>
        <w:t>Permissible Delays in Payment</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Distributions may be delayed beyond the date payment would otherwise occur in accordance with the provisions of Articles 8 and 9 in any of the following circumstances (as long as the Employer treats all payments to similarly situated Participants on a reasonably consistent basis):</w:t>
      </w:r>
    </w:p>
    <w:p>
      <w:pPr>
        <w:spacing w:after="0" w:line="256" w:lineRule="exact"/>
        <w:rPr>
          <w:sz w:val="20"/>
          <w:szCs w:val="20"/>
          <w:color w:val="auto"/>
        </w:rPr>
      </w:pPr>
    </w:p>
    <w:p>
      <w:pPr>
        <w:jc w:val="both"/>
        <w:ind w:left="2860" w:right="900" w:hanging="658"/>
        <w:spacing w:after="0" w:line="241" w:lineRule="auto"/>
        <w:tabs>
          <w:tab w:leader="none" w:pos="2877" w:val="left"/>
        </w:tabs>
        <w:numPr>
          <w:ilvl w:val="0"/>
          <w:numId w:val="3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TOC-9-6</w:t>
      </w:r>
    </w:p>
    <w:p>
      <w:pPr>
        <w:sectPr>
          <w:pgSz w:w="11900" w:h="16838" w:orient="portrait"/>
          <w:cols w:equalWidth="0" w:num="1">
            <w:col w:w="11200"/>
          </w:cols>
          <w:pgMar w:left="340" w:top="1440" w:right="359" w:bottom="1440" w:gutter="0" w:footer="0" w:header="0"/>
          <w:type w:val="continuous"/>
        </w:sectPr>
      </w:pPr>
    </w:p>
    <w:bookmarkStart w:id="86" w:name="page87"/>
    <w:bookmarkEnd w:id="86"/>
    <w:p>
      <w:pPr>
        <w:spacing w:after="0" w:line="265" w:lineRule="exact"/>
        <w:rPr>
          <w:sz w:val="20"/>
          <w:szCs w:val="20"/>
          <w:color w:val="auto"/>
        </w:rPr>
      </w:pPr>
    </w:p>
    <w:p>
      <w:pPr>
        <w:jc w:val="both"/>
        <w:ind w:left="2860" w:right="900"/>
        <w:spacing w:after="0" w:line="228" w:lineRule="auto"/>
        <w:rPr>
          <w:sz w:val="20"/>
          <w:szCs w:val="20"/>
          <w:color w:val="auto"/>
        </w:rPr>
      </w:pPr>
      <w:r>
        <w:rPr>
          <w:rFonts w:ascii="Cambria" w:cs="Cambria" w:eastAsia="Cambria" w:hAnsi="Cambria"/>
          <w:sz w:val="20"/>
          <w:szCs w:val="20"/>
          <w:b w:val="1"/>
          <w:bCs w:val="1"/>
          <w:color w:val="auto"/>
        </w:rPr>
        <w:t>the 15</w:t>
      </w:r>
      <w:r>
        <w:rPr>
          <w:rFonts w:ascii="Cambria" w:cs="Cambria" w:eastAsia="Cambria" w:hAnsi="Cambria"/>
          <w:sz w:val="25"/>
          <w:szCs w:val="25"/>
          <w:b w:val="1"/>
          <w:bCs w:val="1"/>
          <w:color w:val="auto"/>
          <w:vertAlign w:val="superscript"/>
        </w:rPr>
        <w:t>th</w:t>
      </w:r>
      <w:r>
        <w:rPr>
          <w:rFonts w:ascii="Cambria" w:cs="Cambria" w:eastAsia="Cambria" w:hAnsi="Cambria"/>
          <w:sz w:val="20"/>
          <w:szCs w:val="20"/>
          <w:b w:val="1"/>
          <w:bCs w:val="1"/>
          <w:color w:val="auto"/>
        </w:rPr>
        <w:t xml:space="preserve"> day of the third month following the Participant’s Separation from Service. If a scheduled payment to a Participant is delayed in accordance with this Section 9.8(a), all scheduled payments to the Participant that could be delayed in accordance with this Section 9.8(a) will also be delayed.</w:t>
      </w:r>
    </w:p>
    <w:p>
      <w:pPr>
        <w:spacing w:after="0" w:line="243" w:lineRule="exact"/>
        <w:rPr>
          <w:sz w:val="20"/>
          <w:szCs w:val="20"/>
          <w:color w:val="auto"/>
        </w:rPr>
      </w:pPr>
    </w:p>
    <w:p>
      <w:pPr>
        <w:jc w:val="both"/>
        <w:ind w:left="2860" w:right="900" w:hanging="658"/>
        <w:spacing w:after="0" w:line="244" w:lineRule="auto"/>
        <w:tabs>
          <w:tab w:leader="none" w:pos="2875" w:val="left"/>
        </w:tabs>
        <w:numPr>
          <w:ilvl w:val="0"/>
          <w:numId w:val="3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239" w:lineRule="exact"/>
        <w:rPr>
          <w:rFonts w:ascii="Cambria" w:cs="Cambria" w:eastAsia="Cambria" w:hAnsi="Cambria"/>
          <w:sz w:val="20"/>
          <w:szCs w:val="20"/>
          <w:b w:val="1"/>
          <w:bCs w:val="1"/>
          <w:color w:val="auto"/>
        </w:rPr>
      </w:pPr>
    </w:p>
    <w:p>
      <w:pPr>
        <w:jc w:val="both"/>
        <w:ind w:left="2860" w:right="920" w:hanging="658"/>
        <w:spacing w:after="0" w:line="242" w:lineRule="auto"/>
        <w:tabs>
          <w:tab w:leader="none" w:pos="2877" w:val="left"/>
        </w:tabs>
        <w:numPr>
          <w:ilvl w:val="0"/>
          <w:numId w:val="3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231"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9.9.</w:t>
      </w:r>
      <w:r>
        <w:rPr>
          <w:sz w:val="20"/>
          <w:szCs w:val="20"/>
          <w:color w:val="auto"/>
        </w:rPr>
        <w:tab/>
      </w:r>
      <w:r>
        <w:rPr>
          <w:rFonts w:ascii="Cambria" w:cs="Cambria" w:eastAsia="Cambria" w:hAnsi="Cambria"/>
          <w:sz w:val="25"/>
          <w:szCs w:val="25"/>
          <w:b w:val="1"/>
          <w:bCs w:val="1"/>
          <w:i w:val="1"/>
          <w:iCs w:val="1"/>
          <w:color w:val="auto"/>
        </w:rPr>
        <w:t>Permitted Acceleration of Payment</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The Employer may permit acceleration of the time or schedule of any payment or amount scheduled to be paid pursuant to a payment under the Plan provided such acceleration would be permitted by the provisions of Treas. Reg. § 1.409A-3(j)(4), including the following events:</w:t>
      </w:r>
    </w:p>
    <w:p>
      <w:pPr>
        <w:spacing w:after="0" w:line="256" w:lineRule="exact"/>
        <w:rPr>
          <w:sz w:val="20"/>
          <w:szCs w:val="20"/>
          <w:color w:val="auto"/>
        </w:rPr>
      </w:pPr>
    </w:p>
    <w:p>
      <w:pPr>
        <w:jc w:val="both"/>
        <w:ind w:left="2860" w:right="900" w:hanging="658"/>
        <w:spacing w:after="0" w:line="239" w:lineRule="auto"/>
        <w:tabs>
          <w:tab w:leader="none" w:pos="2877" w:val="left"/>
        </w:tabs>
        <w:numPr>
          <w:ilvl w:val="0"/>
          <w:numId w:val="33"/>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Domestic Relations Order.</w:t>
      </w:r>
      <w:r>
        <w:rPr>
          <w:rFonts w:ascii="Cambria" w:cs="Cambria" w:eastAsia="Cambria" w:hAnsi="Cambria"/>
          <w:sz w:val="20"/>
          <w:szCs w:val="20"/>
          <w:b w:val="1"/>
          <w:bCs w:val="1"/>
          <w:color w:val="auto"/>
        </w:rPr>
        <w:t xml:space="preserve"> A payment may be accelerated if such payment is made to an alternate payee pursuant to and following the receipt and qualification of a domestic relations order as defined in Code Section 414(p).</w:t>
      </w:r>
    </w:p>
    <w:p>
      <w:pPr>
        <w:spacing w:after="0" w:line="258" w:lineRule="exact"/>
        <w:rPr>
          <w:rFonts w:ascii="Cambria" w:cs="Cambria" w:eastAsia="Cambria" w:hAnsi="Cambria"/>
          <w:sz w:val="20"/>
          <w:szCs w:val="20"/>
          <w:b w:val="1"/>
          <w:bCs w:val="1"/>
          <w:color w:val="auto"/>
        </w:rPr>
      </w:pPr>
    </w:p>
    <w:p>
      <w:pPr>
        <w:jc w:val="both"/>
        <w:ind w:left="2860" w:right="900" w:hanging="658"/>
        <w:spacing w:after="0"/>
        <w:tabs>
          <w:tab w:leader="none" w:pos="2875" w:val="left"/>
        </w:tabs>
        <w:numPr>
          <w:ilvl w:val="0"/>
          <w:numId w:val="33"/>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Compliance with Ethics Agreement and Legal Requirements.</w:t>
      </w:r>
      <w:r>
        <w:rPr>
          <w:rFonts w:ascii="Cambria" w:cs="Cambria" w:eastAsia="Cambria" w:hAnsi="Cambria"/>
          <w:sz w:val="20"/>
          <w:szCs w:val="20"/>
          <w:b w:val="1"/>
          <w:bCs w:val="1"/>
          <w:color w:val="auto"/>
        </w:rPr>
        <w:t xml:space="preserve"> A payment may be accelerated as may be necessary to comply with ethics agreements with the Federal government or as may be reasonably necessary to avoid the violation of Federal, state, local or foreign ethics law or conflicts of laws, in accordance with the requirements of Code Section 409A.</w:t>
      </w:r>
    </w:p>
    <w:p>
      <w:pPr>
        <w:spacing w:after="0" w:line="258" w:lineRule="exact"/>
        <w:rPr>
          <w:rFonts w:ascii="Cambria" w:cs="Cambria" w:eastAsia="Cambria" w:hAnsi="Cambria"/>
          <w:sz w:val="20"/>
          <w:szCs w:val="20"/>
          <w:b w:val="1"/>
          <w:bCs w:val="1"/>
          <w:color w:val="auto"/>
        </w:rPr>
      </w:pPr>
    </w:p>
    <w:p>
      <w:pPr>
        <w:jc w:val="both"/>
        <w:ind w:left="2860" w:right="900" w:hanging="658"/>
        <w:spacing w:after="0"/>
        <w:tabs>
          <w:tab w:leader="none" w:pos="2877" w:val="left"/>
        </w:tabs>
        <w:numPr>
          <w:ilvl w:val="0"/>
          <w:numId w:val="33"/>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De Minimis Amounts.</w:t>
      </w:r>
      <w:r>
        <w:rPr>
          <w:rFonts w:ascii="Cambria" w:cs="Cambria" w:eastAsia="Cambria" w:hAnsi="Cambria"/>
          <w:sz w:val="20"/>
          <w:szCs w:val="20"/>
          <w:b w:val="1"/>
          <w:bCs w:val="1"/>
          <w:color w:val="auto"/>
        </w:rPr>
        <w:t xml:space="preserve"> A payment may be accelerated if (i) the amount of the payment is not greater than the applicable dollar amount under Code Section 402(g)(1)(B), and (ii) at the time the payment is made the amount constitutes the Participant’s entire interest under the Plan and all other plans that are aggregated with the Plan under Treas. Reg. § 1.409A-1(c)(2).</w:t>
      </w:r>
    </w:p>
    <w:p>
      <w:pPr>
        <w:spacing w:after="0" w:line="245" w:lineRule="exact"/>
        <w:rPr>
          <w:rFonts w:ascii="Cambria" w:cs="Cambria" w:eastAsia="Cambria" w:hAnsi="Cambria"/>
          <w:sz w:val="20"/>
          <w:szCs w:val="20"/>
          <w:b w:val="1"/>
          <w:bCs w:val="1"/>
          <w:color w:val="auto"/>
        </w:rPr>
      </w:pPr>
    </w:p>
    <w:p>
      <w:pPr>
        <w:jc w:val="both"/>
        <w:ind w:left="2860" w:right="900" w:hanging="658"/>
        <w:spacing w:after="0" w:line="242" w:lineRule="auto"/>
        <w:tabs>
          <w:tab w:leader="none" w:pos="2876" w:val="left"/>
        </w:tabs>
        <w:numPr>
          <w:ilvl w:val="0"/>
          <w:numId w:val="33"/>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FICA Tax.</w:t>
      </w:r>
      <w:r>
        <w:rPr>
          <w:rFonts w:ascii="Cambria" w:cs="Cambria" w:eastAsia="Cambria" w:hAnsi="Cambria"/>
          <w:sz w:val="20"/>
          <w:szCs w:val="20"/>
          <w:b w:val="1"/>
          <w:bCs w:val="1"/>
          <w:color w:val="auto"/>
        </w:rPr>
        <w:t xml:space="preserve"> A payment may be accelerated to the extent required to pay the Federal Insurance Contributions Act tax imposed under Code 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w:t>
      </w:r>
    </w:p>
    <w:p>
      <w:pPr>
        <w:spacing w:after="0" w:line="261" w:lineRule="exact"/>
        <w:rPr>
          <w:rFonts w:ascii="Cambria" w:cs="Cambria" w:eastAsia="Cambria" w:hAnsi="Cambria"/>
          <w:sz w:val="20"/>
          <w:szCs w:val="20"/>
          <w:b w:val="1"/>
          <w:bCs w:val="1"/>
          <w:color w:val="auto"/>
        </w:rPr>
      </w:pPr>
    </w:p>
    <w:p>
      <w:pPr>
        <w:ind w:left="2860" w:right="900" w:hanging="658"/>
        <w:spacing w:after="0" w:line="235" w:lineRule="auto"/>
        <w:tabs>
          <w:tab w:leader="none" w:pos="2876" w:val="left"/>
        </w:tabs>
        <w:numPr>
          <w:ilvl w:val="0"/>
          <w:numId w:val="33"/>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Section 409A Additional Tax.</w:t>
      </w:r>
      <w:r>
        <w:rPr>
          <w:rFonts w:ascii="Cambria" w:cs="Cambria" w:eastAsia="Cambria" w:hAnsi="Cambria"/>
          <w:sz w:val="20"/>
          <w:szCs w:val="20"/>
          <w:b w:val="1"/>
          <w:bCs w:val="1"/>
          <w:color w:val="auto"/>
        </w:rPr>
        <w:t xml:space="preserve"> A payment may be accelerated if the Plan fails to meet the requirements of Code Section 409A; provided that such payment</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TOC-9-7</w:t>
      </w:r>
    </w:p>
    <w:p>
      <w:pPr>
        <w:sectPr>
          <w:pgSz w:w="11900" w:h="16838" w:orient="portrait"/>
          <w:cols w:equalWidth="0" w:num="1">
            <w:col w:w="11200"/>
          </w:cols>
          <w:pgMar w:left="340" w:top="1440" w:right="359" w:bottom="1440" w:gutter="0" w:footer="0" w:header="0"/>
          <w:type w:val="continuous"/>
        </w:sectPr>
      </w:pPr>
    </w:p>
    <w:bookmarkStart w:id="87" w:name="page88"/>
    <w:bookmarkEnd w:id="87"/>
    <w:p>
      <w:pPr>
        <w:spacing w:after="0" w:line="267" w:lineRule="exact"/>
        <w:rPr>
          <w:sz w:val="20"/>
          <w:szCs w:val="20"/>
          <w:color w:val="auto"/>
        </w:rPr>
      </w:pPr>
    </w:p>
    <w:p>
      <w:pPr>
        <w:ind w:left="2860" w:right="900"/>
        <w:spacing w:after="0" w:line="244" w:lineRule="auto"/>
        <w:rPr>
          <w:sz w:val="20"/>
          <w:szCs w:val="20"/>
          <w:color w:val="auto"/>
        </w:rPr>
      </w:pPr>
      <w:r>
        <w:rPr>
          <w:rFonts w:ascii="Cambria" w:cs="Cambria" w:eastAsia="Cambria" w:hAnsi="Cambria"/>
          <w:sz w:val="20"/>
          <w:szCs w:val="20"/>
          <w:b w:val="1"/>
          <w:bCs w:val="1"/>
          <w:color w:val="auto"/>
        </w:rPr>
        <w:t>may not exceed the amount required to be included in income as a result of the failure to comply with the requirements of Code Section 409A.</w:t>
      </w:r>
    </w:p>
    <w:p>
      <w:pPr>
        <w:spacing w:after="0" w:line="239" w:lineRule="exact"/>
        <w:rPr>
          <w:sz w:val="20"/>
          <w:szCs w:val="20"/>
          <w:color w:val="auto"/>
        </w:rPr>
      </w:pPr>
    </w:p>
    <w:p>
      <w:pPr>
        <w:jc w:val="both"/>
        <w:ind w:left="2860" w:right="900" w:hanging="658"/>
        <w:spacing w:after="0" w:line="243" w:lineRule="auto"/>
        <w:tabs>
          <w:tab w:leader="none" w:pos="2892" w:val="left"/>
        </w:tabs>
        <w:numPr>
          <w:ilvl w:val="0"/>
          <w:numId w:val="34"/>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Offset.</w:t>
      </w:r>
      <w:r>
        <w:rPr>
          <w:rFonts w:ascii="Cambria" w:cs="Cambria" w:eastAsia="Cambria" w:hAnsi="Cambria"/>
          <w:sz w:val="20"/>
          <w:szCs w:val="20"/>
          <w:b w:val="1"/>
          <w:bCs w:val="1"/>
          <w:color w:val="auto"/>
        </w:rPr>
        <w:t xml:space="preserve"> A payment may be accelerated in the Employer’s discretion as satisfaction of a debt of the Participant to the 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241" w:lineRule="exact"/>
        <w:rPr>
          <w:rFonts w:ascii="Cambria" w:cs="Cambria" w:eastAsia="Cambria" w:hAnsi="Cambria"/>
          <w:sz w:val="20"/>
          <w:szCs w:val="20"/>
          <w:b w:val="1"/>
          <w:bCs w:val="1"/>
          <w:color w:val="auto"/>
        </w:rPr>
      </w:pPr>
    </w:p>
    <w:p>
      <w:pPr>
        <w:jc w:val="both"/>
        <w:ind w:left="2860" w:right="900" w:hanging="658"/>
        <w:spacing w:after="0" w:line="246" w:lineRule="auto"/>
        <w:tabs>
          <w:tab w:leader="none" w:pos="2877" w:val="left"/>
        </w:tabs>
        <w:numPr>
          <w:ilvl w:val="0"/>
          <w:numId w:val="34"/>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Other Events.</w:t>
      </w:r>
      <w:r>
        <w:rPr>
          <w:rFonts w:ascii="Cambria" w:cs="Cambria" w:eastAsia="Cambria" w:hAnsi="Cambria"/>
          <w:sz w:val="20"/>
          <w:szCs w:val="20"/>
          <w:b w:val="1"/>
          <w:bCs w:val="1"/>
          <w:color w:val="auto"/>
        </w:rPr>
        <w:t xml:space="preserve"> A payment may be accelerated in the Administrator’s discretion in connection with such other events and conditions as permitted by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TOC-9-8</w:t>
      </w:r>
    </w:p>
    <w:p>
      <w:pPr>
        <w:sectPr>
          <w:pgSz w:w="11900" w:h="16838" w:orient="portrait"/>
          <w:cols w:equalWidth="0" w:num="1">
            <w:col w:w="11200"/>
          </w:cols>
          <w:pgMar w:left="340" w:top="1440" w:right="359" w:bottom="1440" w:gutter="0" w:footer="0" w:header="0"/>
        </w:sectPr>
      </w:pPr>
    </w:p>
    <w:bookmarkStart w:id="88" w:name="page89"/>
    <w:bookmarkEnd w:id="88"/>
    <w:p>
      <w:pPr>
        <w:spacing w:after="0" w:line="231" w:lineRule="exact"/>
        <w:rPr>
          <w:sz w:val="20"/>
          <w:szCs w:val="20"/>
          <w:color w:val="auto"/>
        </w:rPr>
      </w:pPr>
    </w:p>
    <w:p>
      <w:pPr>
        <w:ind w:left="660"/>
        <w:spacing w:after="0"/>
        <w:rPr>
          <w:sz w:val="20"/>
          <w:szCs w:val="20"/>
          <w:color w:val="auto"/>
        </w:rPr>
      </w:pPr>
      <w:r>
        <w:rPr>
          <w:rFonts w:ascii="Cambria" w:cs="Cambria" w:eastAsia="Cambria" w:hAnsi="Cambria"/>
          <w:sz w:val="29"/>
          <w:szCs w:val="29"/>
          <w:b w:val="1"/>
          <w:bCs w:val="1"/>
          <w:color w:val="auto"/>
        </w:rPr>
        <w:t>Article 10 - Amendment and Termination</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10.1.</w:t>
      </w:r>
      <w:r>
        <w:rPr>
          <w:sz w:val="20"/>
          <w:szCs w:val="20"/>
          <w:color w:val="auto"/>
        </w:rPr>
        <w:tab/>
      </w:r>
      <w:r>
        <w:rPr>
          <w:rFonts w:ascii="Cambria" w:cs="Cambria" w:eastAsia="Cambria" w:hAnsi="Cambria"/>
          <w:sz w:val="25"/>
          <w:szCs w:val="25"/>
          <w:b w:val="1"/>
          <w:bCs w:val="1"/>
          <w:i w:val="1"/>
          <w:iCs w:val="1"/>
          <w:color w:val="auto"/>
        </w:rPr>
        <w:t>Amendment by Plan Sponsor</w:t>
      </w:r>
    </w:p>
    <w:p>
      <w:pPr>
        <w:spacing w:after="0" w:line="96"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The Plan Sponsor reserves the right to amend the Plan (for itself and each Employer) through action of its Board of Directors or other authorized person. No amendment can directly or indirectly deprive any current or former Participant or Beneficiary of all or any portion of his or her Account which had accrued and vested prior to the amendment.</w:t>
      </w:r>
    </w:p>
    <w:p>
      <w:pPr>
        <w:spacing w:after="0" w:line="234" w:lineRule="exact"/>
        <w:rPr>
          <w:sz w:val="20"/>
          <w:szCs w:val="20"/>
          <w:color w:val="auto"/>
        </w:rPr>
      </w:pPr>
    </w:p>
    <w:p>
      <w:pPr>
        <w:ind w:left="1120" w:right="900" w:firstLine="37"/>
        <w:spacing w:after="0"/>
        <w:rPr>
          <w:sz w:val="20"/>
          <w:szCs w:val="20"/>
          <w:color w:val="auto"/>
        </w:rPr>
      </w:pPr>
      <w:r>
        <w:rPr>
          <w:rFonts w:ascii="Cambria" w:cs="Cambria" w:eastAsia="Cambria" w:hAnsi="Cambria"/>
          <w:sz w:val="25"/>
          <w:szCs w:val="25"/>
          <w:b w:val="1"/>
          <w:bCs w:val="1"/>
          <w:i w:val="1"/>
          <w:iCs w:val="1"/>
          <w:color w:val="auto"/>
        </w:rPr>
        <w:t>10.2. Plan Termination Following Change in Control or Corporate Dissolution</w:t>
      </w:r>
    </w:p>
    <w:p>
      <w:pPr>
        <w:spacing w:after="0" w:line="339"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If so elected by the Plan Sponsor in 11.01 of the Adoption Agreement, the Plan Sponsor reserves the right to terminate the Plan and distribute all amounts credited to all Participant Accounts within the 30 days preceding or the twelve months following a Change in Control as determined in accordance with the rules set forth in Section 9.7. For this purpose, the Plan will be treated as terminated only if all agreements, methods, programs and other arrangements sponsored by the Related Employer immediately after the Change in Control which are treated as a single plan under Treas. Reg. §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 Participants in the latest of (a) the calendar year in which the termination and liquidation occurs, (b) the first calendar year in which the amount is no longer subject to a substantial risk of forfeiture, or (c) the first calendar year in which payment is administratively practicable.</w:t>
      </w:r>
    </w:p>
    <w:p>
      <w:pPr>
        <w:spacing w:after="0" w:line="200" w:lineRule="exact"/>
        <w:rPr>
          <w:sz w:val="20"/>
          <w:szCs w:val="20"/>
          <w:color w:val="auto"/>
        </w:rPr>
      </w:pPr>
    </w:p>
    <w:p>
      <w:pPr>
        <w:spacing w:after="0" w:line="268"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10.3.</w:t>
      </w:r>
      <w:r>
        <w:rPr>
          <w:sz w:val="20"/>
          <w:szCs w:val="20"/>
          <w:color w:val="auto"/>
        </w:rPr>
        <w:tab/>
      </w:r>
      <w:r>
        <w:rPr>
          <w:rFonts w:ascii="Cambria" w:cs="Cambria" w:eastAsia="Cambria" w:hAnsi="Cambria"/>
          <w:sz w:val="25"/>
          <w:szCs w:val="25"/>
          <w:b w:val="1"/>
          <w:bCs w:val="1"/>
          <w:i w:val="1"/>
          <w:iCs w:val="1"/>
          <w:color w:val="auto"/>
        </w:rPr>
        <w:t>Other Plan Terminations</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The Plan Sponsor retains the discretion to terminate the Plan if (a) all arrangements sponsored by the Plan Sponsor that would be aggregated with any terminated arrangement under Code Section 409A and Treas. Reg. §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TOC-10-1</w:t>
      </w:r>
    </w:p>
    <w:p>
      <w:pPr>
        <w:sectPr>
          <w:pgSz w:w="11900" w:h="16838" w:orient="portrait"/>
          <w:cols w:equalWidth="0" w:num="1">
            <w:col w:w="11200"/>
          </w:cols>
          <w:pgMar w:left="340" w:top="1440" w:right="359" w:bottom="1440" w:gutter="0" w:footer="0" w:header="0"/>
          <w:type w:val="continuous"/>
        </w:sectPr>
      </w:pPr>
    </w:p>
    <w:bookmarkStart w:id="89" w:name="page90"/>
    <w:bookmarkEnd w:id="89"/>
    <w:p>
      <w:pPr>
        <w:spacing w:after="0" w:line="231" w:lineRule="exact"/>
        <w:rPr>
          <w:sz w:val="20"/>
          <w:szCs w:val="20"/>
          <w:color w:val="auto"/>
        </w:rPr>
      </w:pPr>
    </w:p>
    <w:p>
      <w:pPr>
        <w:ind w:left="660"/>
        <w:spacing w:after="0"/>
        <w:rPr>
          <w:sz w:val="20"/>
          <w:szCs w:val="20"/>
          <w:color w:val="auto"/>
        </w:rPr>
      </w:pPr>
      <w:r>
        <w:rPr>
          <w:rFonts w:ascii="Cambria" w:cs="Cambria" w:eastAsia="Cambria" w:hAnsi="Cambria"/>
          <w:sz w:val="29"/>
          <w:szCs w:val="29"/>
          <w:b w:val="1"/>
          <w:bCs w:val="1"/>
          <w:color w:val="auto"/>
        </w:rPr>
        <w:t>Article 11 - The Trust</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11.1.</w:t>
      </w:r>
      <w:r>
        <w:rPr>
          <w:sz w:val="20"/>
          <w:szCs w:val="20"/>
          <w:color w:val="auto"/>
        </w:rPr>
        <w:tab/>
      </w:r>
      <w:r>
        <w:rPr>
          <w:rFonts w:ascii="Cambria" w:cs="Cambria" w:eastAsia="Cambria" w:hAnsi="Cambria"/>
          <w:sz w:val="25"/>
          <w:szCs w:val="25"/>
          <w:b w:val="1"/>
          <w:bCs w:val="1"/>
          <w:i w:val="1"/>
          <w:iCs w:val="1"/>
          <w:color w:val="auto"/>
        </w:rPr>
        <w:t>Establishment of Trust</w:t>
      </w:r>
    </w:p>
    <w:p>
      <w:pPr>
        <w:spacing w:after="0" w:line="96"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The Plan Sponsor may but is not required to establish a trust to hold amounts which the Plan 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 If the Plan Sponsor elects to establish a trust in accordance with Section 10.01 of the Adoption Agreement, the provisions of Sections 11.2 and 11.3 shall become operative.</w:t>
      </w:r>
    </w:p>
    <w:p>
      <w:pPr>
        <w:spacing w:after="0" w:line="200" w:lineRule="exact"/>
        <w:rPr>
          <w:sz w:val="20"/>
          <w:szCs w:val="20"/>
          <w:color w:val="auto"/>
        </w:rPr>
      </w:pPr>
    </w:p>
    <w:p>
      <w:pPr>
        <w:spacing w:after="0" w:line="252"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11.2.</w:t>
      </w:r>
      <w:r>
        <w:rPr>
          <w:sz w:val="20"/>
          <w:szCs w:val="20"/>
          <w:color w:val="auto"/>
        </w:rPr>
        <w:tab/>
      </w:r>
      <w:r>
        <w:rPr>
          <w:rFonts w:ascii="Cambria" w:cs="Cambria" w:eastAsia="Cambria" w:hAnsi="Cambria"/>
          <w:sz w:val="24"/>
          <w:szCs w:val="24"/>
          <w:b w:val="1"/>
          <w:bCs w:val="1"/>
          <w:i w:val="1"/>
          <w:iCs w:val="1"/>
          <w:color w:val="auto"/>
        </w:rPr>
        <w:t>Trust</w:t>
      </w:r>
    </w:p>
    <w:p>
      <w:pPr>
        <w:spacing w:after="0" w:line="96"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Any trust established by the Plan Sponsor shall be between the Plan Sponsor and a trustee pursuant to a separate written agreement under which assets are held, administered and managed, subject to the claims of the Plan Sponsor’s creditors in the event of the Plan Sponsor’s insolvency. The Plan Sponsor must notify the trustee in the event of a bankruptcy or insolvency.</w:t>
      </w:r>
    </w:p>
    <w:p>
      <w:pPr>
        <w:spacing w:after="0" w:line="23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11.3.</w:t>
      </w:r>
      <w:r>
        <w:rPr>
          <w:sz w:val="20"/>
          <w:szCs w:val="20"/>
          <w:color w:val="auto"/>
        </w:rPr>
        <w:tab/>
      </w:r>
      <w:r>
        <w:rPr>
          <w:rFonts w:ascii="Cambria" w:cs="Cambria" w:eastAsia="Cambria" w:hAnsi="Cambria"/>
          <w:sz w:val="25"/>
          <w:szCs w:val="25"/>
          <w:b w:val="1"/>
          <w:bCs w:val="1"/>
          <w:i w:val="1"/>
          <w:iCs w:val="1"/>
          <w:color w:val="auto"/>
        </w:rPr>
        <w:t>Investment of Trust Funds</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Any amounts contributed to the trust by the Plan Sponsor shall be invested by the trustee in accordance with the provisions 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20" w:type="dxa"/>
            <w:vAlign w:val="bottom"/>
          </w:tcPr>
          <w:p>
            <w:pPr>
              <w:spacing w:after="0"/>
              <w:rPr>
                <w:sz w:val="20"/>
                <w:szCs w:val="20"/>
                <w:color w:val="auto"/>
              </w:rPr>
            </w:pPr>
            <w:r>
              <w:rPr>
                <w:rFonts w:ascii="Times New Roman" w:cs="Times New Roman" w:eastAsia="Times New Roman" w:hAnsi="Times New Roman"/>
                <w:sz w:val="13"/>
                <w:szCs w:val="13"/>
                <w:color w:val="auto"/>
              </w:rPr>
              <w:t>Sandisk Corporation Deferred Compensation Plan</w:t>
            </w:r>
          </w:p>
        </w:tc>
        <w:tc>
          <w:tcPr>
            <w:tcW w:w="4580" w:type="dxa"/>
            <w:vAlign w:val="bottom"/>
          </w:tcPr>
          <w:p>
            <w:pPr>
              <w:ind w:left="4060"/>
              <w:spacing w:after="0"/>
              <w:rPr>
                <w:sz w:val="20"/>
                <w:szCs w:val="20"/>
                <w:color w:val="auto"/>
              </w:rPr>
            </w:pPr>
            <w:r>
              <w:rPr>
                <w:rFonts w:ascii="Times New Roman" w:cs="Times New Roman" w:eastAsia="Times New Roman" w:hAnsi="Times New Roman"/>
                <w:sz w:val="13"/>
                <w:szCs w:val="13"/>
                <w:color w:val="auto"/>
                <w:w w:val="92"/>
              </w:rPr>
              <w:t>TOC-11-1</w:t>
            </w:r>
          </w:p>
        </w:tc>
      </w:tr>
    </w:tbl>
    <w:p>
      <w:pPr>
        <w:sectPr>
          <w:pgSz w:w="11900" w:h="16838" w:orient="portrait"/>
          <w:cols w:equalWidth="0" w:num="1">
            <w:col w:w="11200"/>
          </w:cols>
          <w:pgMar w:left="340" w:top="1440" w:right="359" w:bottom="1440" w:gutter="0" w:footer="0" w:header="0"/>
        </w:sectPr>
      </w:pPr>
    </w:p>
    <w:bookmarkStart w:id="90" w:name="page91"/>
    <w:bookmarkEnd w:id="90"/>
    <w:p>
      <w:pPr>
        <w:spacing w:after="0" w:line="231" w:lineRule="exact"/>
        <w:rPr>
          <w:sz w:val="20"/>
          <w:szCs w:val="20"/>
          <w:color w:val="auto"/>
        </w:rPr>
      </w:pPr>
    </w:p>
    <w:p>
      <w:pPr>
        <w:ind w:left="660"/>
        <w:spacing w:after="0"/>
        <w:rPr>
          <w:sz w:val="20"/>
          <w:szCs w:val="20"/>
          <w:color w:val="auto"/>
        </w:rPr>
      </w:pPr>
      <w:r>
        <w:rPr>
          <w:rFonts w:ascii="Cambria" w:cs="Cambria" w:eastAsia="Cambria" w:hAnsi="Cambria"/>
          <w:sz w:val="29"/>
          <w:szCs w:val="29"/>
          <w:b w:val="1"/>
          <w:bCs w:val="1"/>
          <w:color w:val="auto"/>
        </w:rPr>
        <w:t>Article 12 - Plan Administration</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12.1.</w:t>
      </w:r>
      <w:r>
        <w:rPr>
          <w:sz w:val="20"/>
          <w:szCs w:val="20"/>
          <w:color w:val="auto"/>
        </w:rPr>
        <w:tab/>
      </w:r>
      <w:r>
        <w:rPr>
          <w:rFonts w:ascii="Cambria" w:cs="Cambria" w:eastAsia="Cambria" w:hAnsi="Cambria"/>
          <w:sz w:val="25"/>
          <w:szCs w:val="25"/>
          <w:b w:val="1"/>
          <w:bCs w:val="1"/>
          <w:i w:val="1"/>
          <w:iCs w:val="1"/>
          <w:color w:val="auto"/>
        </w:rPr>
        <w:t>Powers and Responsibilities of the Administrator</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The Administrator has the full power and the full responsibility to administer the Plan in all of its details; subject, however, to the applicable requirements of ERISA. The Administrator’s powers and responsibilities include, but are not limited to, the following:</w:t>
      </w:r>
    </w:p>
    <w:p>
      <w:pPr>
        <w:spacing w:after="0" w:line="242" w:lineRule="exact"/>
        <w:rPr>
          <w:sz w:val="20"/>
          <w:szCs w:val="20"/>
          <w:color w:val="auto"/>
        </w:rPr>
      </w:pPr>
    </w:p>
    <w:p>
      <w:pPr>
        <w:ind w:left="2860" w:right="920" w:hanging="658"/>
        <w:spacing w:after="0" w:line="244" w:lineRule="auto"/>
        <w:tabs>
          <w:tab w:leader="none" w:pos="2877"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make and enforce such rules and procedures as it deems necessary or proper for the efficient administration of the Plan;</w:t>
      </w:r>
    </w:p>
    <w:p>
      <w:pPr>
        <w:spacing w:after="0" w:line="252" w:lineRule="exact"/>
        <w:rPr>
          <w:rFonts w:ascii="Cambria" w:cs="Cambria" w:eastAsia="Cambria" w:hAnsi="Cambria"/>
          <w:sz w:val="20"/>
          <w:szCs w:val="20"/>
          <w:b w:val="1"/>
          <w:bCs w:val="1"/>
          <w:color w:val="auto"/>
        </w:rPr>
      </w:pPr>
    </w:p>
    <w:p>
      <w:pPr>
        <w:ind w:left="2860" w:right="920" w:hanging="658"/>
        <w:spacing w:after="0" w:line="235" w:lineRule="auto"/>
        <w:tabs>
          <w:tab w:leader="none" w:pos="2875"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interpret the Plan, its interpretation thereof to be final, except as provided in Section 12.2, on all persons claiming benefits under the Plan;</w:t>
      </w:r>
    </w:p>
    <w:p>
      <w:pPr>
        <w:spacing w:after="0" w:line="256" w:lineRule="exact"/>
        <w:rPr>
          <w:rFonts w:ascii="Cambria" w:cs="Cambria" w:eastAsia="Cambria" w:hAnsi="Cambria"/>
          <w:sz w:val="20"/>
          <w:szCs w:val="20"/>
          <w:b w:val="1"/>
          <w:bCs w:val="1"/>
          <w:color w:val="auto"/>
        </w:rPr>
      </w:pPr>
    </w:p>
    <w:p>
      <w:pPr>
        <w:ind w:left="2860" w:right="920" w:hanging="658"/>
        <w:spacing w:after="0" w:line="235" w:lineRule="auto"/>
        <w:tabs>
          <w:tab w:leader="none" w:pos="2877"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decide all questions concerning the Plan and the eligibility of any person to participate in the Plan;</w:t>
      </w:r>
    </w:p>
    <w:p>
      <w:pPr>
        <w:spacing w:after="0" w:line="251" w:lineRule="exact"/>
        <w:rPr>
          <w:rFonts w:ascii="Cambria" w:cs="Cambria" w:eastAsia="Cambria" w:hAnsi="Cambria"/>
          <w:sz w:val="20"/>
          <w:szCs w:val="20"/>
          <w:b w:val="1"/>
          <w:bCs w:val="1"/>
          <w:color w:val="auto"/>
        </w:rPr>
      </w:pPr>
    </w:p>
    <w:p>
      <w:pPr>
        <w:ind w:left="2860" w:hanging="658"/>
        <w:spacing w:after="0"/>
        <w:tabs>
          <w:tab w:leader="none" w:pos="2860"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administer the claims and review procedures specified in Section 12.2;</w:t>
      </w:r>
    </w:p>
    <w:p>
      <w:pPr>
        <w:spacing w:after="0" w:line="255" w:lineRule="exact"/>
        <w:rPr>
          <w:rFonts w:ascii="Cambria" w:cs="Cambria" w:eastAsia="Cambria" w:hAnsi="Cambria"/>
          <w:sz w:val="20"/>
          <w:szCs w:val="20"/>
          <w:b w:val="1"/>
          <w:bCs w:val="1"/>
          <w:color w:val="auto"/>
        </w:rPr>
      </w:pPr>
    </w:p>
    <w:p>
      <w:pPr>
        <w:ind w:left="2860" w:right="900" w:hanging="658"/>
        <w:spacing w:after="0" w:line="235" w:lineRule="auto"/>
        <w:tabs>
          <w:tab w:leader="none" w:pos="2876"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compute the amount of benefits which will be payable to any Participant, former Participant or Beneficiary in accordance with the provisions of the Plan;</w:t>
      </w:r>
    </w:p>
    <w:p>
      <w:pPr>
        <w:spacing w:after="0" w:line="251" w:lineRule="exact"/>
        <w:rPr>
          <w:rFonts w:ascii="Cambria" w:cs="Cambria" w:eastAsia="Cambria" w:hAnsi="Cambria"/>
          <w:sz w:val="20"/>
          <w:szCs w:val="20"/>
          <w:b w:val="1"/>
          <w:bCs w:val="1"/>
          <w:color w:val="auto"/>
        </w:rPr>
      </w:pPr>
    </w:p>
    <w:p>
      <w:pPr>
        <w:ind w:left="2880" w:hanging="678"/>
        <w:spacing w:after="0"/>
        <w:tabs>
          <w:tab w:leader="none" w:pos="2880"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determine the person or persons to whom such benefits will be paid;</w:t>
      </w:r>
    </w:p>
    <w:p>
      <w:pPr>
        <w:spacing w:after="0" w:line="238" w:lineRule="exact"/>
        <w:rPr>
          <w:rFonts w:ascii="Cambria" w:cs="Cambria" w:eastAsia="Cambria" w:hAnsi="Cambria"/>
          <w:sz w:val="20"/>
          <w:szCs w:val="20"/>
          <w:b w:val="1"/>
          <w:bCs w:val="1"/>
          <w:color w:val="auto"/>
        </w:rPr>
      </w:pPr>
    </w:p>
    <w:p>
      <w:pPr>
        <w:ind w:left="2860" w:hanging="658"/>
        <w:spacing w:after="0"/>
        <w:tabs>
          <w:tab w:leader="none" w:pos="2860"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authorize the payment of benefits;</w:t>
      </w:r>
    </w:p>
    <w:p>
      <w:pPr>
        <w:spacing w:after="0" w:line="251" w:lineRule="exact"/>
        <w:rPr>
          <w:rFonts w:ascii="Cambria" w:cs="Cambria" w:eastAsia="Cambria" w:hAnsi="Cambria"/>
          <w:sz w:val="20"/>
          <w:szCs w:val="20"/>
          <w:b w:val="1"/>
          <w:bCs w:val="1"/>
          <w:color w:val="auto"/>
        </w:rPr>
      </w:pPr>
    </w:p>
    <w:p>
      <w:pPr>
        <w:ind w:left="2860" w:hanging="658"/>
        <w:spacing w:after="0"/>
        <w:tabs>
          <w:tab w:leader="none" w:pos="2860"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make corrections and recover the overpayment of any benefits;</w:t>
      </w:r>
    </w:p>
    <w:p>
      <w:pPr>
        <w:spacing w:after="0" w:line="242" w:lineRule="exact"/>
        <w:rPr>
          <w:rFonts w:ascii="Cambria" w:cs="Cambria" w:eastAsia="Cambria" w:hAnsi="Cambria"/>
          <w:sz w:val="20"/>
          <w:szCs w:val="20"/>
          <w:b w:val="1"/>
          <w:bCs w:val="1"/>
          <w:color w:val="auto"/>
        </w:rPr>
      </w:pPr>
    </w:p>
    <w:p>
      <w:pPr>
        <w:ind w:left="2860" w:right="900" w:hanging="658"/>
        <w:spacing w:after="0" w:line="244" w:lineRule="auto"/>
        <w:tabs>
          <w:tab w:leader="none" w:pos="2873"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comply with the reporting and disclosure requirements of Part 1 of Subtitle B of Title I of ERISA;</w:t>
      </w:r>
    </w:p>
    <w:p>
      <w:pPr>
        <w:spacing w:after="0" w:line="252" w:lineRule="exact"/>
        <w:rPr>
          <w:rFonts w:ascii="Cambria" w:cs="Cambria" w:eastAsia="Cambria" w:hAnsi="Cambria"/>
          <w:sz w:val="20"/>
          <w:szCs w:val="20"/>
          <w:b w:val="1"/>
          <w:bCs w:val="1"/>
          <w:color w:val="auto"/>
        </w:rPr>
      </w:pPr>
    </w:p>
    <w:p>
      <w:pPr>
        <w:ind w:left="2860" w:right="920" w:hanging="658"/>
        <w:spacing w:after="0" w:line="235" w:lineRule="auto"/>
        <w:tabs>
          <w:tab w:leader="none" w:pos="2876"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appoint such agents, counsel, accountants, and consultants as may be required to assist in administering the Plan;</w:t>
      </w:r>
    </w:p>
    <w:p>
      <w:pPr>
        <w:spacing w:after="0" w:line="256" w:lineRule="exact"/>
        <w:rPr>
          <w:rFonts w:ascii="Cambria" w:cs="Cambria" w:eastAsia="Cambria" w:hAnsi="Cambria"/>
          <w:sz w:val="20"/>
          <w:szCs w:val="20"/>
          <w:b w:val="1"/>
          <w:bCs w:val="1"/>
          <w:color w:val="auto"/>
        </w:rPr>
      </w:pPr>
    </w:p>
    <w:p>
      <w:pPr>
        <w:ind w:left="2860" w:right="900" w:hanging="658"/>
        <w:spacing w:after="0" w:line="235" w:lineRule="auto"/>
        <w:tabs>
          <w:tab w:leader="none" w:pos="2888"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By written instrument, to allocate and delegate its responsibilities, including the formation of an Administrative Committee to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Sandisk Corporation Deferred Compensation Plan</w:t>
            </w:r>
          </w:p>
        </w:tc>
        <w:tc>
          <w:tcPr>
            <w:tcW w:w="4600" w:type="dxa"/>
            <w:vAlign w:val="bottom"/>
          </w:tcPr>
          <w:p>
            <w:pPr>
              <w:ind w:left="4080"/>
              <w:spacing w:after="0"/>
              <w:rPr>
                <w:sz w:val="20"/>
                <w:szCs w:val="20"/>
                <w:color w:val="auto"/>
              </w:rPr>
            </w:pPr>
            <w:r>
              <w:rPr>
                <w:rFonts w:ascii="Times New Roman" w:cs="Times New Roman" w:eastAsia="Times New Roman" w:hAnsi="Times New Roman"/>
                <w:sz w:val="13"/>
                <w:szCs w:val="13"/>
                <w:color w:val="auto"/>
                <w:w w:val="92"/>
              </w:rPr>
              <w:t>TOC-12-1</w:t>
            </w:r>
          </w:p>
        </w:tc>
      </w:tr>
    </w:tbl>
    <w:p>
      <w:pPr>
        <w:sectPr>
          <w:pgSz w:w="11900" w:h="16838" w:orient="portrait"/>
          <w:cols w:equalWidth="0" w:num="1">
            <w:col w:w="11200"/>
          </w:cols>
          <w:pgMar w:left="340" w:top="1440" w:right="359" w:bottom="1440" w:gutter="0" w:footer="0" w:header="0"/>
        </w:sectPr>
      </w:pPr>
    </w:p>
    <w:bookmarkStart w:id="91" w:name="page92"/>
    <w:bookmarkEnd w:id="91"/>
    <w:p>
      <w:pPr>
        <w:spacing w:after="0" w:line="24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12.2.</w:t>
      </w:r>
      <w:r>
        <w:rPr>
          <w:sz w:val="20"/>
          <w:szCs w:val="20"/>
          <w:color w:val="auto"/>
        </w:rPr>
        <w:tab/>
      </w:r>
      <w:r>
        <w:rPr>
          <w:rFonts w:ascii="Cambria" w:cs="Cambria" w:eastAsia="Cambria" w:hAnsi="Cambria"/>
          <w:sz w:val="25"/>
          <w:szCs w:val="25"/>
          <w:b w:val="1"/>
          <w:bCs w:val="1"/>
          <w:i w:val="1"/>
          <w:iCs w:val="1"/>
          <w:color w:val="auto"/>
        </w:rPr>
        <w:t>Claims and Review Procedures</w:t>
      </w:r>
    </w:p>
    <w:p>
      <w:pPr>
        <w:spacing w:after="0" w:line="96" w:lineRule="exact"/>
        <w:rPr>
          <w:sz w:val="20"/>
          <w:szCs w:val="20"/>
          <w:color w:val="auto"/>
        </w:rPr>
      </w:pPr>
    </w:p>
    <w:p>
      <w:pPr>
        <w:jc w:val="both"/>
        <w:ind w:left="2860" w:right="900" w:hanging="658"/>
        <w:spacing w:after="0" w:line="238" w:lineRule="auto"/>
        <w:tabs>
          <w:tab w:leader="none" w:pos="2877" w:val="left"/>
        </w:tabs>
        <w:numPr>
          <w:ilvl w:val="0"/>
          <w:numId w:val="36"/>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Claims Procedure.</w:t>
      </w:r>
      <w:r>
        <w:rPr>
          <w:rFonts w:ascii="Cambria" w:cs="Cambria" w:eastAsia="Cambria" w:hAnsi="Cambria"/>
          <w:sz w:val="20"/>
          <w:szCs w:val="20"/>
          <w:b w:val="1"/>
          <w:bCs w:val="1"/>
          <w:color w:val="auto"/>
        </w:rPr>
        <w:t xml:space="preserve"> If any person believes he or she is being denied any rights or benefits under the Plan, such person may file a claim in writing with the Administrator. If any such claim is wholly or partially denied, the Administrator will notify such person of its decision in writing. Such notification will contain</w:t>
      </w:r>
    </w:p>
    <w:p>
      <w:pPr>
        <w:spacing w:after="0" w:line="14" w:lineRule="exact"/>
        <w:rPr>
          <w:rFonts w:ascii="Cambria" w:cs="Cambria" w:eastAsia="Cambria" w:hAnsi="Cambria"/>
          <w:sz w:val="20"/>
          <w:szCs w:val="20"/>
          <w:b w:val="1"/>
          <w:bCs w:val="1"/>
          <w:color w:val="auto"/>
        </w:rPr>
      </w:pPr>
    </w:p>
    <w:p>
      <w:pPr>
        <w:jc w:val="both"/>
        <w:ind w:left="2860" w:right="900" w:hanging="10"/>
        <w:spacing w:after="0" w:line="242" w:lineRule="auto"/>
        <w:tabs>
          <w:tab w:leader="none" w:pos="3197" w:val="left"/>
        </w:tabs>
        <w:numPr>
          <w:ilvl w:val="1"/>
          <w:numId w:val="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specific reasons for the denial, (ii) specific reference to pertinent Plan provisions, (iii) a description of any additional material or information necessary for such person to 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If the claim involves a Disability, the denial must also include the standards that governed the decision, including the basis for disagreeing with any health care professionals, vocational professionals or the Social Security Administration as well as an explanation of the scientific or clinical judgment underlying the denial.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which may be extended an additional 30 days)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or her claim.</w:t>
      </w:r>
    </w:p>
    <w:p>
      <w:pPr>
        <w:spacing w:after="0" w:line="266" w:lineRule="exact"/>
        <w:rPr>
          <w:rFonts w:ascii="Cambria" w:cs="Cambria" w:eastAsia="Cambria" w:hAnsi="Cambria"/>
          <w:sz w:val="20"/>
          <w:szCs w:val="20"/>
          <w:b w:val="1"/>
          <w:bCs w:val="1"/>
          <w:color w:val="auto"/>
        </w:rPr>
      </w:pPr>
    </w:p>
    <w:p>
      <w:pPr>
        <w:jc w:val="both"/>
        <w:ind w:left="2860" w:right="900" w:hanging="658"/>
        <w:spacing w:after="0" w:line="242" w:lineRule="auto"/>
        <w:tabs>
          <w:tab w:leader="none" w:pos="2875" w:val="left"/>
        </w:tabs>
        <w:numPr>
          <w:ilvl w:val="0"/>
          <w:numId w:val="36"/>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Review Procedure.</w:t>
      </w:r>
      <w:r>
        <w:rPr>
          <w:rFonts w:ascii="Cambria" w:cs="Cambria" w:eastAsia="Cambria" w:hAnsi="Cambria"/>
          <w:sz w:val="20"/>
          <w:szCs w:val="20"/>
          <w:b w:val="1"/>
          <w:bCs w:val="1"/>
          <w:color w:val="auto"/>
        </w:rPr>
        <w:t xml:space="preserve"> Within 60 days (180 days in the case of a claim regarding Disability) after the date on which a person receives a written notification of denial of claim (or, if written notification is not provided, within 60 days (180 days in the case of a claim regarding Disability) of the date denial is considered to have occurred), such person (or his or her duly authorized representative) may (i) file a written request with the Administrator for a review of his or her denied claim and of pertinent documents and (ii) submit written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 review.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TOC-12-2</w:t>
      </w:r>
    </w:p>
    <w:p>
      <w:pPr>
        <w:sectPr>
          <w:pgSz w:w="11900" w:h="16838" w:orient="portrait"/>
          <w:cols w:equalWidth="0" w:num="1">
            <w:col w:w="11200"/>
          </w:cols>
          <w:pgMar w:left="340" w:top="1440" w:right="359" w:bottom="1440" w:gutter="0" w:footer="0" w:header="0"/>
          <w:type w:val="continuous"/>
        </w:sectPr>
      </w:pPr>
    </w:p>
    <w:bookmarkStart w:id="92" w:name="page93"/>
    <w:bookmarkEnd w:id="92"/>
    <w:p>
      <w:pPr>
        <w:spacing w:after="0" w:line="267" w:lineRule="exact"/>
        <w:rPr>
          <w:sz w:val="20"/>
          <w:szCs w:val="20"/>
          <w:color w:val="auto"/>
        </w:rPr>
      </w:pPr>
    </w:p>
    <w:p>
      <w:pPr>
        <w:jc w:val="both"/>
        <w:ind w:left="2860" w:right="900"/>
        <w:spacing w:after="0" w:line="242" w:lineRule="auto"/>
        <w:rPr>
          <w:sz w:val="20"/>
          <w:szCs w:val="20"/>
          <w:color w:val="auto"/>
        </w:rPr>
      </w:pPr>
      <w:r>
        <w:rPr>
          <w:rFonts w:ascii="Cambria" w:cs="Cambria" w:eastAsia="Cambria" w:hAnsi="Cambria"/>
          <w:sz w:val="20"/>
          <w:szCs w:val="20"/>
          <w:b w:val="1"/>
          <w:bCs w:val="1"/>
          <w:color w:val="auto"/>
        </w:rPr>
        <w:t>If the claim is regarding Disability, and the determination of Disability has not been made by the Social Security Administration, the Railroad Retirement Board, or under the Plan Sponsor’s long-term disability plan, the person may, upon written request and free of charge, also receive the identification of medical or vocational experts whose advice was obtained in connection with the denial of a claim regarding Disability, even if the advice was not relied upon.</w:t>
      </w:r>
    </w:p>
    <w:p>
      <w:pPr>
        <w:spacing w:after="0" w:line="255" w:lineRule="exact"/>
        <w:rPr>
          <w:sz w:val="20"/>
          <w:szCs w:val="20"/>
          <w:color w:val="auto"/>
        </w:rPr>
      </w:pPr>
    </w:p>
    <w:p>
      <w:pPr>
        <w:jc w:val="both"/>
        <w:ind w:left="2860" w:right="900"/>
        <w:spacing w:after="0"/>
        <w:rPr>
          <w:sz w:val="20"/>
          <w:szCs w:val="20"/>
          <w:color w:val="auto"/>
        </w:rPr>
      </w:pPr>
      <w:r>
        <w:rPr>
          <w:rFonts w:ascii="Cambria" w:cs="Cambria" w:eastAsia="Cambria" w:hAnsi="Cambria"/>
          <w:sz w:val="20"/>
          <w:szCs w:val="20"/>
          <w:b w:val="1"/>
          <w:bCs w:val="1"/>
          <w:color w:val="auto"/>
        </w:rPr>
        <w:t>Before issuing any decision with respect to a claim involving Disability, the Administrator will provide to the person, free of charge, the following information as soon as possible and sufficiently in advance of the date on which the response is required to be provided to the person to allow the person a reasonable opportunity to respond prior to the due date of the response:</w:t>
      </w:r>
    </w:p>
    <w:p>
      <w:pPr>
        <w:spacing w:after="0" w:line="259" w:lineRule="exact"/>
        <w:rPr>
          <w:sz w:val="20"/>
          <w:szCs w:val="20"/>
          <w:color w:val="auto"/>
        </w:rPr>
      </w:pPr>
    </w:p>
    <w:p>
      <w:pPr>
        <w:ind w:left="3500" w:right="900" w:hanging="650"/>
        <w:spacing w:after="0" w:line="235" w:lineRule="auto"/>
        <w:tabs>
          <w:tab w:leader="none" w:pos="3513" w:val="left"/>
        </w:tabs>
        <w:numPr>
          <w:ilvl w:val="1"/>
          <w:numId w:val="3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Any new or additional evidence considered, relied upon, or generated by the Administrator or other person making the decision; and</w:t>
      </w:r>
    </w:p>
    <w:p>
      <w:pPr>
        <w:spacing w:after="0" w:line="256" w:lineRule="exact"/>
        <w:rPr>
          <w:rFonts w:ascii="Cambria" w:cs="Cambria" w:eastAsia="Cambria" w:hAnsi="Cambria"/>
          <w:sz w:val="20"/>
          <w:szCs w:val="20"/>
          <w:b w:val="1"/>
          <w:bCs w:val="1"/>
          <w:color w:val="auto"/>
        </w:rPr>
      </w:pPr>
    </w:p>
    <w:p>
      <w:pPr>
        <w:ind w:left="3500" w:right="900" w:hanging="650"/>
        <w:spacing w:after="0" w:line="235" w:lineRule="auto"/>
        <w:tabs>
          <w:tab w:leader="none" w:pos="3523" w:val="left"/>
        </w:tabs>
        <w:numPr>
          <w:ilvl w:val="1"/>
          <w:numId w:val="3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new or additional rationale if the decision will be based on that rationale.</w:t>
      </w:r>
    </w:p>
    <w:p>
      <w:pPr>
        <w:spacing w:after="0" w:line="256" w:lineRule="exact"/>
        <w:rPr>
          <w:rFonts w:ascii="Cambria" w:cs="Cambria" w:eastAsia="Cambria" w:hAnsi="Cambria"/>
          <w:sz w:val="20"/>
          <w:szCs w:val="20"/>
          <w:b w:val="1"/>
          <w:bCs w:val="1"/>
          <w:color w:val="auto"/>
        </w:rPr>
      </w:pPr>
    </w:p>
    <w:p>
      <w:pPr>
        <w:jc w:val="both"/>
        <w:ind w:left="2860" w:right="900" w:hanging="658"/>
        <w:spacing w:after="0"/>
        <w:tabs>
          <w:tab w:leader="none" w:pos="2877" w:val="left"/>
        </w:tabs>
        <w:numPr>
          <w:ilvl w:val="0"/>
          <w:numId w:val="38"/>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Exhaustion of Claims Procedures and Right to Bring Legal Claim.</w:t>
      </w:r>
      <w:r>
        <w:rPr>
          <w:rFonts w:ascii="Cambria" w:cs="Cambria" w:eastAsia="Cambria" w:hAnsi="Cambria"/>
          <w:sz w:val="20"/>
          <w:szCs w:val="20"/>
          <w:b w:val="1"/>
          <w:bCs w:val="1"/>
          <w:color w:val="auto"/>
        </w:rPr>
        <w:t xml:space="preserve"> No action at law or equity shall be brought more than one year after the Administrator’s affirmation of a denial of a claim, or, if earlier, more than four years after the facts or events giving rise to the claimant’s allegation(s) or claim(s) first occurred.</w:t>
      </w:r>
    </w:p>
    <w:p>
      <w:pPr>
        <w:spacing w:after="0" w:line="23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12.3.</w:t>
      </w:r>
      <w:r>
        <w:rPr>
          <w:sz w:val="20"/>
          <w:szCs w:val="20"/>
          <w:color w:val="auto"/>
        </w:rPr>
        <w:tab/>
      </w:r>
      <w:r>
        <w:rPr>
          <w:rFonts w:ascii="Cambria" w:cs="Cambria" w:eastAsia="Cambria" w:hAnsi="Cambria"/>
          <w:sz w:val="25"/>
          <w:szCs w:val="25"/>
          <w:b w:val="1"/>
          <w:bCs w:val="1"/>
          <w:i w:val="1"/>
          <w:iCs w:val="1"/>
          <w:color w:val="auto"/>
        </w:rPr>
        <w:t>Plan Administrative Costs</w:t>
      </w:r>
    </w:p>
    <w:p>
      <w:pPr>
        <w:spacing w:after="0" w:line="96" w:lineRule="exact"/>
        <w:rPr>
          <w:sz w:val="20"/>
          <w:szCs w:val="20"/>
          <w:color w:val="auto"/>
        </w:rPr>
      </w:pPr>
    </w:p>
    <w:p>
      <w:pPr>
        <w:jc w:val="both"/>
        <w:ind w:left="2200" w:right="900"/>
        <w:spacing w:after="0" w:line="239" w:lineRule="auto"/>
        <w:rPr>
          <w:sz w:val="20"/>
          <w:szCs w:val="20"/>
          <w:color w:val="auto"/>
        </w:rPr>
      </w:pPr>
      <w:r>
        <w:rPr>
          <w:rFonts w:ascii="Cambria" w:cs="Cambria" w:eastAsia="Cambria" w:hAnsi="Cambria"/>
          <w:sz w:val="20"/>
          <w:szCs w:val="20"/>
          <w:b w:val="1"/>
          <w:bCs w:val="1"/>
          <w:color w:val="auto"/>
        </w:rPr>
        <w:t>All reasonable costs and expenses (including legal, accounting, and employee communication fees) incurred by the Administrator in administering the Plan shall be paid by the Plan to the extent not paid by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Sandisk Corporation Deferred Compensation Plan</w:t>
            </w:r>
          </w:p>
        </w:tc>
        <w:tc>
          <w:tcPr>
            <w:tcW w:w="4600" w:type="dxa"/>
            <w:vAlign w:val="bottom"/>
          </w:tcPr>
          <w:p>
            <w:pPr>
              <w:ind w:left="4080"/>
              <w:spacing w:after="0"/>
              <w:rPr>
                <w:sz w:val="20"/>
                <w:szCs w:val="20"/>
                <w:color w:val="auto"/>
              </w:rPr>
            </w:pPr>
            <w:r>
              <w:rPr>
                <w:rFonts w:ascii="Times New Roman" w:cs="Times New Roman" w:eastAsia="Times New Roman" w:hAnsi="Times New Roman"/>
                <w:sz w:val="13"/>
                <w:szCs w:val="13"/>
                <w:color w:val="auto"/>
                <w:w w:val="92"/>
              </w:rPr>
              <w:t>TOC-12-3</w:t>
            </w:r>
          </w:p>
        </w:tc>
      </w:tr>
    </w:tbl>
    <w:p>
      <w:pPr>
        <w:sectPr>
          <w:pgSz w:w="11900" w:h="16838" w:orient="portrait"/>
          <w:cols w:equalWidth="0" w:num="1">
            <w:col w:w="11200"/>
          </w:cols>
          <w:pgMar w:left="340" w:top="1440" w:right="359" w:bottom="1440" w:gutter="0" w:footer="0" w:header="0"/>
        </w:sectPr>
      </w:pPr>
    </w:p>
    <w:bookmarkStart w:id="93" w:name="page94"/>
    <w:bookmarkEnd w:id="93"/>
    <w:p>
      <w:pPr>
        <w:spacing w:after="0" w:line="231" w:lineRule="exact"/>
        <w:rPr>
          <w:sz w:val="20"/>
          <w:szCs w:val="20"/>
          <w:color w:val="auto"/>
        </w:rPr>
      </w:pPr>
    </w:p>
    <w:p>
      <w:pPr>
        <w:ind w:left="660"/>
        <w:spacing w:after="0"/>
        <w:rPr>
          <w:sz w:val="20"/>
          <w:szCs w:val="20"/>
          <w:color w:val="auto"/>
        </w:rPr>
      </w:pPr>
      <w:r>
        <w:rPr>
          <w:rFonts w:ascii="Cambria" w:cs="Cambria" w:eastAsia="Cambria" w:hAnsi="Cambria"/>
          <w:sz w:val="29"/>
          <w:szCs w:val="29"/>
          <w:b w:val="1"/>
          <w:bCs w:val="1"/>
          <w:color w:val="auto"/>
        </w:rPr>
        <w:t>Article 13 - Miscellaneous</w:t>
      </w:r>
    </w:p>
    <w:p>
      <w:pPr>
        <w:spacing w:after="0" w:line="6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13.1.</w:t>
      </w:r>
      <w:r>
        <w:rPr>
          <w:sz w:val="20"/>
          <w:szCs w:val="20"/>
          <w:color w:val="auto"/>
        </w:rPr>
        <w:tab/>
      </w:r>
      <w:r>
        <w:rPr>
          <w:rFonts w:ascii="Cambria" w:cs="Cambria" w:eastAsia="Cambria" w:hAnsi="Cambria"/>
          <w:sz w:val="25"/>
          <w:szCs w:val="25"/>
          <w:b w:val="1"/>
          <w:bCs w:val="1"/>
          <w:i w:val="1"/>
          <w:iCs w:val="1"/>
          <w:color w:val="auto"/>
        </w:rPr>
        <w:t>Unsecured General Creditor of the Employer</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Participants and their Beneficiaries, heirs, successors, and assigns shall 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231"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13.2.</w:t>
      </w:r>
      <w:r>
        <w:rPr>
          <w:sz w:val="20"/>
          <w:szCs w:val="20"/>
          <w:color w:val="auto"/>
        </w:rPr>
        <w:tab/>
      </w:r>
      <w:r>
        <w:rPr>
          <w:rFonts w:ascii="Cambria" w:cs="Cambria" w:eastAsia="Cambria" w:hAnsi="Cambria"/>
          <w:sz w:val="25"/>
          <w:szCs w:val="25"/>
          <w:b w:val="1"/>
          <w:bCs w:val="1"/>
          <w:i w:val="1"/>
          <w:iCs w:val="1"/>
          <w:color w:val="auto"/>
        </w:rPr>
        <w:t>Employer’s Liability</w:t>
      </w:r>
    </w:p>
    <w:p>
      <w:pPr>
        <w:spacing w:after="0" w:line="82"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Each Employer’s liability for the payment of benefits under the Plan shall be defined only by the Plan and by the deferral agreements entered into between a Participant and the Employer. An Employer shall have no obligation or liability to a Participant under the Plan except as provided by the Plan and a deferral agreement or agreements. An Employer shall have no liability to Participants employed by other Employers.</w:t>
      </w:r>
    </w:p>
    <w:p>
      <w:pPr>
        <w:spacing w:after="0" w:line="215"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13.3.</w:t>
      </w:r>
      <w:r>
        <w:rPr>
          <w:sz w:val="20"/>
          <w:szCs w:val="20"/>
          <w:color w:val="auto"/>
        </w:rPr>
        <w:tab/>
      </w:r>
      <w:r>
        <w:rPr>
          <w:rFonts w:ascii="Cambria" w:cs="Cambria" w:eastAsia="Cambria" w:hAnsi="Cambria"/>
          <w:sz w:val="25"/>
          <w:szCs w:val="25"/>
          <w:b w:val="1"/>
          <w:bCs w:val="1"/>
          <w:i w:val="1"/>
          <w:iCs w:val="1"/>
          <w:color w:val="auto"/>
        </w:rPr>
        <w:t>Limitation of Rights</w:t>
      </w:r>
    </w:p>
    <w:p>
      <w:pPr>
        <w:spacing w:after="0" w:line="96" w:lineRule="exact"/>
        <w:rPr>
          <w:sz w:val="20"/>
          <w:szCs w:val="20"/>
          <w:color w:val="auto"/>
        </w:rPr>
      </w:pPr>
    </w:p>
    <w:p>
      <w:pPr>
        <w:jc w:val="both"/>
        <w:ind w:left="2200" w:right="900"/>
        <w:spacing w:after="0"/>
        <w:rPr>
          <w:sz w:val="20"/>
          <w:szCs w:val="20"/>
          <w:color w:val="auto"/>
        </w:rPr>
      </w:pPr>
      <w:r>
        <w:rPr>
          <w:rFonts w:ascii="Cambria" w:cs="Cambria" w:eastAsia="Cambria" w:hAnsi="Cambria"/>
          <w:sz w:val="20"/>
          <w:szCs w:val="20"/>
          <w:b w:val="1"/>
          <w:bCs w:val="1"/>
          <w:color w:val="auto"/>
        </w:rPr>
        <w:t>Neither the establishment of the Plan, nor any amendment thereof, nor the creation of any fund or 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23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13.4.</w:t>
      </w:r>
      <w:r>
        <w:rPr>
          <w:sz w:val="20"/>
          <w:szCs w:val="20"/>
          <w:color w:val="auto"/>
        </w:rPr>
        <w:tab/>
      </w:r>
      <w:r>
        <w:rPr>
          <w:rFonts w:ascii="Cambria" w:cs="Cambria" w:eastAsia="Cambria" w:hAnsi="Cambria"/>
          <w:sz w:val="25"/>
          <w:szCs w:val="25"/>
          <w:b w:val="1"/>
          <w:bCs w:val="1"/>
          <w:i w:val="1"/>
          <w:iCs w:val="1"/>
          <w:color w:val="auto"/>
        </w:rPr>
        <w:t>Anti-Assignment</w:t>
      </w:r>
    </w:p>
    <w:p>
      <w:pPr>
        <w:spacing w:after="0" w:line="82" w:lineRule="exact"/>
        <w:rPr>
          <w:sz w:val="20"/>
          <w:szCs w:val="20"/>
          <w:color w:val="auto"/>
        </w:rPr>
      </w:pPr>
    </w:p>
    <w:p>
      <w:pPr>
        <w:jc w:val="both"/>
        <w:ind w:left="2200" w:right="900"/>
        <w:spacing w:after="0" w:line="243" w:lineRule="auto"/>
        <w:rPr>
          <w:sz w:val="20"/>
          <w:szCs w:val="20"/>
          <w:color w:val="auto"/>
        </w:rPr>
      </w:pPr>
      <w:r>
        <w:rPr>
          <w:rFonts w:ascii="Cambria" w:cs="Cambria" w:eastAsia="Cambria" w:hAnsi="Cambria"/>
          <w:sz w:val="20"/>
          <w:szCs w:val="20"/>
          <w:b w:val="1"/>
          <w:bCs w:val="1"/>
          <w:color w:val="auto"/>
        </w:rPr>
        <w:t>Except as may be necessary to fulfill a domestic relations order within the meaning of Code Section 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Sandisk Corporation Deferred Compensation Plan</w:t>
            </w:r>
          </w:p>
        </w:tc>
        <w:tc>
          <w:tcPr>
            <w:tcW w:w="4600" w:type="dxa"/>
            <w:vAlign w:val="bottom"/>
          </w:tcPr>
          <w:p>
            <w:pPr>
              <w:ind w:left="4080"/>
              <w:spacing w:after="0"/>
              <w:rPr>
                <w:sz w:val="20"/>
                <w:szCs w:val="20"/>
                <w:color w:val="auto"/>
              </w:rPr>
            </w:pPr>
            <w:r>
              <w:rPr>
                <w:rFonts w:ascii="Times New Roman" w:cs="Times New Roman" w:eastAsia="Times New Roman" w:hAnsi="Times New Roman"/>
                <w:sz w:val="13"/>
                <w:szCs w:val="13"/>
                <w:color w:val="auto"/>
                <w:w w:val="92"/>
              </w:rPr>
              <w:t>TOC-13-1</w:t>
            </w:r>
          </w:p>
        </w:tc>
      </w:tr>
    </w:tbl>
    <w:p>
      <w:pPr>
        <w:sectPr>
          <w:pgSz w:w="11900" w:h="16838" w:orient="portrait"/>
          <w:cols w:equalWidth="0" w:num="1">
            <w:col w:w="11200"/>
          </w:cols>
          <w:pgMar w:left="340" w:top="1440" w:right="359" w:bottom="1440" w:gutter="0" w:footer="0" w:header="0"/>
        </w:sectPr>
      </w:pPr>
    </w:p>
    <w:bookmarkStart w:id="94" w:name="page95"/>
    <w:bookmarkEnd w:id="94"/>
    <w:p>
      <w:pPr>
        <w:spacing w:after="0" w:line="24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13.5.</w:t>
      </w:r>
      <w:r>
        <w:rPr>
          <w:sz w:val="20"/>
          <w:szCs w:val="20"/>
          <w:color w:val="auto"/>
        </w:rPr>
        <w:tab/>
      </w:r>
      <w:r>
        <w:rPr>
          <w:rFonts w:ascii="Cambria" w:cs="Cambria" w:eastAsia="Cambria" w:hAnsi="Cambria"/>
          <w:sz w:val="25"/>
          <w:szCs w:val="25"/>
          <w:b w:val="1"/>
          <w:bCs w:val="1"/>
          <w:i w:val="1"/>
          <w:iCs w:val="1"/>
          <w:color w:val="auto"/>
        </w:rPr>
        <w:t>Facility of Payment</w:t>
      </w:r>
    </w:p>
    <w:p>
      <w:pPr>
        <w:spacing w:after="0" w:line="96"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If the Administrator determines, on the basis of medical reports or other evidence satisfactory to the Administrator, that the recipient of any benefit payments under the Plan is incapable of handling his or her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spacing w:after="0" w:line="230"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13.6.</w:t>
      </w:r>
      <w:r>
        <w:rPr>
          <w:sz w:val="20"/>
          <w:szCs w:val="20"/>
          <w:color w:val="auto"/>
        </w:rPr>
        <w:tab/>
      </w:r>
      <w:r>
        <w:rPr>
          <w:rFonts w:ascii="Cambria" w:cs="Cambria" w:eastAsia="Cambria" w:hAnsi="Cambria"/>
          <w:sz w:val="25"/>
          <w:szCs w:val="25"/>
          <w:b w:val="1"/>
          <w:bCs w:val="1"/>
          <w:i w:val="1"/>
          <w:iCs w:val="1"/>
          <w:color w:val="auto"/>
        </w:rPr>
        <w:t>Notices</w:t>
      </w:r>
    </w:p>
    <w:p>
      <w:pPr>
        <w:spacing w:after="0" w:line="82" w:lineRule="exact"/>
        <w:rPr>
          <w:sz w:val="20"/>
          <w:szCs w:val="20"/>
          <w:color w:val="auto"/>
        </w:rPr>
      </w:pPr>
    </w:p>
    <w:p>
      <w:pPr>
        <w:jc w:val="both"/>
        <w:ind w:left="2200" w:right="900"/>
        <w:spacing w:after="0" w:line="242" w:lineRule="auto"/>
        <w:rPr>
          <w:sz w:val="20"/>
          <w:szCs w:val="20"/>
          <w:color w:val="auto"/>
        </w:rPr>
      </w:pPr>
      <w:r>
        <w:rPr>
          <w:rFonts w:ascii="Cambria" w:cs="Cambria" w:eastAsia="Cambria" w:hAnsi="Cambria"/>
          <w:sz w:val="20"/>
          <w:szCs w:val="20"/>
          <w:b w:val="1"/>
          <w:bCs w:val="1"/>
          <w:color w:val="auto"/>
        </w:rPr>
        <w:t>Any notice or other communication to the Employer or Administrator in connection with the Plan shall be deemed delivered in writing if addressed to the Plan Sponsor at the address specified in Section 1.03 of the Adoption Agreement and if either actually delivered at said address or, in the case or a letter, five business days shall have elapsed after the same shall have been deposited in the United States mails, first-class postage prepaid and registered or certified.</w:t>
      </w:r>
    </w:p>
    <w:p>
      <w:pPr>
        <w:spacing w:after="0" w:line="231"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13.7.</w:t>
      </w:r>
      <w:r>
        <w:rPr>
          <w:sz w:val="20"/>
          <w:szCs w:val="20"/>
          <w:color w:val="auto"/>
        </w:rPr>
        <w:tab/>
      </w:r>
      <w:r>
        <w:rPr>
          <w:rFonts w:ascii="Cambria" w:cs="Cambria" w:eastAsia="Cambria" w:hAnsi="Cambria"/>
          <w:sz w:val="24"/>
          <w:szCs w:val="24"/>
          <w:b w:val="1"/>
          <w:bCs w:val="1"/>
          <w:i w:val="1"/>
          <w:iCs w:val="1"/>
          <w:color w:val="auto"/>
        </w:rPr>
        <w:t>Tax Withholding</w:t>
      </w:r>
    </w:p>
    <w:p>
      <w:pPr>
        <w:spacing w:after="0" w:line="82" w:lineRule="exact"/>
        <w:rPr>
          <w:sz w:val="20"/>
          <w:szCs w:val="20"/>
          <w:color w:val="auto"/>
        </w:rPr>
      </w:pPr>
    </w:p>
    <w:p>
      <w:pPr>
        <w:jc w:val="both"/>
        <w:ind w:left="2200" w:right="900"/>
        <w:spacing w:after="0" w:line="244" w:lineRule="auto"/>
        <w:rPr>
          <w:sz w:val="20"/>
          <w:szCs w:val="20"/>
          <w:color w:val="auto"/>
        </w:rPr>
      </w:pPr>
      <w:r>
        <w:rPr>
          <w:rFonts w:ascii="Cambria" w:cs="Cambria" w:eastAsia="Cambria" w:hAnsi="Cambria"/>
          <w:sz w:val="20"/>
          <w:szCs w:val="20"/>
          <w:b w:val="1"/>
          <w:bCs w:val="1"/>
          <w:color w:val="auto"/>
        </w:rPr>
        <w:t>If the Employer concludes that tax is owing with respect to any deferral or payment hereunder, the Employer shall withhold such amounts from any payments due the Participant or from amounts deferred, as permitted by law, or otherwise make appropriate arrangements with the Participant or his or her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Sandisk Corporation Deferred Compensation Plan</w:t>
            </w:r>
          </w:p>
        </w:tc>
        <w:tc>
          <w:tcPr>
            <w:tcW w:w="4600" w:type="dxa"/>
            <w:vAlign w:val="bottom"/>
          </w:tcPr>
          <w:p>
            <w:pPr>
              <w:ind w:left="4080"/>
              <w:spacing w:after="0"/>
              <w:rPr>
                <w:sz w:val="20"/>
                <w:szCs w:val="20"/>
                <w:color w:val="auto"/>
              </w:rPr>
            </w:pPr>
            <w:r>
              <w:rPr>
                <w:rFonts w:ascii="Times New Roman" w:cs="Times New Roman" w:eastAsia="Times New Roman" w:hAnsi="Times New Roman"/>
                <w:sz w:val="13"/>
                <w:szCs w:val="13"/>
                <w:color w:val="auto"/>
                <w:w w:val="92"/>
              </w:rPr>
              <w:t>TOC-13-2</w:t>
            </w:r>
          </w:p>
        </w:tc>
      </w:tr>
    </w:tbl>
    <w:p>
      <w:pPr>
        <w:sectPr>
          <w:pgSz w:w="11900" w:h="16838" w:orient="portrait"/>
          <w:cols w:equalWidth="0" w:num="1">
            <w:col w:w="11200"/>
          </w:cols>
          <w:pgMar w:left="340" w:top="1440" w:right="359" w:bottom="1440" w:gutter="0" w:footer="0" w:header="0"/>
        </w:sectPr>
      </w:pPr>
    </w:p>
    <w:bookmarkStart w:id="95" w:name="page96"/>
    <w:bookmarkEnd w:id="95"/>
    <w:p>
      <w:pPr>
        <w:spacing w:after="0" w:line="243"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13.8.</w:t>
      </w:r>
      <w:r>
        <w:rPr>
          <w:sz w:val="20"/>
          <w:szCs w:val="20"/>
          <w:color w:val="auto"/>
        </w:rPr>
        <w:tab/>
      </w:r>
      <w:r>
        <w:rPr>
          <w:rFonts w:ascii="Cambria" w:cs="Cambria" w:eastAsia="Cambria" w:hAnsi="Cambria"/>
          <w:sz w:val="25"/>
          <w:szCs w:val="25"/>
          <w:b w:val="1"/>
          <w:bCs w:val="1"/>
          <w:i w:val="1"/>
          <w:iCs w:val="1"/>
          <w:color w:val="auto"/>
        </w:rPr>
        <w:t>Indemnification</w:t>
      </w:r>
    </w:p>
    <w:p>
      <w:pPr>
        <w:spacing w:after="0" w:line="96" w:lineRule="exact"/>
        <w:rPr>
          <w:sz w:val="20"/>
          <w:szCs w:val="20"/>
          <w:color w:val="auto"/>
        </w:rPr>
      </w:pPr>
    </w:p>
    <w:p>
      <w:pPr>
        <w:jc w:val="both"/>
        <w:ind w:left="2860" w:right="900" w:hanging="658"/>
        <w:spacing w:after="0" w:line="242" w:lineRule="auto"/>
        <w:tabs>
          <w:tab w:leader="none" w:pos="2877" w:val="left"/>
        </w:tabs>
        <w:numPr>
          <w:ilvl w:val="0"/>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Each Indemnitee (as defined in Section 13.8(e)) shall be indemnified and held harmless by the Employer for all actions taken by him or her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 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spacing w:after="0" w:line="200" w:lineRule="exact"/>
        <w:rPr>
          <w:rFonts w:ascii="Cambria" w:cs="Cambria" w:eastAsia="Cambria" w:hAnsi="Cambria"/>
          <w:sz w:val="20"/>
          <w:szCs w:val="20"/>
          <w:b w:val="1"/>
          <w:bCs w:val="1"/>
          <w:color w:val="auto"/>
        </w:rPr>
      </w:pPr>
    </w:p>
    <w:p>
      <w:pPr>
        <w:spacing w:after="0" w:line="283" w:lineRule="exact"/>
        <w:rPr>
          <w:rFonts w:ascii="Cambria" w:cs="Cambria" w:eastAsia="Cambria" w:hAnsi="Cambria"/>
          <w:sz w:val="20"/>
          <w:szCs w:val="20"/>
          <w:b w:val="1"/>
          <w:bCs w:val="1"/>
          <w:color w:val="auto"/>
        </w:rPr>
      </w:pPr>
    </w:p>
    <w:p>
      <w:pPr>
        <w:jc w:val="both"/>
        <w:ind w:left="2860" w:right="900" w:hanging="658"/>
        <w:spacing w:after="0" w:line="243" w:lineRule="auto"/>
        <w:tabs>
          <w:tab w:leader="none" w:pos="2875" w:val="left"/>
        </w:tabs>
        <w:numPr>
          <w:ilvl w:val="0"/>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right to indemnification provided in this Section shall include the right to have the expenses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spacing w:after="0" w:line="244" w:lineRule="exact"/>
        <w:rPr>
          <w:rFonts w:ascii="Cambria" w:cs="Cambria" w:eastAsia="Cambria" w:hAnsi="Cambria"/>
          <w:sz w:val="20"/>
          <w:szCs w:val="20"/>
          <w:b w:val="1"/>
          <w:bCs w:val="1"/>
          <w:color w:val="auto"/>
        </w:rPr>
      </w:pPr>
    </w:p>
    <w:p>
      <w:pPr>
        <w:jc w:val="both"/>
        <w:ind w:left="2860" w:right="900" w:hanging="658"/>
        <w:spacing w:after="0" w:line="244" w:lineRule="auto"/>
        <w:tabs>
          <w:tab w:leader="none" w:pos="2877" w:val="left"/>
        </w:tabs>
        <w:numPr>
          <w:ilvl w:val="0"/>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Indemnification pursuant to this Section shall continue as to an Indemnitee who has ceased to be such and shall inure to the benefit of his or her heirs, executors, and administrators. The Employer agrees that the undertakings made in this Section shall be binding on its successors or assigns and shall survive the termination, amendment, or restatement of the Plan.</w:t>
      </w:r>
    </w:p>
    <w:p>
      <w:pPr>
        <w:spacing w:after="0" w:line="239" w:lineRule="exact"/>
        <w:rPr>
          <w:rFonts w:ascii="Cambria" w:cs="Cambria" w:eastAsia="Cambria" w:hAnsi="Cambria"/>
          <w:sz w:val="20"/>
          <w:szCs w:val="20"/>
          <w:b w:val="1"/>
          <w:bCs w:val="1"/>
          <w:color w:val="auto"/>
        </w:rPr>
      </w:pPr>
    </w:p>
    <w:p>
      <w:pPr>
        <w:jc w:val="both"/>
        <w:ind w:left="2860" w:right="900" w:hanging="658"/>
        <w:spacing w:after="0" w:line="244" w:lineRule="auto"/>
        <w:tabs>
          <w:tab w:leader="none" w:pos="2876" w:val="left"/>
        </w:tabs>
        <w:numPr>
          <w:ilvl w:val="0"/>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spacing w:after="0" w:line="200" w:lineRule="exact"/>
        <w:rPr>
          <w:rFonts w:ascii="Cambria" w:cs="Cambria" w:eastAsia="Cambria" w:hAnsi="Cambria"/>
          <w:sz w:val="20"/>
          <w:szCs w:val="20"/>
          <w:b w:val="1"/>
          <w:bCs w:val="1"/>
          <w:color w:val="auto"/>
        </w:rPr>
      </w:pPr>
    </w:p>
    <w:p>
      <w:pPr>
        <w:spacing w:after="0" w:line="273" w:lineRule="exact"/>
        <w:rPr>
          <w:rFonts w:ascii="Cambria" w:cs="Cambria" w:eastAsia="Cambria" w:hAnsi="Cambria"/>
          <w:sz w:val="20"/>
          <w:szCs w:val="20"/>
          <w:b w:val="1"/>
          <w:bCs w:val="1"/>
          <w:color w:val="auto"/>
        </w:rPr>
      </w:pPr>
    </w:p>
    <w:p>
      <w:pPr>
        <w:ind w:left="2860" w:hanging="658"/>
        <w:spacing w:after="0"/>
        <w:tabs>
          <w:tab w:leader="none" w:pos="2860" w:val="left"/>
        </w:tabs>
        <w:numPr>
          <w:ilvl w:val="0"/>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For the purposes of this Section, the following definitions shall apply:</w:t>
      </w:r>
    </w:p>
    <w:p>
      <w:pPr>
        <w:spacing w:after="0" w:line="255" w:lineRule="exact"/>
        <w:rPr>
          <w:rFonts w:ascii="Cambria" w:cs="Cambria" w:eastAsia="Cambria" w:hAnsi="Cambria"/>
          <w:sz w:val="20"/>
          <w:szCs w:val="20"/>
          <w:b w:val="1"/>
          <w:bCs w:val="1"/>
          <w:color w:val="auto"/>
        </w:rPr>
      </w:pPr>
    </w:p>
    <w:p>
      <w:pPr>
        <w:jc w:val="both"/>
        <w:ind w:left="3500" w:right="900" w:hanging="650"/>
        <w:spacing w:after="0"/>
        <w:tabs>
          <w:tab w:leader="none" w:pos="3513" w:val="left"/>
        </w:tabs>
        <w:numPr>
          <w:ilvl w:val="1"/>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“Indemnitee” shall mean each person serving as an Administrator (or any other person who is an employee, Director, or officer of the Employer) who was or is a party to, or is threatened to be made a party to, or is otherwise involved in, any Proceeding, by reason of the fact that he or she is or was performing administrative functions under the Plan.</w:t>
      </w:r>
    </w:p>
    <w:p>
      <w:pPr>
        <w:spacing w:after="0" w:line="258" w:lineRule="exact"/>
        <w:rPr>
          <w:rFonts w:ascii="Cambria" w:cs="Cambria" w:eastAsia="Cambria" w:hAnsi="Cambria"/>
          <w:sz w:val="20"/>
          <w:szCs w:val="20"/>
          <w:b w:val="1"/>
          <w:bCs w:val="1"/>
          <w:color w:val="auto"/>
        </w:rPr>
      </w:pPr>
    </w:p>
    <w:p>
      <w:pPr>
        <w:jc w:val="both"/>
        <w:ind w:left="3500" w:right="900" w:hanging="650"/>
        <w:spacing w:after="0" w:line="242" w:lineRule="auto"/>
        <w:tabs>
          <w:tab w:leader="none" w:pos="3523" w:val="left"/>
        </w:tabs>
        <w:numPr>
          <w:ilvl w:val="1"/>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“Proceeding” shall mean any threatened, pending, or completed action, suit, or proceeding (including, without limitation, an action, suit, or proceeding by or in the right of the Employer), whether civil, criminal, administrative, investigative, or through arbitration.</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3"/>
          <w:szCs w:val="13"/>
          <w:color w:val="auto"/>
        </w:rPr>
        <w:t>Sandisk Corporation Deferred Compensation Plan</w:t>
      </w:r>
      <w:r>
        <w:rPr>
          <w:sz w:val="20"/>
          <w:szCs w:val="20"/>
          <w:color w:val="auto"/>
        </w:rPr>
        <w:tab/>
      </w:r>
      <w:r>
        <w:rPr>
          <w:rFonts w:ascii="Times New Roman" w:cs="Times New Roman" w:eastAsia="Times New Roman" w:hAnsi="Times New Roman"/>
          <w:sz w:val="12"/>
          <w:szCs w:val="12"/>
          <w:color w:val="auto"/>
        </w:rPr>
        <w:t>TOC-13-3</w:t>
      </w:r>
    </w:p>
    <w:p>
      <w:pPr>
        <w:sectPr>
          <w:pgSz w:w="11900" w:h="16838" w:orient="portrait"/>
          <w:cols w:equalWidth="0" w:num="1">
            <w:col w:w="11200"/>
          </w:cols>
          <w:pgMar w:left="340" w:top="1440" w:right="359" w:bottom="1440" w:gutter="0" w:footer="0" w:header="0"/>
          <w:type w:val="continuous"/>
        </w:sectPr>
      </w:pPr>
    </w:p>
    <w:bookmarkStart w:id="96" w:name="page97"/>
    <w:bookmarkEnd w:id="96"/>
    <w:p>
      <w:pPr>
        <w:spacing w:after="0" w:line="200" w:lineRule="exact"/>
        <w:rPr>
          <w:sz w:val="20"/>
          <w:szCs w:val="20"/>
          <w:color w:val="auto"/>
        </w:rPr>
      </w:pPr>
    </w:p>
    <w:p>
      <w:pPr>
        <w:spacing w:after="0" w:line="286"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13.9.</w:t>
      </w:r>
      <w:r>
        <w:rPr>
          <w:sz w:val="20"/>
          <w:szCs w:val="20"/>
          <w:color w:val="auto"/>
        </w:rPr>
        <w:tab/>
      </w:r>
      <w:r>
        <w:rPr>
          <w:rFonts w:ascii="Cambria" w:cs="Cambria" w:eastAsia="Cambria" w:hAnsi="Cambria"/>
          <w:sz w:val="24"/>
          <w:szCs w:val="24"/>
          <w:b w:val="1"/>
          <w:bCs w:val="1"/>
          <w:i w:val="1"/>
          <w:iCs w:val="1"/>
          <w:color w:val="auto"/>
        </w:rPr>
        <w:t>Successors</w:t>
      </w:r>
    </w:p>
    <w:p>
      <w:pPr>
        <w:spacing w:after="0" w:line="96" w:lineRule="exact"/>
        <w:rPr>
          <w:sz w:val="20"/>
          <w:szCs w:val="20"/>
          <w:color w:val="auto"/>
        </w:rPr>
      </w:pPr>
    </w:p>
    <w:p>
      <w:pPr>
        <w:jc w:val="both"/>
        <w:ind w:left="2200" w:right="900"/>
        <w:spacing w:after="0" w:line="239" w:lineRule="auto"/>
        <w:rPr>
          <w:sz w:val="20"/>
          <w:szCs w:val="20"/>
          <w:color w:val="auto"/>
        </w:rPr>
      </w:pPr>
      <w:r>
        <w:rPr>
          <w:rFonts w:ascii="Cambria" w:cs="Cambria" w:eastAsia="Cambria" w:hAnsi="Cambria"/>
          <w:sz w:val="20"/>
          <w:szCs w:val="20"/>
          <w:b w:val="1"/>
          <w:bCs w:val="1"/>
          <w:color w:val="auto"/>
        </w:rPr>
        <w:t>The provisions of the Plan shall bind and inure to the benefit of the Plan Sponsor, the Employer and their successors and assigns and the Participant and the Participant’s designated Beneficiaries.</w:t>
      </w:r>
    </w:p>
    <w:p>
      <w:pPr>
        <w:spacing w:after="0" w:line="220"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13.10.</w:t>
        <w:tab/>
        <w:t>Disclaimer</w:t>
      </w:r>
    </w:p>
    <w:p>
      <w:pPr>
        <w:spacing w:after="0" w:line="91"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It is the Plan Sponsor’s intention that the Plan comply with the requirements of Code</w:t>
      </w:r>
    </w:p>
    <w:p>
      <w:pPr>
        <w:spacing w:after="0" w:line="8" w:lineRule="exact"/>
        <w:rPr>
          <w:sz w:val="20"/>
          <w:szCs w:val="20"/>
          <w:color w:val="auto"/>
        </w:rPr>
      </w:pPr>
    </w:p>
    <w:p>
      <w:pPr>
        <w:ind w:left="2200"/>
        <w:spacing w:after="0"/>
        <w:rPr>
          <w:sz w:val="20"/>
          <w:szCs w:val="20"/>
          <w:color w:val="auto"/>
        </w:rPr>
      </w:pPr>
      <w:r>
        <w:rPr>
          <w:rFonts w:ascii="Cambria" w:cs="Cambria" w:eastAsia="Cambria" w:hAnsi="Cambria"/>
          <w:sz w:val="20"/>
          <w:szCs w:val="20"/>
          <w:b w:val="1"/>
          <w:bCs w:val="1"/>
          <w:color w:val="auto"/>
        </w:rPr>
        <w:t>Section 409A. Neither the Plan Sponsor nor the Employer shall have any liability to any</w:t>
      </w:r>
    </w:p>
    <w:p>
      <w:pPr>
        <w:ind w:left="2200" w:right="900"/>
        <w:spacing w:after="0" w:line="244" w:lineRule="auto"/>
        <w:rPr>
          <w:sz w:val="20"/>
          <w:szCs w:val="20"/>
          <w:color w:val="auto"/>
        </w:rPr>
      </w:pPr>
      <w:r>
        <w:rPr>
          <w:rFonts w:ascii="Cambria" w:cs="Cambria" w:eastAsia="Cambria" w:hAnsi="Cambria"/>
          <w:sz w:val="20"/>
          <w:szCs w:val="20"/>
          <w:b w:val="1"/>
          <w:bCs w:val="1"/>
          <w:color w:val="auto"/>
        </w:rPr>
        <w:t>Participant should any provision of the Plan fail to satisfy the requirements of Code Section 409A.</w:t>
      </w:r>
    </w:p>
    <w:p>
      <w:pPr>
        <w:spacing w:after="0" w:line="214" w:lineRule="exact"/>
        <w:rPr>
          <w:sz w:val="20"/>
          <w:szCs w:val="20"/>
          <w:color w:val="auto"/>
        </w:rPr>
      </w:pPr>
    </w:p>
    <w:p>
      <w:pPr>
        <w:ind w:left="1160"/>
        <w:spacing w:after="0"/>
        <w:tabs>
          <w:tab w:leader="none" w:pos="2180" w:val="left"/>
        </w:tabs>
        <w:rPr>
          <w:sz w:val="20"/>
          <w:szCs w:val="20"/>
          <w:color w:val="auto"/>
        </w:rPr>
      </w:pPr>
      <w:r>
        <w:rPr>
          <w:rFonts w:ascii="Cambria" w:cs="Cambria" w:eastAsia="Cambria" w:hAnsi="Cambria"/>
          <w:sz w:val="25"/>
          <w:szCs w:val="25"/>
          <w:b w:val="1"/>
          <w:bCs w:val="1"/>
          <w:i w:val="1"/>
          <w:iCs w:val="1"/>
          <w:color w:val="auto"/>
        </w:rPr>
        <w:t>13.11.</w:t>
      </w:r>
      <w:r>
        <w:rPr>
          <w:sz w:val="20"/>
          <w:szCs w:val="20"/>
          <w:color w:val="auto"/>
        </w:rPr>
        <w:tab/>
      </w:r>
      <w:r>
        <w:rPr>
          <w:rFonts w:ascii="Cambria" w:cs="Cambria" w:eastAsia="Cambria" w:hAnsi="Cambria"/>
          <w:sz w:val="24"/>
          <w:szCs w:val="24"/>
          <w:b w:val="1"/>
          <w:bCs w:val="1"/>
          <w:i w:val="1"/>
          <w:iCs w:val="1"/>
          <w:color w:val="auto"/>
        </w:rPr>
        <w:t>Governing Law</w:t>
      </w:r>
    </w:p>
    <w:p>
      <w:pPr>
        <w:spacing w:after="0" w:line="96" w:lineRule="exact"/>
        <w:rPr>
          <w:sz w:val="20"/>
          <w:szCs w:val="20"/>
          <w:color w:val="auto"/>
        </w:rPr>
      </w:pPr>
    </w:p>
    <w:p>
      <w:pPr>
        <w:ind w:left="2200" w:right="900"/>
        <w:spacing w:after="0" w:line="244" w:lineRule="auto"/>
        <w:rPr>
          <w:sz w:val="20"/>
          <w:szCs w:val="20"/>
          <w:color w:val="auto"/>
        </w:rPr>
      </w:pPr>
      <w:r>
        <w:rPr>
          <w:rFonts w:ascii="Cambria" w:cs="Cambria" w:eastAsia="Cambria" w:hAnsi="Cambria"/>
          <w:sz w:val="20"/>
          <w:szCs w:val="20"/>
          <w:b w:val="1"/>
          <w:bCs w:val="1"/>
          <w:color w:val="auto"/>
        </w:rPr>
        <w:t>The Plan will be construed, administered, and enforced according to the laws of the State specified by the Plan Sponsor in Section 12.01 of the Adoption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Sandisk Corporation Deferred Compensation Plan</w:t>
            </w:r>
          </w:p>
        </w:tc>
        <w:tc>
          <w:tcPr>
            <w:tcW w:w="4600" w:type="dxa"/>
            <w:vAlign w:val="bottom"/>
          </w:tcPr>
          <w:p>
            <w:pPr>
              <w:ind w:left="4080"/>
              <w:spacing w:after="0"/>
              <w:rPr>
                <w:sz w:val="20"/>
                <w:szCs w:val="20"/>
                <w:color w:val="auto"/>
              </w:rPr>
            </w:pPr>
            <w:r>
              <w:rPr>
                <w:rFonts w:ascii="Times New Roman" w:cs="Times New Roman" w:eastAsia="Times New Roman" w:hAnsi="Times New Roman"/>
                <w:sz w:val="13"/>
                <w:szCs w:val="13"/>
                <w:color w:val="auto"/>
                <w:w w:val="92"/>
              </w:rPr>
              <w:t>TOC-13-4</w:t>
            </w:r>
          </w:p>
        </w:tc>
      </w:tr>
    </w:tbl>
    <w:p>
      <w:pPr>
        <w:sectPr>
          <w:pgSz w:w="11900" w:h="16838" w:orient="portrait"/>
          <w:cols w:equalWidth="0" w:num="1">
            <w:col w:w="11200"/>
          </w:cols>
          <w:pgMar w:left="340" w:top="1440" w:right="3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2025</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Wissam Jabre, certify that:</w:t>
      </w:r>
    </w:p>
    <w:p>
      <w:pPr>
        <w:spacing w:after="0" w:line="104" w:lineRule="exact"/>
        <w:rPr>
          <w:sz w:val="20"/>
          <w:szCs w:val="20"/>
          <w:color w:val="auto"/>
        </w:rPr>
      </w:pPr>
    </w:p>
    <w:p>
      <w:pPr>
        <w:ind w:left="520" w:hanging="188"/>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right="220" w:firstLine="332"/>
        <w:spacing w:after="0" w:line="266" w:lineRule="auto"/>
        <w:tabs>
          <w:tab w:leader="none" w:pos="5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266" w:lineRule="auto"/>
        <w:tabs>
          <w:tab w:leader="none" w:pos="8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40" w:firstLine="656"/>
        <w:spacing w:after="0" w:line="266" w:lineRule="auto"/>
        <w:tabs>
          <w:tab w:leader="none" w:pos="8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720" w:firstLine="656"/>
        <w:spacing w:after="0" w:line="282" w:lineRule="auto"/>
        <w:tabs>
          <w:tab w:leader="none" w:pos="8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8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right="100" w:firstLine="656"/>
        <w:spacing w:after="0" w:line="282" w:lineRule="auto"/>
        <w:tabs>
          <w:tab w:leader="none" w:pos="8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60" w:firstLine="656"/>
        <w:spacing w:after="0" w:line="282" w:lineRule="auto"/>
        <w:tabs>
          <w:tab w:leader="none" w:pos="8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2025</w:t>
      </w:r>
    </w:p>
    <w:p>
      <w:pPr>
        <w:sectPr>
          <w:pgSz w:w="11900" w:h="16838" w:orient="portrait"/>
          <w:cols w:equalWidth="0" w:num="1">
            <w:col w:w="11240"/>
          </w:cols>
          <w:pgMar w:left="320" w:top="887" w:right="339" w:bottom="1440" w:gutter="0" w:footer="0" w:header="0"/>
        </w:sectPr>
      </w:pPr>
    </w:p>
    <w:bookmarkStart w:id="99" w:name="page100"/>
    <w:bookmarkEnd w:id="9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80" w:firstLine="332"/>
        <w:spacing w:after="0" w:line="282" w:lineRule="auto"/>
        <w:tabs>
          <w:tab w:leader="none" w:pos="5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December 27, 2024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435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2025</w:t>
      </w:r>
    </w:p>
    <w:p>
      <w:pPr>
        <w:sectPr>
          <w:pgSz w:w="11900" w:h="16838" w:orient="portrait"/>
          <w:cols w:equalWidth="0" w:num="1">
            <w:col w:w="11240"/>
          </w:cols>
          <w:pgMar w:left="320" w:top="887" w:right="339" w:bottom="1440" w:gutter="0" w:footer="0" w:header="0"/>
        </w:sectPr>
      </w:pPr>
    </w:p>
    <w:bookmarkStart w:id="100" w:name="page101"/>
    <w:bookmarkEnd w:id="10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85" w:lineRule="exact"/>
        <w:rPr>
          <w:sz w:val="20"/>
          <w:szCs w:val="20"/>
          <w:color w:val="auto"/>
        </w:rPr>
      </w:pPr>
    </w:p>
    <w:p>
      <w:pPr>
        <w:ind w:right="80" w:firstLine="332"/>
        <w:spacing w:after="0" w:line="282" w:lineRule="auto"/>
        <w:tabs>
          <w:tab w:leader="none" w:pos="5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December 27, 2024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861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Wissam Jabre</w:t>
      </w:r>
    </w:p>
    <w:p>
      <w:pPr>
        <w:spacing w:after="0" w:line="1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Roman"/>
      <w:start w:val="2"/>
    </w:lvl>
  </w:abstractNum>
  <w:abstractNum w:abstractNumId="11">
    <w:nsid w:val="71F32454"/>
    <w:multiLevelType w:val="hybridMultilevel"/>
    <w:lvl w:ilvl="0">
      <w:lvlJc w:val="left"/>
      <w:lvlText w:val="(%1)"/>
      <w:numFmt w:val="lowerRoman"/>
      <w:start w:val="4"/>
    </w:lvl>
  </w:abstractNum>
  <w:abstractNum w:abstractNumId="12">
    <w:nsid w:val="2CA88611"/>
    <w:multiLevelType w:val="hybridMultilevel"/>
    <w:lvl w:ilvl="0">
      <w:lvlJc w:val="left"/>
      <w:lvlText w:val="†"/>
      <w:numFmt w:val="bullet"/>
      <w:start w:val="1"/>
    </w:lvl>
    <w:lvl w:ilvl="1">
      <w:lvlJc w:val="left"/>
      <w:lvlText w:val="%2"/>
      <w:numFmt w:val="decimal"/>
      <w:start w:val="104"/>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5"/>
    </w:lvl>
    <w:lvl w:ilvl="1">
      <w:lvlJc w:val="left"/>
      <w:lvlText w:val="(%2)"/>
      <w:numFmt w:val="lowerLetter"/>
      <w:start w:val="1"/>
    </w:lvl>
  </w:abstractNum>
  <w:abstractNum w:abstractNumId="16">
    <w:nsid w:val="8138641"/>
    <w:multiLevelType w:val="hybridMultilevel"/>
    <w:lvl w:ilvl="0">
      <w:lvlJc w:val="left"/>
      <w:lvlText w:val="%1"/>
      <w:numFmt w:val="decimal"/>
      <w:start w:val="1"/>
    </w:lvl>
    <w:lvl w:ilvl="1">
      <w:lvlJc w:val="left"/>
      <w:lvlText w:val="(%2)"/>
      <w:numFmt w:val="lowerLetter"/>
      <w:start w:val="2"/>
    </w:lvl>
  </w:abstractNum>
  <w:abstractNum w:abstractNumId="17">
    <w:nsid w:val="1E7FF521"/>
    <w:multiLevelType w:val="hybridMultilevel"/>
    <w:lvl w:ilvl="0">
      <w:lvlJc w:val="left"/>
      <w:lvlText w:val="%1."/>
      <w:numFmt w:val="decimal"/>
      <w:start w:val="8"/>
    </w:lvl>
    <w:lvl w:ilvl="1">
      <w:lvlJc w:val="left"/>
      <w:lvlText w:val="%2"/>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decimal"/>
      <w:start w:val="1"/>
    </w:lvl>
    <w:lvl w:ilvl="1">
      <w:lvlJc w:val="left"/>
      <w:lvlText w:val="(%2)"/>
      <w:numFmt w:val="lowerLetter"/>
      <w:start w:val="7"/>
    </w:lvl>
  </w:abstractNum>
  <w:abstractNum w:abstractNumId="20">
    <w:nsid w:val="6CEAF087"/>
    <w:multiLevelType w:val="hybridMultilevel"/>
    <w:lvl w:ilvl="0">
      <w:lvlJc w:val="left"/>
      <w:lvlText w:val="%1."/>
      <w:numFmt w:val="decimal"/>
      <w:start w:val="9"/>
    </w:lvl>
    <w:lvl w:ilvl="1">
      <w:lvlJc w:val="left"/>
      <w:lvlText w:val="%2"/>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3"/>
    </w:lvl>
    <w:lvl w:ilvl="1">
      <w:lvlJc w:val="left"/>
      <w:lvlText w:val="(%2)"/>
      <w:numFmt w:val="lowerLetter"/>
      <w:start w:val="9"/>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1"/>
    </w:lvl>
    <w:lvl w:ilvl="1">
      <w:lvlJc w:val="left"/>
      <w:lvlText w:val="(%2)"/>
      <w:numFmt w:val="lowerLetter"/>
      <w:start w:val="9"/>
    </w:lvl>
  </w:abstractNum>
  <w:abstractNum w:abstractNumId="27">
    <w:nsid w:val="440BADFC"/>
    <w:multiLevelType w:val="hybridMultilevel"/>
    <w:lvl w:ilvl="0">
      <w:lvlJc w:val="left"/>
      <w:lvlText w:val="(%1)"/>
      <w:numFmt w:val="lowerLetter"/>
      <w:start w:val="2"/>
    </w:lvl>
    <w:lvl w:ilvl="1">
      <w:lvlJc w:val="left"/>
      <w:lvlText w:val="%2"/>
      <w:numFmt w:val="lowerLetter"/>
      <w:start w:val="1"/>
    </w:lvl>
  </w:abstractNum>
  <w:abstractNum w:abstractNumId="28">
    <w:nsid w:val="5072367"/>
    <w:multiLevelType w:val="hybridMultilevel"/>
    <w:lvl w:ilvl="0">
      <w:lvlJc w:val="left"/>
      <w:lvlText w:val="(%1)"/>
      <w:numFmt w:val="lowerLetter"/>
      <w:start w:val="4"/>
    </w:lvl>
  </w:abstractNum>
  <w:abstractNum w:abstractNumId="29">
    <w:nsid w:val="3804823E"/>
    <w:multiLevelType w:val="hybridMultilevel"/>
    <w:lvl w:ilvl="0">
      <w:lvlJc w:val="left"/>
      <w:lvlText w:val="(%1)"/>
      <w:numFmt w:val="lowerLetter"/>
      <w:start w:val="5"/>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Letter"/>
      <w:start w:val="6"/>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lvl w:ilvl="1">
      <w:lvlJc w:val="left"/>
      <w:lvlText w:val="(%2)"/>
      <w:numFmt w:val="lowerLetter"/>
      <w:start w:val="9"/>
    </w:lvl>
  </w:abstractNum>
  <w:abstractNum w:abstractNumId="36">
    <w:nsid w:val="2D517796"/>
    <w:multiLevelType w:val="hybridMultilevel"/>
    <w:lvl w:ilvl="0">
      <w:lvlJc w:val="left"/>
      <w:lvlText w:val="%1"/>
      <w:numFmt w:val="lowerLetter"/>
      <w:start w:val="1"/>
    </w:lvl>
    <w:lvl w:ilvl="1">
      <w:lvlJc w:val="left"/>
      <w:lvlText w:val="(%2)"/>
      <w:numFmt w:val="lowerRoman"/>
      <w:start w:val="1"/>
    </w:lvl>
  </w:abstractNum>
  <w:abstractNum w:abstractNumId="37">
    <w:nsid w:val="580BD78F"/>
    <w:multiLevelType w:val="hybridMultilevel"/>
    <w:lvl w:ilvl="0">
      <w:lvlJc w:val="left"/>
      <w:lvlText w:val="(%1)"/>
      <w:numFmt w:val="lowerLetter"/>
      <w:start w:val="3"/>
    </w:lvl>
    <w:lvl w:ilvl="1">
      <w:lvlJc w:val="left"/>
      <w:lvlText w:val="%2"/>
      <w:numFmt w:val="lowerRoman"/>
      <w:start w:val="1"/>
    </w:lvl>
  </w:abstractNum>
  <w:abstractNum w:abstractNumId="38">
    <w:nsid w:val="153EA438"/>
    <w:multiLevelType w:val="hybridMultilevel"/>
    <w:lvl w:ilvl="0">
      <w:lvlJc w:val="left"/>
      <w:lvlText w:val="(%1)"/>
      <w:numFmt w:val="lowerLetter"/>
      <w:start w:val="1"/>
    </w:lvl>
    <w:lvl w:ilvl="1">
      <w:lvlJc w:val="left"/>
      <w:lvlText w:val="(%2)"/>
      <w:numFmt w:val="lowerRoman"/>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29" Type="http://schemas.openxmlformats.org/officeDocument/2006/relationships/hyperlink" Target="https://www.sec.gov/Archives/edgar/data/106040/000095013706001502/a17011exv3w1.htm" TargetMode="External"/><Relationship Id="rId130" Type="http://schemas.openxmlformats.org/officeDocument/2006/relationships/hyperlink" Target="https://www.sec.gov/Archives/edgar/data/106040/000119312523020502/d425756dex31.htm" TargetMode="External"/><Relationship Id="rId131" Type="http://schemas.openxmlformats.org/officeDocument/2006/relationships/hyperlink" Target="https://www.sec.gov/Archives/edgar/data/106040/000119312521041457/d128208dex31.htm" TargetMode="External"/><Relationship Id="rId132" Type="http://schemas.openxmlformats.org/officeDocument/2006/relationships/hyperlink" Target="https://www.sec.gov/Archives/edgar/data/106040/000119312524265164/d8851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2025-01-31T05:25:44Z</dcterms:created>
  <dcterms:modified xsi:type="dcterms:W3CDTF">2025-01-31T05:25:44Z</dcterms:modified>
</cp:coreProperties>
</file>