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4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1911350</wp:posOffset>
            </wp:positionH>
            <wp:positionV relativeFrom="paragraph">
              <wp:posOffset>424815</wp:posOffset>
            </wp:positionV>
            <wp:extent cx="3180080" cy="10026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80080" cy="10026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42"/>
          <w:szCs w:val="42"/>
          <w:b w:val="1"/>
          <w:bCs w:val="1"/>
          <w:color w:val="auto"/>
        </w:rPr>
        <w:t>WESTERN DIGITAL CORPORATION</w:t>
      </w:r>
    </w:p>
    <w:p>
      <w:pPr>
        <w:spacing w:after="0" w:line="7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41"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001-08703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33-0956711</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41"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41" w:gutter="0" w:footer="0" w:header="0"/>
          <w:type w:val="continuous"/>
        </w:sectPr>
      </w:pPr>
    </w:p>
    <w:p>
      <w:pPr>
        <w:spacing w:after="0" w:line="28"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5601 Great Oaks Parkway</w:t>
      </w:r>
    </w:p>
    <w:p>
      <w:pPr>
        <w:spacing w:after="0" w:line="3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San Jose, California</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95119</w:t>
      </w:r>
    </w:p>
    <w:p>
      <w:pPr>
        <w:spacing w:after="0" w:line="42" w:lineRule="exact"/>
        <w:rPr>
          <w:sz w:val="24"/>
          <w:szCs w:val="24"/>
          <w:color w:val="auto"/>
        </w:rPr>
      </w:pPr>
    </w:p>
    <w:p>
      <w:pPr>
        <w:sectPr>
          <w:pgSz w:w="11900" w:h="16838" w:orient="portrait"/>
          <w:cols w:equalWidth="0" w:num="2">
            <w:col w:w="7404" w:space="720"/>
            <w:col w:w="2900"/>
          </w:cols>
          <w:pgMar w:left="436" w:top="376" w:right="439" w:bottom="41"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376" w:right="439" w:bottom="41"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(408) 717-6000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WDC</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jc w:val="center"/>
        <w:ind w:right="-3"/>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41"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3.02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previously reported on a Current Report on Form 8-K filed on June 3, 2026 (the “Original Form 8-K”), Western Digital Corporation (the “Company”) entered into separate, privately negotiated exchange agreements with certain holders of its 3.00% Convertible Senior Notes due 2028 (the “Notes”), pursuant to which such holders have agreed to exchange approximately $858.4 million aggregate principal amount of Notes for cash and shares of common stock of the Company (the “Exchange Shares” and, such transactions, the “Exchange Transactions”). The exact number of the Exchange Shares to be delivered in the Exchange Transactions was not available at the time of filing of the Original Form 8-K because such number is calculated using the average price of the Company’s common stock over a two-day measurement period on June 3-4, 2026.</w:t>
      </w:r>
    </w:p>
    <w:p>
      <w:pPr>
        <w:spacing w:after="0" w:line="18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is filing this Amendment No. 1 to the Original Form 8-K solely for the purposes of disclosing that an aggregate of 21,289,938 shares of Exchange Shares will be delivered in the Exchange Transactions. The Original Form 8-K is not otherwise revised or amended in any way.</w:t>
      </w:r>
    </w:p>
    <w:p>
      <w:pPr>
        <w:sectPr>
          <w:pgSz w:w="11900" w:h="16838" w:orient="portrait"/>
          <w:cols w:equalWidth="0" w:num="1">
            <w:col w:w="10860"/>
          </w:cols>
          <w:pgMar w:left="440" w:top="293" w:right="5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ind w:left="5620"/>
        <w:spacing w:after="0"/>
        <w:tabs>
          <w:tab w:leader="none" w:pos="5780" w:val="left"/>
          <w:tab w:leader="none" w:pos="5960" w:val="left"/>
          <w:tab w:leader="none" w:pos="6140" w:val="left"/>
          <w:tab w:leader="none" w:pos="6320" w:val="left"/>
          <w:tab w:leader="none" w:pos="6500" w:val="left"/>
          <w:tab w:leader="none" w:pos="6680" w:val="left"/>
        </w:tabs>
        <w:rPr>
          <w:sz w:val="20"/>
          <w:szCs w:val="20"/>
          <w:color w:val="auto"/>
        </w:rPr>
      </w:pPr>
      <w:r>
        <w:rPr>
          <w:rFonts w:ascii="Times New Roman" w:cs="Times New Roman" w:eastAsia="Times New Roman" w:hAnsi="Times New Roman"/>
          <w:sz w:val="18"/>
          <w:szCs w:val="18"/>
          <w:i w:val="1"/>
          <w:iCs w:val="1"/>
          <w:color w:val="auto"/>
        </w:rPr>
        <w:t> </w:t>
        <w:tab/>
        <w:t> </w:t>
        <w:tab/>
        <w:t> </w:t>
        <w:tab/>
        <w:t> </w:t>
        <w:tab/>
        <w:t> </w:t>
        <w:tab/>
        <w:t> </w:t>
        <w:tab/>
        <w:t>(Registrant)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8, 2026</w:t>
      </w:r>
    </w:p>
    <w:p>
      <w:pPr>
        <w:spacing w:after="0" w:line="207"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Cynthia Tregillis</w:t>
      </w:r>
    </w:p>
    <w:p>
      <w:pPr>
        <w:spacing w:after="0" w:line="47" w:lineRule="exact"/>
        <w:rPr>
          <w:sz w:val="20"/>
          <w:szCs w:val="20"/>
          <w:color w:val="auto"/>
        </w:rPr>
      </w:pPr>
    </w:p>
    <w:tbl>
      <w:tblPr>
        <w:tblLayout w:type="fixed"/>
        <w:tblInd w:w="5540" w:type="dxa"/>
        <w:tblCellMar>
          <w:top w:w="0" w:type="dxa"/>
          <w:left w:w="0" w:type="dxa"/>
          <w:bottom w:w="0" w:type="dxa"/>
          <w:right w:w="0" w:type="dxa"/>
        </w:tblCellMar>
      </w:tblPr>
      <w:tr>
        <w:trPr>
          <w:trHeight w:val="20"/>
        </w:trPr>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20" w:type="dxa"/>
            <w:vAlign w:val="bottom"/>
            <w:shd w:val="clear" w:color="auto" w:fill="000000"/>
          </w:tcPr>
          <w:p>
            <w:pPr>
              <w:spacing w:after="0" w:line="20" w:lineRule="exact"/>
              <w:rPr>
                <w:sz w:val="1"/>
                <w:szCs w:val="1"/>
                <w:color w:val="auto"/>
              </w:rPr>
            </w:pPr>
          </w:p>
        </w:tc>
      </w:tr>
      <w:tr>
        <w:trPr>
          <w:trHeight w:val="185"/>
        </w:trPr>
        <w:tc>
          <w:tcPr>
            <w:tcW w:w="66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  Name:</w:t>
            </w:r>
          </w:p>
        </w:tc>
        <w:tc>
          <w:tcPr>
            <w:tcW w:w="4820" w:type="dxa"/>
            <w:vAlign w:val="bottom"/>
          </w:tcPr>
          <w:p>
            <w:pPr>
              <w:ind w:left="80"/>
              <w:spacing w:after="0" w:line="185" w:lineRule="exact"/>
              <w:rPr>
                <w:sz w:val="20"/>
                <w:szCs w:val="20"/>
                <w:color w:val="auto"/>
              </w:rPr>
            </w:pPr>
            <w:r>
              <w:rPr>
                <w:rFonts w:ascii="Times New Roman" w:cs="Times New Roman" w:eastAsia="Times New Roman" w:hAnsi="Times New Roman"/>
                <w:sz w:val="18"/>
                <w:szCs w:val="18"/>
                <w:color w:val="auto"/>
              </w:rPr>
              <w:t>Cynthia Tregillis</w:t>
            </w:r>
          </w:p>
        </w:tc>
      </w:tr>
      <w:tr>
        <w:trPr>
          <w:trHeight w:val="216"/>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Title:</w:t>
            </w:r>
          </w:p>
        </w:tc>
        <w:tc>
          <w:tcPr>
            <w:tcW w:w="4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Executive Vice President, Chief Legal</w:t>
            </w:r>
          </w:p>
        </w:tc>
      </w:tr>
      <w:tr>
        <w:trPr>
          <w:trHeight w:val="234"/>
        </w:trPr>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Officer and Secretary</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2026-06-08T08:02:23Z</dcterms:created>
  <dcterms:modified xsi:type="dcterms:W3CDTF">2026-06-08T08:02:23Z</dcterms:modified>
</cp:coreProperties>
</file>