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46990</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40005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(Mark One)</w:t>
      </w:r>
    </w:p>
    <w:p>
      <w:pPr>
        <w:spacing w:after="0" w:line="4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5" w:lineRule="exact"/>
        <w:rPr>
          <w:rFonts w:ascii="MS PGothic" w:cs="MS PGothic" w:eastAsia="MS PGothic" w:hAnsi="MS PGothic"/>
          <w:sz w:val="18"/>
          <w:szCs w:val="18"/>
          <w:color w:val="auto"/>
        </w:rPr>
      </w:pPr>
    </w:p>
    <w:p>
      <w:pPr>
        <w:ind w:left="40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April 2, 2021</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1"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6"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63500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294640</wp:posOffset>
            </wp:positionV>
            <wp:extent cx="296608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53340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800" w:type="dxa"/>
        <w:tblCellMar>
          <w:top w:w="0" w:type="dxa"/>
          <w:left w:w="0" w:type="dxa"/>
          <w:bottom w:w="0" w:type="dxa"/>
          <w:right w:w="0" w:type="dxa"/>
        </w:tblCellMar>
      </w:tblPr>
      <w:tr>
        <w:trPr>
          <w:trHeight w:val="210"/>
        </w:trPr>
        <w:tc>
          <w:tcPr>
            <w:tcW w:w="2760" w:type="dxa"/>
            <w:vAlign w:val="bottom"/>
            <w:gridSpan w:val="2"/>
          </w:tcPr>
          <w:p>
            <w:pPr>
              <w:jc w:val="center"/>
              <w:ind w:left="552"/>
              <w:spacing w:after="0"/>
              <w:rPr>
                <w:sz w:val="20"/>
                <w:szCs w:val="20"/>
                <w:color w:val="auto"/>
              </w:rPr>
            </w:pPr>
            <w:r>
              <w:rPr>
                <w:rFonts w:ascii="Arial" w:cs="Arial" w:eastAsia="Arial" w:hAnsi="Arial"/>
                <w:sz w:val="16"/>
                <w:szCs w:val="16"/>
                <w:b w:val="1"/>
                <w:bCs w:val="1"/>
                <w:color w:val="auto"/>
                <w:w w:val="93"/>
              </w:rPr>
              <w:t>Delaware</w:t>
            </w:r>
          </w:p>
        </w:tc>
        <w:tc>
          <w:tcPr>
            <w:tcW w:w="2500" w:type="dxa"/>
            <w:vAlign w:val="bottom"/>
          </w:tcPr>
          <w:p>
            <w:pPr>
              <w:spacing w:after="0"/>
              <w:rPr>
                <w:sz w:val="18"/>
                <w:szCs w:val="18"/>
                <w:color w:val="auto"/>
              </w:rPr>
            </w:pPr>
          </w:p>
        </w:tc>
        <w:tc>
          <w:tcPr>
            <w:tcW w:w="3580" w:type="dxa"/>
            <w:vAlign w:val="bottom"/>
          </w:tcPr>
          <w:p>
            <w:pPr>
              <w:jc w:val="right"/>
              <w:ind w:right="450"/>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28"/>
        </w:trPr>
        <w:tc>
          <w:tcPr>
            <w:tcW w:w="2760" w:type="dxa"/>
            <w:vAlign w:val="bottom"/>
            <w:gridSpan w:val="2"/>
          </w:tcPr>
          <w:p>
            <w:pPr>
              <w:jc w:val="center"/>
              <w:ind w:left="572"/>
              <w:spacing w:after="0" w:line="128" w:lineRule="exact"/>
              <w:rPr>
                <w:sz w:val="20"/>
                <w:szCs w:val="20"/>
                <w:color w:val="auto"/>
              </w:rPr>
            </w:pPr>
            <w:r>
              <w:rPr>
                <w:rFonts w:ascii="Arial" w:cs="Arial" w:eastAsia="Arial" w:hAnsi="Arial"/>
                <w:sz w:val="13"/>
                <w:szCs w:val="13"/>
                <w:i w:val="1"/>
                <w:iCs w:val="1"/>
                <w:color w:val="auto"/>
                <w:w w:val="91"/>
              </w:rPr>
              <w:t>(State or other jurisdiction of</w:t>
            </w:r>
          </w:p>
        </w:tc>
        <w:tc>
          <w:tcPr>
            <w:tcW w:w="2500" w:type="dxa"/>
            <w:vAlign w:val="bottom"/>
          </w:tcPr>
          <w:p>
            <w:pPr>
              <w:spacing w:after="0"/>
              <w:rPr>
                <w:sz w:val="11"/>
                <w:szCs w:val="11"/>
                <w:color w:val="auto"/>
              </w:rPr>
            </w:pPr>
          </w:p>
        </w:tc>
        <w:tc>
          <w:tcPr>
            <w:tcW w:w="3580" w:type="dxa"/>
            <w:vAlign w:val="bottom"/>
            <w:vMerge w:val="restart"/>
          </w:tcPr>
          <w:p>
            <w:pPr>
              <w:jc w:val="center"/>
              <w:ind w:left="1710"/>
              <w:spacing w:after="0"/>
              <w:rPr>
                <w:sz w:val="20"/>
                <w:szCs w:val="20"/>
                <w:color w:val="auto"/>
              </w:rPr>
            </w:pPr>
            <w:r>
              <w:rPr>
                <w:rFonts w:ascii="Arial" w:cs="Arial" w:eastAsia="Arial" w:hAnsi="Arial"/>
                <w:sz w:val="13"/>
                <w:szCs w:val="13"/>
                <w:i w:val="1"/>
                <w:iCs w:val="1"/>
                <w:color w:val="auto"/>
                <w:w w:val="89"/>
              </w:rPr>
              <w:t>(I.R.S. Employer Identification No.)</w:t>
            </w:r>
          </w:p>
        </w:tc>
        <w:tc>
          <w:tcPr>
            <w:tcW w:w="0" w:type="dxa"/>
            <w:vAlign w:val="bottom"/>
          </w:tcPr>
          <w:p>
            <w:pPr>
              <w:spacing w:after="0"/>
              <w:rPr>
                <w:sz w:val="1"/>
                <w:szCs w:val="1"/>
                <w:color w:val="auto"/>
              </w:rPr>
            </w:pPr>
          </w:p>
        </w:tc>
      </w:tr>
      <w:tr>
        <w:trPr>
          <w:trHeight w:val="160"/>
        </w:trPr>
        <w:tc>
          <w:tcPr>
            <w:tcW w:w="2760" w:type="dxa"/>
            <w:vAlign w:val="bottom"/>
            <w:gridSpan w:val="2"/>
          </w:tcPr>
          <w:p>
            <w:pPr>
              <w:jc w:val="center"/>
              <w:ind w:left="552"/>
              <w:spacing w:after="0"/>
              <w:rPr>
                <w:sz w:val="20"/>
                <w:szCs w:val="20"/>
                <w:color w:val="auto"/>
              </w:rPr>
            </w:pPr>
            <w:r>
              <w:rPr>
                <w:rFonts w:ascii="Arial" w:cs="Arial" w:eastAsia="Arial" w:hAnsi="Arial"/>
                <w:sz w:val="13"/>
                <w:szCs w:val="13"/>
                <w:i w:val="1"/>
                <w:iCs w:val="1"/>
                <w:color w:val="auto"/>
                <w:w w:val="91"/>
              </w:rPr>
              <w:t>incorporation or organization)</w:t>
            </w:r>
          </w:p>
        </w:tc>
        <w:tc>
          <w:tcPr>
            <w:tcW w:w="2500" w:type="dxa"/>
            <w:vAlign w:val="bottom"/>
          </w:tcPr>
          <w:p>
            <w:pPr>
              <w:spacing w:after="0"/>
              <w:rPr>
                <w:sz w:val="13"/>
                <w:szCs w:val="13"/>
                <w:color w:val="auto"/>
              </w:rPr>
            </w:pPr>
          </w:p>
        </w:tc>
        <w:tc>
          <w:tcPr>
            <w:tcW w:w="3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1820" w:type="dxa"/>
            <w:vAlign w:val="bottom"/>
          </w:tcPr>
          <w:p>
            <w:pPr>
              <w:spacing w:after="0"/>
              <w:rPr>
                <w:sz w:val="20"/>
                <w:szCs w:val="20"/>
                <w:color w:val="auto"/>
              </w:rPr>
            </w:pPr>
            <w:r>
              <w:rPr>
                <w:rFonts w:ascii="Arial" w:cs="Arial" w:eastAsia="Arial" w:hAnsi="Arial"/>
                <w:sz w:val="14"/>
                <w:szCs w:val="14"/>
                <w:b w:val="1"/>
                <w:bCs w:val="1"/>
                <w:color w:val="auto"/>
              </w:rPr>
              <w:t>5601 Great Oaks Parkway</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San Jose,</w:t>
            </w:r>
          </w:p>
        </w:tc>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California</w:t>
            </w:r>
          </w:p>
        </w:tc>
        <w:tc>
          <w:tcPr>
            <w:tcW w:w="3580" w:type="dxa"/>
            <w:vAlign w:val="bottom"/>
          </w:tcPr>
          <w:p>
            <w:pPr>
              <w:jc w:val="right"/>
              <w:ind w:right="650"/>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71"/>
        </w:trPr>
        <w:tc>
          <w:tcPr>
            <w:tcW w:w="2760" w:type="dxa"/>
            <w:vAlign w:val="bottom"/>
            <w:gridSpan w:val="2"/>
          </w:tcPr>
          <w:p>
            <w:pPr>
              <w:jc w:val="center"/>
              <w:ind w:left="552"/>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2500" w:type="dxa"/>
            <w:vAlign w:val="bottom"/>
          </w:tcPr>
          <w:p>
            <w:pPr>
              <w:spacing w:after="0"/>
              <w:rPr>
                <w:sz w:val="14"/>
                <w:szCs w:val="14"/>
                <w:color w:val="auto"/>
              </w:rPr>
            </w:pPr>
          </w:p>
        </w:tc>
        <w:tc>
          <w:tcPr>
            <w:tcW w:w="3580" w:type="dxa"/>
            <w:vAlign w:val="bottom"/>
          </w:tcPr>
          <w:p>
            <w:pPr>
              <w:jc w:val="center"/>
              <w:ind w:left="1710"/>
              <w:spacing w:after="0"/>
              <w:rPr>
                <w:sz w:val="20"/>
                <w:szCs w:val="20"/>
                <w:color w:val="auto"/>
              </w:rPr>
            </w:pPr>
            <w:r>
              <w:rPr>
                <w:rFonts w:ascii="Arial" w:cs="Arial" w:eastAsia="Arial" w:hAnsi="Arial"/>
                <w:sz w:val="13"/>
                <w:szCs w:val="13"/>
                <w:i w:val="1"/>
                <w:iCs w:val="1"/>
                <w:color w:val="auto"/>
                <w:w w:val="91"/>
              </w:rPr>
              <w:t>(Zip Code)</w:t>
            </w:r>
          </w:p>
        </w:tc>
        <w:tc>
          <w:tcPr>
            <w:tcW w:w="0" w:type="dxa"/>
            <w:vAlign w:val="bottom"/>
          </w:tcPr>
          <w:p>
            <w:pPr>
              <w:spacing w:after="0"/>
              <w:rPr>
                <w:sz w:val="1"/>
                <w:szCs w:val="1"/>
                <w:color w:val="auto"/>
              </w:rPr>
            </w:pPr>
          </w:p>
        </w:tc>
      </w:tr>
    </w:tbl>
    <w:p>
      <w:pPr>
        <w:spacing w:after="0" w:line="1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95"/>
        </w:trPr>
        <w:tc>
          <w:tcPr>
            <w:tcW w:w="1520" w:type="dxa"/>
            <w:vAlign w:val="bottom"/>
          </w:tcPr>
          <w:p>
            <w:pPr>
              <w:spacing w:after="0"/>
              <w:rPr>
                <w:sz w:val="16"/>
                <w:szCs w:val="16"/>
                <w:color w:val="auto"/>
              </w:rPr>
            </w:pPr>
          </w:p>
        </w:tc>
        <w:tc>
          <w:tcPr>
            <w:tcW w:w="3460" w:type="dxa"/>
            <w:vAlign w:val="bottom"/>
            <w:gridSpan w:val="2"/>
          </w:tcPr>
          <w:p>
            <w:pPr>
              <w:jc w:val="center"/>
              <w:ind w:right="2240"/>
              <w:spacing w:after="0"/>
              <w:rPr>
                <w:sz w:val="20"/>
                <w:szCs w:val="20"/>
                <w:color w:val="auto"/>
              </w:rPr>
            </w:pPr>
            <w:r>
              <w:rPr>
                <w:rFonts w:ascii="Arial" w:cs="Arial" w:eastAsia="Arial" w:hAnsi="Arial"/>
                <w:sz w:val="16"/>
                <w:szCs w:val="16"/>
                <w:b w:val="1"/>
                <w:bCs w:val="1"/>
                <w:color w:val="auto"/>
                <w:w w:val="88"/>
              </w:rPr>
              <w:t>Title of each class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Trading symbol(s)</w:t>
            </w:r>
          </w:p>
        </w:tc>
        <w:tc>
          <w:tcPr>
            <w:tcW w:w="4360" w:type="dxa"/>
            <w:vAlign w:val="bottom"/>
            <w:gridSpan w:val="2"/>
          </w:tcPr>
          <w:p>
            <w:pPr>
              <w:jc w:val="center"/>
              <w:ind w:left="12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198"/>
        </w:trPr>
        <w:tc>
          <w:tcPr>
            <w:tcW w:w="4980" w:type="dxa"/>
            <w:vAlign w:val="bottom"/>
            <w:gridSpan w:val="3"/>
          </w:tcPr>
          <w:p>
            <w:pPr>
              <w:jc w:val="center"/>
              <w:ind w:right="700"/>
              <w:spacing w:after="0"/>
              <w:rPr>
                <w:sz w:val="20"/>
                <w:szCs w:val="20"/>
                <w:color w:val="auto"/>
              </w:rPr>
            </w:pPr>
            <w:r>
              <w:rPr>
                <w:rFonts w:ascii="Arial" w:cs="Arial" w:eastAsia="Arial" w:hAnsi="Arial"/>
                <w:sz w:val="14"/>
                <w:szCs w:val="14"/>
                <w:color w:val="auto"/>
                <w:w w:val="91"/>
              </w:rPr>
              <w:t>Common Stock, $.01 Par Value Per Share</w:t>
            </w:r>
          </w:p>
        </w:tc>
        <w:tc>
          <w:tcPr>
            <w:tcW w:w="1260" w:type="dxa"/>
            <w:vAlign w:val="bottom"/>
          </w:tcPr>
          <w:p>
            <w:pPr>
              <w:jc w:val="center"/>
              <w:spacing w:after="0"/>
              <w:rPr>
                <w:sz w:val="20"/>
                <w:szCs w:val="20"/>
                <w:color w:val="auto"/>
              </w:rPr>
            </w:pPr>
            <w:r>
              <w:rPr>
                <w:rFonts w:ascii="Arial" w:cs="Arial" w:eastAsia="Arial" w:hAnsi="Arial"/>
                <w:sz w:val="14"/>
                <w:szCs w:val="14"/>
                <w:color w:val="auto"/>
              </w:rPr>
              <w:t>WDC</w:t>
            </w:r>
          </w:p>
        </w:tc>
        <w:tc>
          <w:tcPr>
            <w:tcW w:w="136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89"/>
        </w:trPr>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281940</wp:posOffset>
            </wp:positionV>
            <wp:extent cx="2768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6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8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9200" w:type="dxa"/>
            <w:vAlign w:val="bottom"/>
            <w:gridSpan w:val="4"/>
          </w:tcPr>
          <w:p>
            <w:pPr>
              <w:spacing w:after="0"/>
              <w:rPr>
                <w:sz w:val="20"/>
                <w:szCs w:val="20"/>
                <w:color w:val="auto"/>
              </w:rPr>
            </w:pPr>
            <w:r>
              <w:rPr>
                <w:rFonts w:ascii="Arial" w:cs="Arial" w:eastAsia="Arial" w:hAnsi="Arial"/>
                <w:sz w:val="14"/>
                <w:szCs w:val="14"/>
                <w:color w:val="auto"/>
                <w:w w:val="96"/>
              </w:rPr>
              <w:t>definitions of “large accelerated filer,” “accelerated filer,” “smaller reporting company,” and “emerging growth company” in Rule 12b-2 of the Exchange Act.</w:t>
            </w:r>
          </w:p>
        </w:tc>
        <w:tc>
          <w:tcPr>
            <w:tcW w:w="2040" w:type="dxa"/>
            <w:vAlign w:val="bottom"/>
          </w:tcPr>
          <w:p>
            <w:pPr>
              <w:spacing w:after="0"/>
              <w:rPr>
                <w:sz w:val="15"/>
                <w:szCs w:val="15"/>
                <w:color w:val="auto"/>
              </w:rPr>
            </w:pPr>
          </w:p>
        </w:tc>
      </w:tr>
      <w:tr>
        <w:trPr>
          <w:trHeight w:val="183"/>
        </w:trPr>
        <w:tc>
          <w:tcPr>
            <w:tcW w:w="2320" w:type="dxa"/>
            <w:vAlign w:val="bottom"/>
          </w:tcPr>
          <w:p>
            <w:pPr>
              <w:jc w:val="center"/>
              <w:ind w:right="28"/>
              <w:spacing w:after="0"/>
              <w:rPr>
                <w:sz w:val="20"/>
                <w:szCs w:val="20"/>
                <w:color w:val="auto"/>
              </w:rPr>
            </w:pPr>
            <w:r>
              <w:rPr>
                <w:rFonts w:ascii="Arial" w:cs="Arial" w:eastAsia="Arial" w:hAnsi="Arial"/>
                <w:sz w:val="14"/>
                <w:szCs w:val="14"/>
                <w:color w:val="auto"/>
                <w:w w:val="93"/>
              </w:rPr>
              <w:t>Large accelerated filer</w:t>
            </w:r>
          </w:p>
        </w:tc>
        <w:tc>
          <w:tcPr>
            <w:tcW w:w="2080" w:type="dxa"/>
            <w:vAlign w:val="bottom"/>
          </w:tcPr>
          <w:p>
            <w:pPr>
              <w:jc w:val="center"/>
              <w:spacing w:after="0"/>
              <w:rPr>
                <w:sz w:val="20"/>
                <w:szCs w:val="20"/>
                <w:color w:val="auto"/>
              </w:rPr>
            </w:pPr>
            <w:r>
              <w:rPr>
                <w:rFonts w:ascii="Arial" w:cs="Arial" w:eastAsia="Arial" w:hAnsi="Arial"/>
                <w:sz w:val="14"/>
                <w:szCs w:val="14"/>
                <w:color w:val="auto"/>
                <w:w w:val="97"/>
              </w:rPr>
              <w:t>Accelerated filer</w:t>
            </w:r>
          </w:p>
        </w:tc>
        <w:tc>
          <w:tcPr>
            <w:tcW w:w="2220" w:type="dxa"/>
            <w:vAlign w:val="bottom"/>
          </w:tcPr>
          <w:p>
            <w:pPr>
              <w:jc w:val="center"/>
              <w:ind w:left="88"/>
              <w:spacing w:after="0"/>
              <w:rPr>
                <w:sz w:val="20"/>
                <w:szCs w:val="20"/>
                <w:color w:val="auto"/>
              </w:rPr>
            </w:pPr>
            <w:r>
              <w:rPr>
                <w:rFonts w:ascii="Arial" w:cs="Arial" w:eastAsia="Arial" w:hAnsi="Arial"/>
                <w:sz w:val="14"/>
                <w:szCs w:val="14"/>
                <w:color w:val="auto"/>
                <w:w w:val="94"/>
              </w:rPr>
              <w:t>Non-accelerated filer</w:t>
            </w:r>
          </w:p>
        </w:tc>
        <w:tc>
          <w:tcPr>
            <w:tcW w:w="2580" w:type="dxa"/>
            <w:vAlign w:val="bottom"/>
          </w:tcPr>
          <w:p>
            <w:pPr>
              <w:jc w:val="center"/>
              <w:ind w:right="88"/>
              <w:spacing w:after="0"/>
              <w:rPr>
                <w:sz w:val="20"/>
                <w:szCs w:val="20"/>
                <w:color w:val="auto"/>
              </w:rPr>
            </w:pPr>
            <w:r>
              <w:rPr>
                <w:rFonts w:ascii="Arial" w:cs="Arial" w:eastAsia="Arial" w:hAnsi="Arial"/>
                <w:sz w:val="14"/>
                <w:szCs w:val="14"/>
                <w:color w:val="auto"/>
                <w:w w:val="94"/>
              </w:rPr>
              <w:t>Smaller reporting company</w:t>
            </w:r>
          </w:p>
        </w:tc>
        <w:tc>
          <w:tcPr>
            <w:tcW w:w="2040" w:type="dxa"/>
            <w:vAlign w:val="bottom"/>
          </w:tcPr>
          <w:p>
            <w:pPr>
              <w:jc w:val="center"/>
              <w:ind w:right="188"/>
              <w:spacing w:after="0"/>
              <w:rPr>
                <w:sz w:val="20"/>
                <w:szCs w:val="20"/>
                <w:color w:val="auto"/>
              </w:rPr>
            </w:pPr>
            <w:r>
              <w:rPr>
                <w:rFonts w:ascii="Arial" w:cs="Arial" w:eastAsia="Arial" w:hAnsi="Arial"/>
                <w:sz w:val="14"/>
                <w:szCs w:val="14"/>
                <w:color w:val="auto"/>
                <w:w w:val="94"/>
              </w:rPr>
              <w:t>Emerging growth company</w:t>
            </w:r>
          </w:p>
        </w:tc>
      </w:tr>
      <w:tr>
        <w:trPr>
          <w:trHeight w:val="226"/>
        </w:trPr>
        <w:tc>
          <w:tcPr>
            <w:tcW w:w="232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20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22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258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99"/>
              </w:rPr>
              <w:t>☐</w:t>
            </w:r>
          </w:p>
        </w:tc>
        <w:tc>
          <w:tcPr>
            <w:tcW w:w="2040" w:type="dxa"/>
            <w:vAlign w:val="bottom"/>
          </w:tcPr>
          <w:p>
            <w:pPr>
              <w:jc w:val="center"/>
              <w:ind w:right="20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218"/>
        </w:trPr>
        <w:tc>
          <w:tcPr>
            <w:tcW w:w="2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ind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0"/>
          <w:szCs w:val="20"/>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the close of business on April 29, 2021, 306,452,886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52"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8940" w:type="dxa"/>
            <w:vAlign w:val="bottom"/>
            <w:vMerge w:val="restart"/>
          </w:tcPr>
          <w:p>
            <w:pPr>
              <w:ind w:left="324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Statements (unaudited)</w:t>
            </w: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8940" w:type="dxa"/>
            <w:vAlign w:val="bottom"/>
          </w:tcPr>
          <w:p>
            <w:pPr>
              <w:ind w:left="480"/>
              <w:spacing w:after="0" w:line="189" w:lineRule="exact"/>
              <w:rPr>
                <w:sz w:val="20"/>
                <w:szCs w:val="20"/>
                <w:color w:val="auto"/>
              </w:rPr>
            </w:pPr>
            <w:r>
              <w:rPr>
                <w:rFonts w:ascii="Arial" w:cs="Arial" w:eastAsia="Arial" w:hAnsi="Arial"/>
                <w:sz w:val="18"/>
                <w:szCs w:val="18"/>
                <w:color w:val="auto"/>
              </w:rPr>
              <w:t>Condensed Consolidated Balance Sheets — As of April 2, 2021 and July 3, 2020</w:t>
            </w:r>
          </w:p>
        </w:tc>
        <w:tc>
          <w:tcPr>
            <w:tcW w:w="820" w:type="dxa"/>
            <w:vAlign w:val="bottom"/>
            <w:gridSpan w:val="4"/>
          </w:tcPr>
          <w:p>
            <w:pPr>
              <w:jc w:val="center"/>
              <w:ind w:left="530"/>
              <w:spacing w:after="0" w:line="189" w:lineRule="exact"/>
              <w:rPr>
                <w:rFonts w:ascii="Arial" w:cs="Arial" w:eastAsia="Arial" w:hAnsi="Arial"/>
                <w:sz w:val="18"/>
                <w:szCs w:val="18"/>
                <w:color w:val="3635D6"/>
                <w:w w:val="79"/>
              </w:rPr>
            </w:pPr>
            <w:hyperlink w:anchor="page6">
              <w:r>
                <w:rPr>
                  <w:rFonts w:ascii="Arial" w:cs="Arial" w:eastAsia="Arial" w:hAnsi="Arial"/>
                  <w:sz w:val="18"/>
                  <w:szCs w:val="18"/>
                  <w:color w:val="3635D6"/>
                  <w:w w:val="79"/>
                </w:rPr>
                <w:t>6</w:t>
              </w:r>
            </w:hyperlink>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shd w:val="clear" w:color="auto" w:fill="CCEEFF"/>
          </w:tcPr>
          <w:p>
            <w:pPr>
              <w:spacing w:after="0"/>
              <w:rPr>
                <w:sz w:val="15"/>
                <w:szCs w:val="15"/>
                <w:color w:val="auto"/>
              </w:rPr>
            </w:pPr>
          </w:p>
        </w:tc>
        <w:tc>
          <w:tcPr>
            <w:tcW w:w="89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5"/>
              </w:rPr>
              <w:t>Condensed Consolidated Statements of Operations — Three and Nine Months Ended April 2, 2021 and April 3,</w:t>
            </w:r>
          </w:p>
        </w:tc>
        <w:tc>
          <w:tcPr>
            <w:tcW w:w="820" w:type="dxa"/>
            <w:vAlign w:val="bottom"/>
            <w:gridSpan w:val="4"/>
            <w:vMerge w:val="restart"/>
            <w:shd w:val="clear" w:color="auto" w:fill="CCEEFF"/>
          </w:tcPr>
          <w:p>
            <w:pPr>
              <w:jc w:val="center"/>
              <w:ind w:left="530"/>
              <w:spacing w:after="0"/>
              <w:rPr>
                <w:rFonts w:ascii="Arial" w:cs="Arial" w:eastAsia="Arial" w:hAnsi="Arial"/>
                <w:sz w:val="18"/>
                <w:szCs w:val="18"/>
                <w:color w:val="3635D6"/>
                <w:w w:val="79"/>
              </w:rPr>
            </w:pPr>
            <w:hyperlink w:anchor="page6">
              <w:r>
                <w:rPr>
                  <w:rFonts w:ascii="Arial" w:cs="Arial" w:eastAsia="Arial" w:hAnsi="Arial"/>
                  <w:sz w:val="18"/>
                  <w:szCs w:val="18"/>
                  <w:color w:val="3635D6"/>
                  <w:w w:val="79"/>
                </w:rPr>
                <w:t>7</w:t>
              </w:r>
            </w:hyperlink>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89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2020</w:t>
            </w:r>
          </w:p>
        </w:tc>
        <w:tc>
          <w:tcPr>
            <w:tcW w:w="820" w:type="dxa"/>
            <w:vAlign w:val="bottom"/>
            <w:gridSpan w:val="4"/>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rPr>
                <w:sz w:val="15"/>
                <w:szCs w:val="15"/>
                <w:color w:val="auto"/>
              </w:rPr>
            </w:pPr>
          </w:p>
        </w:tc>
        <w:tc>
          <w:tcPr>
            <w:tcW w:w="8940" w:type="dxa"/>
            <w:vAlign w:val="bottom"/>
          </w:tcPr>
          <w:p>
            <w:pPr>
              <w:ind w:left="480"/>
              <w:spacing w:after="0" w:line="176" w:lineRule="exact"/>
              <w:rPr>
                <w:sz w:val="20"/>
                <w:szCs w:val="20"/>
                <w:color w:val="auto"/>
              </w:rPr>
            </w:pPr>
            <w:r>
              <w:rPr>
                <w:rFonts w:ascii="Arial" w:cs="Arial" w:eastAsia="Arial" w:hAnsi="Arial"/>
                <w:sz w:val="18"/>
                <w:szCs w:val="18"/>
                <w:color w:val="auto"/>
                <w:w w:val="93"/>
              </w:rPr>
              <w:t>Condensed Consolidated Statements of Comprehensive Income (Loss) — Three and Nine Months Ended April 2,</w:t>
            </w:r>
          </w:p>
        </w:tc>
        <w:tc>
          <w:tcPr>
            <w:tcW w:w="820" w:type="dxa"/>
            <w:vAlign w:val="bottom"/>
            <w:gridSpan w:val="4"/>
            <w:vMerge w:val="restart"/>
          </w:tcPr>
          <w:p>
            <w:pPr>
              <w:jc w:val="center"/>
              <w:ind w:left="530"/>
              <w:spacing w:after="0"/>
              <w:rPr>
                <w:rFonts w:ascii="Arial" w:cs="Arial" w:eastAsia="Arial" w:hAnsi="Arial"/>
                <w:sz w:val="18"/>
                <w:szCs w:val="18"/>
                <w:color w:val="3635D6"/>
                <w:w w:val="79"/>
              </w:rPr>
            </w:pPr>
            <w:hyperlink w:anchor="page7">
              <w:r>
                <w:rPr>
                  <w:rFonts w:ascii="Arial" w:cs="Arial" w:eastAsia="Arial" w:hAnsi="Arial"/>
                  <w:sz w:val="18"/>
                  <w:szCs w:val="18"/>
                  <w:color w:val="3635D6"/>
                  <w:w w:val="79"/>
                </w:rPr>
                <w:t>8</w:t>
              </w:r>
            </w:hyperlink>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8940" w:type="dxa"/>
            <w:vAlign w:val="bottom"/>
          </w:tcPr>
          <w:p>
            <w:pPr>
              <w:ind w:left="480"/>
              <w:spacing w:after="0" w:line="189" w:lineRule="exact"/>
              <w:rPr>
                <w:sz w:val="20"/>
                <w:szCs w:val="20"/>
                <w:color w:val="auto"/>
              </w:rPr>
            </w:pPr>
            <w:r>
              <w:rPr>
                <w:rFonts w:ascii="Arial" w:cs="Arial" w:eastAsia="Arial" w:hAnsi="Arial"/>
                <w:sz w:val="18"/>
                <w:szCs w:val="18"/>
                <w:color w:val="auto"/>
              </w:rPr>
              <w:t>2021 and April 3, 2020</w:t>
            </w:r>
          </w:p>
        </w:tc>
        <w:tc>
          <w:tcPr>
            <w:tcW w:w="82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89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9"/>
              </w:rPr>
              <w:t>Condensed Consolidated Statements of Cash Flows — Nine Months Ended April 2, 2021 and April 3, 2020</w:t>
            </w:r>
          </w:p>
        </w:tc>
        <w:tc>
          <w:tcPr>
            <w:tcW w:w="820" w:type="dxa"/>
            <w:vAlign w:val="bottom"/>
            <w:gridSpan w:val="4"/>
            <w:shd w:val="clear" w:color="auto" w:fill="CCEEFF"/>
          </w:tcPr>
          <w:p>
            <w:pPr>
              <w:jc w:val="center"/>
              <w:ind w:left="530"/>
              <w:spacing w:after="0" w:line="189" w:lineRule="exact"/>
              <w:rPr>
                <w:rFonts w:ascii="Arial" w:cs="Arial" w:eastAsia="Arial" w:hAnsi="Arial"/>
                <w:sz w:val="18"/>
                <w:szCs w:val="18"/>
                <w:color w:val="3635D6"/>
                <w:w w:val="79"/>
              </w:rPr>
            </w:pPr>
            <w:hyperlink w:anchor="page8">
              <w:r>
                <w:rPr>
                  <w:rFonts w:ascii="Arial" w:cs="Arial" w:eastAsia="Arial" w:hAnsi="Arial"/>
                  <w:sz w:val="18"/>
                  <w:szCs w:val="18"/>
                  <w:color w:val="3635D6"/>
                  <w:w w:val="79"/>
                </w:rPr>
                <w:t>9</w:t>
              </w:r>
            </w:hyperlink>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8940" w:type="dxa"/>
            <w:vAlign w:val="bottom"/>
          </w:tcPr>
          <w:p>
            <w:pPr>
              <w:ind w:left="480"/>
              <w:spacing w:after="0" w:line="189" w:lineRule="exact"/>
              <w:rPr>
                <w:sz w:val="20"/>
                <w:szCs w:val="20"/>
                <w:color w:val="auto"/>
              </w:rPr>
            </w:pPr>
            <w:r>
              <w:rPr>
                <w:rFonts w:ascii="Arial" w:cs="Arial" w:eastAsia="Arial" w:hAnsi="Arial"/>
                <w:sz w:val="18"/>
                <w:szCs w:val="18"/>
                <w:color w:val="auto"/>
                <w:w w:val="91"/>
              </w:rPr>
              <w:t>Condensed Consolidated Statements of Shareholders' Equity — Nine Months Ended April 2, 2021 and April 3, 2020</w:t>
            </w:r>
          </w:p>
        </w:tc>
        <w:tc>
          <w:tcPr>
            <w:tcW w:w="1440" w:type="dxa"/>
            <w:vAlign w:val="bottom"/>
            <w:gridSpan w:val="5"/>
          </w:tcPr>
          <w:p>
            <w:pPr>
              <w:jc w:val="center"/>
              <w:spacing w:after="0" w:line="189" w:lineRule="exact"/>
              <w:rPr>
                <w:rFonts w:ascii="Arial" w:cs="Arial" w:eastAsia="Arial" w:hAnsi="Arial"/>
                <w:sz w:val="18"/>
                <w:szCs w:val="18"/>
                <w:color w:val="3635D6"/>
                <w:w w:val="89"/>
              </w:rPr>
            </w:pPr>
            <w:hyperlink w:anchor="page9">
              <w:r>
                <w:rPr>
                  <w:rFonts w:ascii="Arial" w:cs="Arial" w:eastAsia="Arial" w:hAnsi="Arial"/>
                  <w:sz w:val="18"/>
                  <w:szCs w:val="18"/>
                  <w:color w:val="3635D6"/>
                  <w:w w:val="89"/>
                </w:rPr>
                <w:t>10</w:t>
              </w:r>
            </w:hyperlink>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6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89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1440" w:type="dxa"/>
            <w:vAlign w:val="bottom"/>
            <w:gridSpan w:val="5"/>
            <w:shd w:val="clear" w:color="auto" w:fill="CCEEFF"/>
          </w:tcPr>
          <w:p>
            <w:pPr>
              <w:jc w:val="center"/>
              <w:spacing w:after="0" w:line="189" w:lineRule="exact"/>
              <w:rPr>
                <w:rFonts w:ascii="Arial" w:cs="Arial" w:eastAsia="Arial" w:hAnsi="Arial"/>
                <w:sz w:val="18"/>
                <w:szCs w:val="18"/>
                <w:color w:val="3635D6"/>
                <w:w w:val="89"/>
              </w:rPr>
            </w:pPr>
            <w:hyperlink w:anchor="page11">
              <w:r>
                <w:rPr>
                  <w:rFonts w:ascii="Arial" w:cs="Arial" w:eastAsia="Arial" w:hAnsi="Arial"/>
                  <w:sz w:val="18"/>
                  <w:szCs w:val="18"/>
                  <w:color w:val="3635D6"/>
                  <w:w w:val="89"/>
                </w:rPr>
                <w:t>12</w:t>
              </w:r>
            </w:hyperlink>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60" w:type="dxa"/>
            <w:vAlign w:val="bottom"/>
            <w:tcBorders>
              <w:top w:val="single" w:sz="8" w:color="3635D6"/>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940" w:type="dxa"/>
            <w:vAlign w:val="bottom"/>
          </w:tcPr>
          <w:p>
            <w:pPr>
              <w:ind w:left="16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40" w:type="dxa"/>
            <w:vAlign w:val="bottom"/>
            <w:gridSpan w:val="5"/>
          </w:tcPr>
          <w:p>
            <w:pPr>
              <w:jc w:val="center"/>
              <w:spacing w:after="0" w:line="189" w:lineRule="exact"/>
              <w:rPr>
                <w:rFonts w:ascii="Arial" w:cs="Arial" w:eastAsia="Arial" w:hAnsi="Arial"/>
                <w:sz w:val="18"/>
                <w:szCs w:val="18"/>
                <w:color w:val="3635D6"/>
                <w:w w:val="89"/>
              </w:rPr>
            </w:pPr>
            <w:hyperlink w:anchor="page35">
              <w:r>
                <w:rPr>
                  <w:rFonts w:ascii="Arial" w:cs="Arial" w:eastAsia="Arial" w:hAnsi="Arial"/>
                  <w:sz w:val="18"/>
                  <w:szCs w:val="18"/>
                  <w:color w:val="3635D6"/>
                  <w:w w:val="89"/>
                </w:rPr>
                <w:t>36</w:t>
              </w:r>
            </w:hyperlink>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6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894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440" w:type="dxa"/>
            <w:vAlign w:val="bottom"/>
            <w:gridSpan w:val="5"/>
            <w:shd w:val="clear" w:color="auto" w:fill="CCEEFF"/>
          </w:tcPr>
          <w:p>
            <w:pPr>
              <w:jc w:val="center"/>
              <w:spacing w:after="0" w:line="189" w:lineRule="exact"/>
              <w:rPr>
                <w:rFonts w:ascii="Arial" w:cs="Arial" w:eastAsia="Arial" w:hAnsi="Arial"/>
                <w:sz w:val="18"/>
                <w:szCs w:val="18"/>
                <w:color w:val="3635D6"/>
                <w:w w:val="89"/>
              </w:rPr>
            </w:pPr>
            <w:hyperlink w:anchor="page48">
              <w:r>
                <w:rPr>
                  <w:rFonts w:ascii="Arial" w:cs="Arial" w:eastAsia="Arial" w:hAnsi="Arial"/>
                  <w:sz w:val="18"/>
                  <w:szCs w:val="18"/>
                  <w:color w:val="3635D6"/>
                  <w:w w:val="89"/>
                </w:rPr>
                <w:t>49</w:t>
              </w:r>
            </w:hyperlink>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60" w:type="dxa"/>
            <w:vAlign w:val="bottom"/>
            <w:tcBorders>
              <w:top w:val="single" w:sz="8" w:color="3635D6"/>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940" w:type="dxa"/>
            <w:vAlign w:val="bottom"/>
          </w:tcPr>
          <w:p>
            <w:pPr>
              <w:ind w:left="160"/>
              <w:spacing w:after="0" w:line="189" w:lineRule="exact"/>
              <w:rPr>
                <w:sz w:val="20"/>
                <w:szCs w:val="20"/>
                <w:color w:val="auto"/>
              </w:rPr>
            </w:pPr>
            <w:r>
              <w:rPr>
                <w:rFonts w:ascii="Arial" w:cs="Arial" w:eastAsia="Arial" w:hAnsi="Arial"/>
                <w:sz w:val="18"/>
                <w:szCs w:val="18"/>
                <w:color w:val="auto"/>
              </w:rPr>
              <w:t>Controls and Procedures</w:t>
            </w:r>
          </w:p>
        </w:tc>
        <w:tc>
          <w:tcPr>
            <w:tcW w:w="1440" w:type="dxa"/>
            <w:vAlign w:val="bottom"/>
            <w:gridSpan w:val="5"/>
          </w:tcPr>
          <w:p>
            <w:pPr>
              <w:jc w:val="center"/>
              <w:spacing w:after="0" w:line="189" w:lineRule="exact"/>
              <w:rPr>
                <w:rFonts w:ascii="Arial" w:cs="Arial" w:eastAsia="Arial" w:hAnsi="Arial"/>
                <w:sz w:val="18"/>
                <w:szCs w:val="18"/>
                <w:color w:val="3635D6"/>
                <w:w w:val="89"/>
              </w:rPr>
            </w:pPr>
            <w:hyperlink w:anchor="page49">
              <w:r>
                <w:rPr>
                  <w:rFonts w:ascii="Arial" w:cs="Arial" w:eastAsia="Arial" w:hAnsi="Arial"/>
                  <w:sz w:val="18"/>
                  <w:szCs w:val="18"/>
                  <w:color w:val="3635D6"/>
                  <w:w w:val="89"/>
                </w:rPr>
                <w:t>49</w:t>
              </w:r>
            </w:hyperlink>
          </w:p>
        </w:tc>
        <w:tc>
          <w:tcPr>
            <w:tcW w:w="0" w:type="dxa"/>
            <w:vAlign w:val="bottom"/>
          </w:tcPr>
          <w:p>
            <w:pPr>
              <w:spacing w:after="0"/>
              <w:rPr>
                <w:sz w:val="1"/>
                <w:szCs w:val="1"/>
                <w:color w:val="auto"/>
              </w:rPr>
            </w:pPr>
          </w:p>
        </w:tc>
      </w:tr>
      <w:tr>
        <w:trPr>
          <w:trHeight w:val="520"/>
        </w:trPr>
        <w:tc>
          <w:tcPr>
            <w:tcW w:w="860" w:type="dxa"/>
            <w:vAlign w:val="bottom"/>
          </w:tcPr>
          <w:p>
            <w:pPr>
              <w:spacing w:after="0"/>
              <w:rPr>
                <w:sz w:val="24"/>
                <w:szCs w:val="24"/>
                <w:color w:val="auto"/>
              </w:rPr>
            </w:pPr>
          </w:p>
        </w:tc>
        <w:tc>
          <w:tcPr>
            <w:tcW w:w="8940" w:type="dxa"/>
            <w:vAlign w:val="bottom"/>
          </w:tcPr>
          <w:p>
            <w:pPr>
              <w:ind w:left="3380"/>
              <w:spacing w:after="0"/>
              <w:rPr>
                <w:sz w:val="20"/>
                <w:szCs w:val="20"/>
                <w:color w:val="auto"/>
              </w:rPr>
            </w:pPr>
            <w:r>
              <w:rPr>
                <w:rFonts w:ascii="Arial" w:cs="Arial" w:eastAsia="Arial" w:hAnsi="Arial"/>
                <w:sz w:val="18"/>
                <w:szCs w:val="18"/>
                <w:b w:val="1"/>
                <w:bCs w:val="1"/>
                <w:color w:val="auto"/>
              </w:rPr>
              <w:t>PART II. OTHER INFORMATION</w:t>
            </w:r>
          </w:p>
        </w:tc>
        <w:tc>
          <w:tcPr>
            <w:tcW w:w="640" w:type="dxa"/>
            <w:vAlign w:val="bottom"/>
          </w:tcPr>
          <w:p>
            <w:pPr>
              <w:spacing w:after="0"/>
              <w:rPr>
                <w:sz w:val="24"/>
                <w:szCs w:val="24"/>
                <w:color w:val="auto"/>
              </w:rPr>
            </w:pPr>
          </w:p>
        </w:tc>
        <w:tc>
          <w:tcPr>
            <w:tcW w:w="40" w:type="dxa"/>
            <w:vAlign w:val="bottom"/>
            <w:tcBorders>
              <w:top w:val="single" w:sz="8" w:color="3635D6"/>
            </w:tcBorders>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60" w:type="dxa"/>
            <w:vAlign w:val="bottom"/>
            <w:tcBorders>
              <w:top w:val="single" w:sz="8" w:color="3635D6"/>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894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Legal Proceedings</w:t>
            </w:r>
          </w:p>
        </w:tc>
        <w:tc>
          <w:tcPr>
            <w:tcW w:w="1440" w:type="dxa"/>
            <w:vAlign w:val="bottom"/>
            <w:gridSpan w:val="5"/>
            <w:shd w:val="clear" w:color="auto" w:fill="CCEEFF"/>
          </w:tcPr>
          <w:p>
            <w:pPr>
              <w:jc w:val="center"/>
              <w:spacing w:after="0" w:line="189" w:lineRule="exact"/>
              <w:rPr>
                <w:rFonts w:ascii="Arial" w:cs="Arial" w:eastAsia="Arial" w:hAnsi="Arial"/>
                <w:sz w:val="18"/>
                <w:szCs w:val="18"/>
                <w:color w:val="3635D6"/>
                <w:w w:val="89"/>
              </w:rPr>
            </w:pPr>
            <w:hyperlink w:anchor="page50">
              <w:r>
                <w:rPr>
                  <w:rFonts w:ascii="Arial" w:cs="Arial" w:eastAsia="Arial" w:hAnsi="Arial"/>
                  <w:sz w:val="18"/>
                  <w:szCs w:val="18"/>
                  <w:color w:val="3635D6"/>
                  <w:w w:val="89"/>
                </w:rPr>
                <w:t>50</w:t>
              </w:r>
            </w:hyperlink>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60" w:type="dxa"/>
            <w:vAlign w:val="bottom"/>
            <w:tcBorders>
              <w:top w:val="single" w:sz="8" w:color="3635D6"/>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160"/>
              <w:spacing w:after="0" w:line="189" w:lineRule="exact"/>
              <w:rPr>
                <w:sz w:val="20"/>
                <w:szCs w:val="20"/>
                <w:color w:val="auto"/>
              </w:rPr>
            </w:pPr>
            <w:r>
              <w:rPr>
                <w:rFonts w:ascii="Arial" w:cs="Arial" w:eastAsia="Arial" w:hAnsi="Arial"/>
                <w:sz w:val="18"/>
                <w:szCs w:val="18"/>
                <w:color w:val="auto"/>
              </w:rPr>
              <w:t>Risk Factors</w:t>
            </w:r>
          </w:p>
        </w:tc>
        <w:tc>
          <w:tcPr>
            <w:tcW w:w="1440" w:type="dxa"/>
            <w:vAlign w:val="bottom"/>
            <w:gridSpan w:val="5"/>
          </w:tcPr>
          <w:p>
            <w:pPr>
              <w:jc w:val="center"/>
              <w:spacing w:after="0" w:line="189" w:lineRule="exact"/>
              <w:rPr>
                <w:rFonts w:ascii="Arial" w:cs="Arial" w:eastAsia="Arial" w:hAnsi="Arial"/>
                <w:sz w:val="18"/>
                <w:szCs w:val="18"/>
                <w:color w:val="3635D6"/>
                <w:w w:val="89"/>
              </w:rPr>
            </w:pPr>
            <w:hyperlink w:anchor="page50">
              <w:r>
                <w:rPr>
                  <w:rFonts w:ascii="Arial" w:cs="Arial" w:eastAsia="Arial" w:hAnsi="Arial"/>
                  <w:sz w:val="18"/>
                  <w:szCs w:val="18"/>
                  <w:color w:val="3635D6"/>
                  <w:w w:val="89"/>
                </w:rPr>
                <w:t>50</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60" w:type="dxa"/>
            <w:vAlign w:val="bottom"/>
            <w:tcBorders>
              <w:top w:val="single" w:sz="8" w:color="3635D6"/>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Exhibits</w:t>
            </w:r>
          </w:p>
        </w:tc>
        <w:tc>
          <w:tcPr>
            <w:tcW w:w="1440" w:type="dxa"/>
            <w:vAlign w:val="bottom"/>
            <w:gridSpan w:val="5"/>
            <w:shd w:val="clear" w:color="auto" w:fill="CCEEFF"/>
          </w:tcPr>
          <w:p>
            <w:pPr>
              <w:jc w:val="center"/>
              <w:spacing w:after="0" w:line="189" w:lineRule="exact"/>
              <w:rPr>
                <w:rFonts w:ascii="Arial" w:cs="Arial" w:eastAsia="Arial" w:hAnsi="Arial"/>
                <w:sz w:val="18"/>
                <w:szCs w:val="18"/>
                <w:color w:val="3635D6"/>
                <w:w w:val="89"/>
              </w:rPr>
            </w:pPr>
            <w:hyperlink w:anchor="page50">
              <w:r>
                <w:rPr>
                  <w:rFonts w:ascii="Arial" w:cs="Arial" w:eastAsia="Arial" w:hAnsi="Arial"/>
                  <w:sz w:val="18"/>
                  <w:szCs w:val="18"/>
                  <w:color w:val="3635D6"/>
                  <w:w w:val="89"/>
                </w:rPr>
                <w:t>51</w:t>
              </w:r>
            </w:hyperlink>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635D6"/>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60" w:type="dxa"/>
            <w:vAlign w:val="bottom"/>
            <w:tcBorders>
              <w:top w:val="single" w:sz="8" w:color="3635D6"/>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9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FORWARD-LOOKING STATEMENTS</w:t>
      </w:r>
    </w:p>
    <w:p>
      <w:pPr>
        <w:spacing w:after="0" w:line="25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2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effects of the COVID-19 pandemic and measures intended to reduce its spread;</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demand conditions, the ramp of our new products and the impact on our revenues;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Flash Ventures joint venture with Kioxia Corporation, the flash industry and our flash wafer output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reinvestment in the business and ongoing deleveraging efforts;</w:t>
      </w:r>
    </w:p>
    <w:p>
      <w:pPr>
        <w:spacing w:after="0" w:line="9" w:lineRule="exact"/>
        <w:rPr>
          <w:rFonts w:ascii="Arial" w:cs="Arial" w:eastAsia="Arial" w:hAnsi="Arial"/>
          <w:sz w:val="18"/>
          <w:szCs w:val="18"/>
          <w:i w:val="1"/>
          <w:iCs w:val="1"/>
          <w:color w:val="auto"/>
        </w:rPr>
      </w:pPr>
    </w:p>
    <w:p>
      <w:pPr>
        <w:ind w:left="660" w:right="1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right="420" w:hanging="328"/>
        <w:spacing w:after="0" w:line="260"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debt and capital expenditure needs as well as any future dividend plans.</w:t>
      </w:r>
    </w:p>
    <w:p>
      <w:pPr>
        <w:spacing w:after="0" w:line="212" w:lineRule="exact"/>
        <w:rPr>
          <w:sz w:val="20"/>
          <w:szCs w:val="20"/>
          <w:color w:val="auto"/>
        </w:rPr>
      </w:pPr>
    </w:p>
    <w:p>
      <w:pPr>
        <w:ind w:right="220" w:firstLine="324"/>
        <w:spacing w:after="0" w:line="334" w:lineRule="auto"/>
        <w:rPr>
          <w:sz w:val="20"/>
          <w:szCs w:val="20"/>
          <w:color w:val="auto"/>
        </w:rPr>
      </w:pPr>
      <w:r>
        <w:rPr>
          <w:rFonts w:ascii="Arial" w:cs="Arial" w:eastAsia="Arial" w:hAnsi="Arial"/>
          <w:sz w:val="16"/>
          <w:szCs w:val="16"/>
          <w:i w:val="1"/>
          <w:iCs w:val="1"/>
          <w:color w:val="auto"/>
        </w:rPr>
        <w:t>These forward-looking statements are based on information available to the Company as of the date of this Quarterly Report on Form 10-Q and are based on management’s current views and assumptions. They are conditioned upon and involve a number of risks, uncertainties and other factors that</w:t>
      </w:r>
    </w:p>
    <w:p>
      <w:pPr>
        <w:spacing w:after="0" w:line="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could cause actual results or performance to differ materially from those expressed in the forward-looking statements. These risks and uncertainties include, but are not limited to:</w:t>
      </w:r>
    </w:p>
    <w:p>
      <w:pPr>
        <w:spacing w:after="0" w:line="21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future responses to and effects of the COVID-19 pandemic;</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volatility in global economic conditions;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impact of business and market conditions;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impact of competitive products and pricing;</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our development and introduction of products based on new technologies and expansion into new data storage markets;</w:t>
      </w:r>
    </w:p>
    <w:p>
      <w:pPr>
        <w:spacing w:after="0" w:line="1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17"/>
          <w:szCs w:val="17"/>
          <w:i w:val="1"/>
          <w:iCs w:val="1"/>
          <w:color w:val="auto"/>
        </w:rPr>
        <w:t>risks associated with cost saving initiatives, restructurings, acquisitions, divestitures, mergers, joint ventures and our strategic relationships;</w:t>
      </w:r>
    </w:p>
    <w:p>
      <w:pPr>
        <w:spacing w:after="0" w:line="10" w:lineRule="exact"/>
        <w:rPr>
          <w:rFonts w:ascii="Arial" w:cs="Arial" w:eastAsia="Arial" w:hAnsi="Arial"/>
          <w:sz w:val="21"/>
          <w:szCs w:val="21"/>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difficulties or delays in manufacturing or other supply chain disruptions;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hiring and retention of key employees;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our substantial level of debt and other financial obligations;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changes to our relationships with key customers;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disruptions in operations from cyberattacks or other system security risks;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actions by competitors;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risks associated with compliance with changing legal and regulatory requirements and the outcome of legal proceedings; and</w:t>
      </w:r>
    </w:p>
    <w:p>
      <w:pPr>
        <w:spacing w:after="0" w:line="2" w:lineRule="exact"/>
        <w:rPr>
          <w:rFonts w:ascii="Arial" w:cs="Arial" w:eastAsia="Arial" w:hAnsi="Arial"/>
          <w:sz w:val="22"/>
          <w:szCs w:val="22"/>
          <w:color w:val="auto"/>
        </w:rPr>
      </w:pPr>
    </w:p>
    <w:p>
      <w:pPr>
        <w:ind w:left="660" w:hanging="328"/>
        <w:spacing w:after="0" w:line="258"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risks and uncertainties disclosed in Part I, Item 1A of our Annual Report on Form 10-K for the fiscal year ended July 3, 2020 (the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2020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2020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events or circumstances after the date of this document or to reflect the occurrence of unanticipated events, except as required by law.</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4"/>
                <w:szCs w:val="14"/>
                <w:color w:val="auto"/>
              </w:rPr>
            </w:pPr>
          </w:p>
        </w:tc>
        <w:tc>
          <w:tcPr>
            <w:tcW w:w="1120" w:type="dxa"/>
            <w:vAlign w:val="bottom"/>
          </w:tcPr>
          <w:p>
            <w:pPr>
              <w:jc w:val="right"/>
              <w:ind w:right="440"/>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9,289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06"/>
        </w:trPr>
        <w:tc>
          <w:tcPr>
            <w:tcW w:w="826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16,111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(Notes 9, 10, 12 and 15)</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60" w:type="dxa"/>
            <w:vAlign w:val="bottom"/>
          </w:tcPr>
          <w:p>
            <w:pPr>
              <w:ind w:left="140"/>
              <w:spacing w:after="0" w:line="166" w:lineRule="exact"/>
              <w:rPr>
                <w:sz w:val="20"/>
                <w:szCs w:val="20"/>
                <w:color w:val="auto"/>
              </w:rPr>
            </w:pPr>
            <w:r>
              <w:rPr>
                <w:rFonts w:ascii="Arial" w:cs="Arial" w:eastAsia="Arial" w:hAnsi="Arial"/>
                <w:sz w:val="16"/>
                <w:szCs w:val="16"/>
                <w:color w:val="auto"/>
                <w:w w:val="91"/>
              </w:rPr>
              <w:t>Common stock, $0.01 par value; authorized — 450 shares; issued — 312 shares; outstanding — 306 shares and 302 shares,</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 common shares at cost; 6 shares and 10 shares, respectively</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207"/>
        </w:trPr>
        <w:tc>
          <w:tcPr>
            <w:tcW w:w="826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25,409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25,662</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49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April 2,</w:t>
            </w:r>
          </w:p>
        </w:tc>
        <w:tc>
          <w:tcPr>
            <w:tcW w:w="280" w:type="dxa"/>
            <w:vAlign w:val="bottom"/>
          </w:tcPr>
          <w:p>
            <w:pPr>
              <w:spacing w:after="0"/>
              <w:rPr>
                <w:sz w:val="11"/>
                <w:szCs w:val="11"/>
                <w:color w:val="auto"/>
              </w:rPr>
            </w:pPr>
          </w:p>
        </w:tc>
        <w:tc>
          <w:tcPr>
            <w:tcW w:w="1140" w:type="dxa"/>
            <w:vAlign w:val="bottom"/>
          </w:tcPr>
          <w:p>
            <w:pPr>
              <w:jc w:val="right"/>
              <w:ind w:right="380"/>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49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1"/>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4,137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4,175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12,449</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3,046</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3,170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9,751</w:t>
            </w:r>
          </w:p>
        </w:tc>
      </w:tr>
      <w:tr>
        <w:trPr>
          <w:trHeight w:val="213"/>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1,091</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193"/>
        </w:trPr>
        <w:tc>
          <w:tcPr>
            <w:tcW w:w="49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19"/>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7"/>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2,624</w:t>
            </w: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9"/>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23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Basic</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56"/>
        </w:trPr>
        <w:tc>
          <w:tcPr>
            <w:tcW w:w="4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Basic</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9"/>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56"/>
        </w:trPr>
        <w:tc>
          <w:tcPr>
            <w:tcW w:w="4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per share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bl>
    <w:p>
      <w:pPr>
        <w:spacing w:after="0" w:line="33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24"/>
              <w:spacing w:after="0" w:line="135" w:lineRule="exact"/>
              <w:rPr>
                <w:sz w:val="20"/>
                <w:szCs w:val="20"/>
                <w:color w:val="auto"/>
              </w:rPr>
            </w:pPr>
            <w:r>
              <w:rPr>
                <w:rFonts w:ascii="Arial" w:cs="Arial" w:eastAsia="Arial" w:hAnsi="Arial"/>
                <w:sz w:val="14"/>
                <w:szCs w:val="14"/>
                <w:b w:val="1"/>
                <w:bCs w:val="1"/>
                <w:color w:val="auto"/>
              </w:rPr>
              <w:t>April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1"/>
                <w:szCs w:val="11"/>
                <w:color w:val="auto"/>
              </w:rPr>
            </w:pPr>
          </w:p>
        </w:tc>
        <w:tc>
          <w:tcPr>
            <w:tcW w:w="1140" w:type="dxa"/>
            <w:vAlign w:val="bottom"/>
          </w:tcPr>
          <w:p>
            <w:pPr>
              <w:jc w:val="right"/>
              <w:ind w:right="401"/>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Actuarial pension gain</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Net unrealized loss on derivative contracts and available-for-sale securities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7"/>
        </w:trPr>
        <w:tc>
          <w:tcPr>
            <w:tcW w:w="5220" w:type="dxa"/>
            <w:vAlign w:val="bottom"/>
          </w:tcPr>
          <w:p>
            <w:pPr>
              <w:ind w:left="220"/>
              <w:spacing w:after="0"/>
              <w:rPr>
                <w:sz w:val="20"/>
                <w:szCs w:val="20"/>
                <w:color w:val="auto"/>
              </w:rPr>
            </w:pPr>
            <w:r>
              <w:rPr>
                <w:rFonts w:ascii="Arial" w:cs="Arial" w:eastAsia="Arial" w:hAnsi="Arial"/>
                <w:sz w:val="16"/>
                <w:szCs w:val="16"/>
                <w:color w:val="auto"/>
              </w:rPr>
              <w:t>Total other comprehensive loss, before tax</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6"/>
              </w:rPr>
              <w:t>(177)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Income tax benefit related to items of other comprehensive loss, before tax</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(160)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3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disposal of assets</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Amortization of debt discounts</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8260" w:type="dxa"/>
            <w:vAlign w:val="bottom"/>
          </w:tcPr>
          <w:p>
            <w:pPr>
              <w:ind w:left="140"/>
              <w:spacing w:after="0"/>
              <w:rPr>
                <w:sz w:val="20"/>
                <w:szCs w:val="20"/>
                <w:color w:val="auto"/>
              </w:rPr>
            </w:pPr>
            <w:r>
              <w:rPr>
                <w:rFonts w:ascii="Arial" w:cs="Arial" w:eastAsia="Arial" w:hAnsi="Arial"/>
                <w:sz w:val="14"/>
                <w:szCs w:val="14"/>
                <w:color w:val="auto"/>
              </w:rPr>
              <w:t>Changes in:</w:t>
            </w: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86"/>
        </w:trPr>
        <w:tc>
          <w:tcPr>
            <w:tcW w:w="826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6"/>
        </w:trPr>
        <w:tc>
          <w:tcPr>
            <w:tcW w:w="826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6"/>
        </w:trPr>
        <w:tc>
          <w:tcPr>
            <w:tcW w:w="826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10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Acquisitions, net of cash acquired</w:t>
            </w:r>
          </w:p>
        </w:tc>
        <w:tc>
          <w:tcPr>
            <w:tcW w:w="10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Strategic investments and other, net</w:t>
            </w:r>
          </w:p>
        </w:tc>
        <w:tc>
          <w:tcPr>
            <w:tcW w:w="10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(used in) investing activities</w:t>
            </w: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Dividends paid to shareholders</w:t>
            </w:r>
          </w:p>
        </w:tc>
        <w:tc>
          <w:tcPr>
            <w:tcW w:w="100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8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10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(1,354)</w:t>
            </w: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0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8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3,455</w:t>
            </w:r>
          </w:p>
        </w:tc>
        <w:tc>
          <w:tcPr>
            <w:tcW w:w="0" w:type="dxa"/>
            <w:vAlign w:val="bottom"/>
          </w:tcPr>
          <w:p>
            <w:pPr>
              <w:spacing w:after="0"/>
              <w:rPr>
                <w:sz w:val="1"/>
                <w:szCs w:val="1"/>
                <w:color w:val="auto"/>
              </w:rPr>
            </w:pPr>
          </w:p>
        </w:tc>
      </w:tr>
      <w:tr>
        <w:trPr>
          <w:trHeight w:val="21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26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6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76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7"/>
        </w:trPr>
        <w:tc>
          <w:tcPr>
            <w:tcW w:w="2700" w:type="dxa"/>
            <w:vAlign w:val="bottom"/>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94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8"/>
                <w:szCs w:val="8"/>
                <w:color w:val="auto"/>
              </w:rPr>
            </w:pPr>
          </w:p>
        </w:tc>
        <w:tc>
          <w:tcPr>
            <w:tcW w:w="1100" w:type="dxa"/>
            <w:vAlign w:val="bottom"/>
          </w:tcPr>
          <w:p>
            <w:pPr>
              <w:jc w:val="center"/>
              <w:ind w:right="49"/>
              <w:spacing w:after="0" w:line="102"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201"/>
        </w:trPr>
        <w:tc>
          <w:tcPr>
            <w:tcW w:w="27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00" w:type="dxa"/>
            <w:vAlign w:val="bottom"/>
          </w:tcPr>
          <w:p>
            <w:pPr>
              <w:jc w:val="center"/>
              <w:ind w:right="4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3, 2020</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Adoption of new accounting standards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w w:val="95"/>
              </w:rPr>
              <w:t>Net unrealized gain on derivative contracts</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October 2, 2020</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9,576</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6"/>
              </w:rPr>
              <w:t>Net unrealized loss on derivative contracts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9"/>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January 1, 2021</w:t>
            </w: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3,546</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6,720</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9,829</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Arial" w:cs="Arial" w:eastAsia="Arial" w:hAnsi="Arial"/>
                <w:sz w:val="14"/>
                <w:szCs w:val="14"/>
                <w:color w:val="auto"/>
                <w:w w:val="96"/>
              </w:rPr>
              <w:t>Net unrealized loss on derivative contracts</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April 2, 2021</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230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176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ind w:left="40"/>
              <w:spacing w:after="0" w:line="115" w:lineRule="exact"/>
              <w:rPr>
                <w:sz w:val="20"/>
                <w:szCs w:val="20"/>
                <w:color w:val="auto"/>
              </w:rPr>
            </w:pPr>
            <w:r>
              <w:rPr>
                <w:rFonts w:ascii="Arial" w:cs="Arial" w:eastAsia="Arial" w:hAnsi="Arial"/>
                <w:sz w:val="13"/>
                <w:szCs w:val="13"/>
                <w:b w:val="1"/>
                <w:bCs w:val="1"/>
                <w:color w:val="auto"/>
              </w:rPr>
              <w:t>Additional Paid-</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102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134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Total Shareholders’</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28,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Adoption of new accounting</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standards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2300" w:type="dxa"/>
            <w:vAlign w:val="bottom"/>
          </w:tcPr>
          <w:p>
            <w:pPr>
              <w:ind w:left="120"/>
              <w:spacing w:after="0" w:line="135"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Net unrealized loss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Balance at October 4, 2019</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3,728</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9,566</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2300" w:type="dxa"/>
            <w:vAlign w:val="bottom"/>
          </w:tcPr>
          <w:p>
            <w:pPr>
              <w:ind w:left="120"/>
              <w:spacing w:after="0" w:line="135"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Net unrealized loss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Balance at January 3, 2020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3,731</w:t>
            </w:r>
          </w:p>
        </w:tc>
        <w:tc>
          <w:tcPr>
            <w:tcW w:w="12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6,717</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9,379</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Dividends to shareholders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2300" w:type="dxa"/>
            <w:vAlign w:val="bottom"/>
          </w:tcPr>
          <w:p>
            <w:pPr>
              <w:ind w:left="120"/>
              <w:spacing w:after="0" w:line="135"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2300" w:type="dxa"/>
            <w:vAlign w:val="bottom"/>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Net unrealized loss on derivative</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6"/>
        </w:trPr>
        <w:tc>
          <w:tcPr>
            <w:tcW w:w="2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Balance at April 3,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6,578</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60" w:right="264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56"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Company’s broad portfolio of technology and products address the following key end markets: Client Devices; Data Center Devices and Solutions; and Client Solutions. The Company also generates license and royalty revenue from its extensive intellectual property (“IP”), which is included in each of these three end market categories.</w:t>
      </w:r>
    </w:p>
    <w:p>
      <w:pPr>
        <w:spacing w:after="0" w:line="211" w:lineRule="exact"/>
        <w:rPr>
          <w:sz w:val="20"/>
          <w:szCs w:val="20"/>
          <w:color w:val="auto"/>
        </w:rPr>
      </w:pPr>
    </w:p>
    <w:p>
      <w:pPr>
        <w:ind w:right="40" w:firstLine="324"/>
        <w:spacing w:after="0" w:line="218" w:lineRule="exact"/>
        <w:rPr>
          <w:sz w:val="20"/>
          <w:szCs w:val="20"/>
          <w:color w:val="auto"/>
        </w:rPr>
      </w:pPr>
      <w:r>
        <w:rPr>
          <w:rFonts w:ascii="Arial" w:cs="Arial" w:eastAsia="Arial" w:hAnsi="Arial"/>
          <w:sz w:val="17"/>
          <w:szCs w:val="17"/>
          <w:color w:val="auto"/>
        </w:rPr>
        <w:t xml:space="preserve">The accounting policies followed by the Company are set forth in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July 3, 2020.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July 3, 2020. The results of operations for interim periods are not necessarily indicative of results to be expected for the full year.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2021, which ends on July 2, 2021, will be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COVID-19 pandemic. However, actual results could differ materially from these estimates and be significantly affected by the severity and duration of the pandemic, the extent of actions to contain or treat COVID-19, including the effects of ongoing vaccination efforts, how quickly and to what extent normal economic and operating activity can resume, and the severity and duration of the global economic downturn that results from the pandemic.</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Segment Information</w:t>
      </w:r>
    </w:p>
    <w:p>
      <w:pPr>
        <w:spacing w:after="0" w:line="25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Company manufactures, markets, and sells data storage devices and solutions in the U.S. and in foreign countries through its sales personnel, dealers, distributors, retailers, and subsidiaries. Historically, the Company has been managed and reported under a single operating segment. Late in the first quarter of fiscal 2021, the Chief Executive Officer, who is the Company’s Chief Operating Decision Maker, announced a decision to reorganize the Company’s business by forming two separate product business units: flash-based products and hard disk drives (“HDD”). To align with the new operating model and business structure, the Company is making management organizational changes and implementing new reporting modules and processes to provide discrete information to manage the business. Management expects to finalize its assessment of its operating segments when the implementations and transitions are completed, which is expected to be in the first quarter of fiscal 2022.</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52"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In June 2016, the Financial Accounting Standards Board (“FASB”) issued Accounting Standards Updates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adopted this standard effective July 4, 2020 (the beginning of fiscal 2021) with no material impact on its Condensed Consolidated Financial Statements.</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November 2018, the FASB issued ASU No. 2018-18, “Collaborative Arrangements (Topic 808): Clarifying the Interaction between Topic 808 and Topic 606” (“ASU 2018-18”). ASU 2018-18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requires retrospective adoption to the date the Company adopted Accounting Standards Codification (ASC) 606 by recognizing a cumulative-effect adjustment to the opening balance of retained earnings of the earliest annual period presented. The Company adopted this standard effective July 4, 2020 (the beginning of fiscal 2021) with no material impact on its Condensed Consolidated Financial Statements.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This ASU is effective for fiscal years (and interim periods within those fiscal years) beginning after December 15, 2020, which for the Company is the first quarter of fiscal 2022. Early adoption is permitted. The Company does not expect this update to have a material impact on its Condensed Consolidated Financial Statements.</w:t>
      </w:r>
    </w:p>
    <w:p>
      <w:pPr>
        <w:spacing w:after="0" w:line="21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current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For instruments that do not have a component mandatorily settled in cash, the change will likely result in a higher amount of share dilution in the calculation of earnings per share. This ASU is effective for fiscal years (and interim periods within those fiscal years) beginning after December 15, 2021, which for the Company is the first quarter of fiscal 2023, with early adoption permitted beginning in the first quarter of fiscal 2022. The Company is currently assessing the impact and timing of adoption of this ASU.</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Revenues</w:t>
      </w:r>
    </w:p>
    <w:p>
      <w:pPr>
        <w:spacing w:after="0" w:line="25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Contract assets represent the Company’s rights to consideration where performance obligations are completed but the customer payments are not due until another performance obligation is satisfied. The Company did not have any contract assets as of either April 2, 2021 or July 3, 2020.</w:t>
      </w:r>
    </w:p>
    <w:p>
      <w:pPr>
        <w:spacing w:after="0" w:line="1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April 2, 2021 and July 3, 2020 as well as the related amortization for the three and nine months ended April 2, 2021 and April 3, 2020 were not material.</w:t>
      </w:r>
    </w:p>
    <w:p>
      <w:pPr>
        <w:spacing w:after="0" w:line="205"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Contract liabilities relate to customers’ payments in advance of performance under the contract and primarily relate to remaining performance obligations under support and maintenance contracts. As of April 2, 2021 and July 3, 2020, contract liabilities were not material.</w:t>
      </w:r>
    </w:p>
    <w:p>
      <w:pPr>
        <w:spacing w:after="0" w:line="151" w:lineRule="exact"/>
        <w:rPr>
          <w:sz w:val="20"/>
          <w:szCs w:val="20"/>
          <w:color w:val="auto"/>
        </w:rPr>
      </w:pPr>
    </w:p>
    <w:p>
      <w:pPr>
        <w:ind w:right="380" w:firstLine="324"/>
        <w:spacing w:after="0" w:line="285"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April 2, 2021 was</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$81 million, which is mainly attributable to the functional IP license and service arrangements. The Company expects to recognize this amount as revenue as follows: $10 million during the remainder of fiscal 2021, $40 million in fiscal 2022, and $31 million in fiscal 2023 and thereafter.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51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1"/>
                <w:szCs w:val="11"/>
                <w:color w:val="auto"/>
              </w:rPr>
            </w:pPr>
          </w:p>
        </w:tc>
        <w:tc>
          <w:tcPr>
            <w:tcW w:w="1140" w:type="dxa"/>
            <w:vAlign w:val="bottom"/>
          </w:tcPr>
          <w:p>
            <w:pPr>
              <w:jc w:val="right"/>
              <w:ind w:right="400"/>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18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180"/>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HDD</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1,962</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2,114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6,918</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Flash-based</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2,175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w:t>
            </w: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4,137</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4,175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12,449</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6"/>
        </w:trPr>
        <w:tc>
          <w:tcPr>
            <w:tcW w:w="5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Revenue by End Market</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 Devices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5,244</w:t>
            </w: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Data Center Devices &amp; Solutions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1,237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1,523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4,544</w:t>
            </w:r>
          </w:p>
        </w:tc>
      </w:tr>
      <w:tr>
        <w:trPr>
          <w:trHeight w:val="216"/>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 Solutions</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4,137</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4,175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12,449</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Revenue by Geography</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2,360</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2,215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6,155</w:t>
            </w: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4,137</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4,175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12,449</w:t>
            </w:r>
          </w:p>
        </w:tc>
      </w:tr>
      <w:tr>
        <w:trPr>
          <w:trHeight w:val="23"/>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Company’s top 10 customers accounted for 42% and 40% of its net revenue for the three and nine months ended April 2, 2021, respectively, and 44% of its net revenue for both the three and nine months ended April 3, 2020. For the three and nine months ended April 2, 2021 and April 3, 2020, no single customer accounted for 10% or more of the Company’s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Supplemental Financial Statement Data</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jc w:val="both"/>
        <w:ind w:right="60" w:firstLine="324"/>
        <w:spacing w:after="0" w:line="275" w:lineRule="auto"/>
        <w:rPr>
          <w:sz w:val="20"/>
          <w:szCs w:val="20"/>
          <w:color w:val="auto"/>
        </w:rPr>
      </w:pPr>
      <w:r>
        <w:rPr>
          <w:rFonts w:ascii="Arial" w:cs="Arial" w:eastAsia="Arial" w:hAnsi="Arial"/>
          <w:sz w:val="17"/>
          <w:szCs w:val="17"/>
          <w:color w:val="auto"/>
        </w:rPr>
        <w:t>From time to time, in connection with factoring agreements, the Company sells trade accounts receivable without recourse to third party purchasers in exchange for cash. During the nine months ended April 2, 2021 and April 3, 2020, the Company sold trade accounts receivable and received cash proceeds of $233 million and $298 million, respectively. The discounts on the trade accounts receivable sold during the periods were not material and were recorded within Other income (expense), net in the Condensed Consolidated Statements of Operations. As of April 2, 2021 and July 3, 2020, the amount of factored receivables that remained outstanding was $60 million and $113 million, respectively.</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July 3,</w:t>
            </w:r>
          </w:p>
        </w:tc>
      </w:tr>
      <w:tr>
        <w:trPr>
          <w:trHeight w:val="188"/>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0"/>
        </w:trPr>
        <w:tc>
          <w:tcPr>
            <w:tcW w:w="8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Raw materials and component parts</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1,570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1,306</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Work-in-process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Finished goods</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1,004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r>
      <w:tr>
        <w:trPr>
          <w:trHeight w:val="23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inventories</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3,683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420" w:type="dxa"/>
            <w:vAlign w:val="bottom"/>
          </w:tcPr>
          <w:p>
            <w:pPr>
              <w:spacing w:after="0"/>
              <w:rPr>
                <w:sz w:val="14"/>
                <w:szCs w:val="14"/>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3,</w:t>
            </w:r>
          </w:p>
        </w:tc>
      </w:tr>
      <w:tr>
        <w:trPr>
          <w:trHeight w:val="188"/>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80"/>
        </w:trPr>
        <w:tc>
          <w:tcPr>
            <w:tcW w:w="8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Land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Buildings and improvements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Machinery and equipment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7,391</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Computer equipment and software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Furniture and fixtures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Construction-in-process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07"/>
        </w:trPr>
        <w:tc>
          <w:tcPr>
            <w:tcW w:w="8260" w:type="dxa"/>
            <w:vAlign w:val="bottom"/>
          </w:tcPr>
          <w:p>
            <w:pPr>
              <w:ind w:left="22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10,300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(7,446)</w:t>
            </w:r>
          </w:p>
        </w:tc>
      </w:tr>
      <w:tr>
        <w:trPr>
          <w:trHeight w:val="213"/>
        </w:trPr>
        <w:tc>
          <w:tcPr>
            <w:tcW w:w="826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7"/>
              </w:rPr>
              <w:t>Carrying Amount</w:t>
            </w:r>
          </w:p>
        </w:tc>
      </w:tr>
      <w:tr>
        <w:trPr>
          <w:trHeight w:val="185"/>
        </w:trPr>
        <w:tc>
          <w:tcPr>
            <w:tcW w:w="9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83"/>
              <w:spacing w:after="0"/>
              <w:rPr>
                <w:sz w:val="20"/>
                <w:szCs w:val="20"/>
                <w:color w:val="auto"/>
              </w:rPr>
            </w:pPr>
            <w:r>
              <w:rPr>
                <w:rFonts w:ascii="Arial" w:cs="Arial" w:eastAsia="Arial" w:hAnsi="Arial"/>
                <w:sz w:val="14"/>
                <w:szCs w:val="14"/>
                <w:i w:val="1"/>
                <w:iCs w:val="1"/>
                <w:color w:val="auto"/>
              </w:rPr>
              <w:t>(in millions)</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July 3,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10,067</w:t>
            </w:r>
          </w:p>
        </w:tc>
      </w:tr>
      <w:tr>
        <w:trPr>
          <w:trHeight w:val="213"/>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April 2,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420" w:type="dxa"/>
            <w:vAlign w:val="bottom"/>
          </w:tcPr>
          <w:p>
            <w:pPr>
              <w:spacing w:after="0"/>
              <w:rPr>
                <w:sz w:val="14"/>
                <w:szCs w:val="14"/>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July 3,</w:t>
            </w:r>
          </w:p>
        </w:tc>
      </w:tr>
      <w:tr>
        <w:trPr>
          <w:trHeight w:val="188"/>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0"/>
        </w:trPr>
        <w:tc>
          <w:tcPr>
            <w:tcW w:w="8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Finite-lived intangible assets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In-process research and development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200" w:type="dxa"/>
            <w:vAlign w:val="bottom"/>
          </w:tcPr>
          <w:p>
            <w:pPr>
              <w:spacing w:after="0"/>
              <w:rPr>
                <w:sz w:val="11"/>
                <w:szCs w:val="11"/>
                <w:color w:val="auto"/>
              </w:rPr>
            </w:pPr>
          </w:p>
        </w:tc>
        <w:tc>
          <w:tcPr>
            <w:tcW w:w="1020" w:type="dxa"/>
            <w:vAlign w:val="bottom"/>
          </w:tcPr>
          <w:p>
            <w:pPr>
              <w:jc w:val="right"/>
              <w:ind w:right="4"/>
              <w:spacing w:after="0" w:line="135" w:lineRule="exact"/>
              <w:rPr>
                <w:sz w:val="20"/>
                <w:szCs w:val="20"/>
                <w:color w:val="auto"/>
              </w:rPr>
            </w:pPr>
            <w:r>
              <w:rPr>
                <w:rFonts w:ascii="Arial" w:cs="Arial" w:eastAsia="Arial" w:hAnsi="Arial"/>
                <w:sz w:val="14"/>
                <w:szCs w:val="14"/>
                <w:b w:val="1"/>
                <w:bCs w:val="1"/>
                <w:color w:val="auto"/>
              </w:rPr>
              <w:t>April 2,</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4"/>
              <w:spacing w:after="0" w:line="135"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1"/>
                <w:szCs w:val="11"/>
                <w:color w:val="auto"/>
              </w:rPr>
            </w:pPr>
          </w:p>
        </w:tc>
        <w:tc>
          <w:tcPr>
            <w:tcW w:w="1140" w:type="dxa"/>
            <w:vAlign w:val="bottom"/>
          </w:tcPr>
          <w:p>
            <w:pPr>
              <w:jc w:val="right"/>
              <w:ind w:right="402"/>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200" w:type="dxa"/>
            <w:vAlign w:val="bottom"/>
          </w:tcPr>
          <w:p>
            <w:pPr>
              <w:spacing w:after="0"/>
              <w:rPr>
                <w:sz w:val="16"/>
                <w:szCs w:val="16"/>
                <w:color w:val="auto"/>
              </w:rPr>
            </w:pPr>
          </w:p>
        </w:tc>
        <w:tc>
          <w:tcPr>
            <w:tcW w:w="10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1"/>
        </w:trPr>
        <w:tc>
          <w:tcPr>
            <w:tcW w:w="5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accrual, beginning of period</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Charges to operations</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144</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Utilization</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Changes in estimate related to pre-existing warranties</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end of period</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Current portion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Long-term portion (included in Other liabilities)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420" w:type="dxa"/>
            <w:vAlign w:val="bottom"/>
          </w:tcPr>
          <w:p>
            <w:pPr>
              <w:spacing w:after="0"/>
              <w:rPr>
                <w:sz w:val="14"/>
                <w:szCs w:val="14"/>
                <w:color w:val="auto"/>
              </w:rPr>
            </w:pPr>
          </w:p>
        </w:tc>
        <w:tc>
          <w:tcPr>
            <w:tcW w:w="1020" w:type="dxa"/>
            <w:vAlign w:val="bottom"/>
          </w:tcPr>
          <w:p>
            <w:pPr>
              <w:jc w:val="right"/>
              <w:ind w:right="443"/>
              <w:spacing w:after="0"/>
              <w:rPr>
                <w:sz w:val="20"/>
                <w:szCs w:val="20"/>
                <w:color w:val="auto"/>
              </w:rPr>
            </w:pPr>
            <w:r>
              <w:rPr>
                <w:rFonts w:ascii="Arial" w:cs="Arial" w:eastAsia="Arial" w:hAnsi="Arial"/>
                <w:sz w:val="14"/>
                <w:szCs w:val="14"/>
                <w:b w:val="1"/>
                <w:bCs w:val="1"/>
                <w:color w:val="auto"/>
              </w:rPr>
              <w:t>July 3,</w:t>
            </w:r>
          </w:p>
        </w:tc>
      </w:tr>
      <w:tr>
        <w:trPr>
          <w:trHeight w:val="188"/>
        </w:trPr>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77"/>
        </w:trPr>
        <w:tc>
          <w:tcPr>
            <w:tcW w:w="300" w:type="dxa"/>
            <w:vAlign w:val="bottom"/>
          </w:tcPr>
          <w:p>
            <w:pPr>
              <w:spacing w:after="0"/>
              <w:rPr>
                <w:sz w:val="15"/>
                <w:szCs w:val="15"/>
                <w:color w:val="auto"/>
              </w:rPr>
            </w:pPr>
          </w:p>
        </w:tc>
        <w:tc>
          <w:tcPr>
            <w:tcW w:w="1660" w:type="dxa"/>
            <w:vAlign w:val="bottom"/>
            <w:gridSpan w:val="3"/>
          </w:tcPr>
          <w:p>
            <w:pPr>
              <w:ind w:left="84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433"/>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4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9"/>
        </w:trPr>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209"/>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r>
      <w:tr>
        <w:trPr>
          <w:trHeight w:val="24"/>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5" w:right="339" w:bottom="1440" w:gutter="0" w:footer="0" w:header="0"/>
          <w:type w:val="continuous"/>
        </w:sectPr>
      </w:pP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July 3,</w:t>
            </w:r>
          </w:p>
        </w:tc>
      </w:tr>
      <w:tr>
        <w:trPr>
          <w:trHeight w:val="188"/>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1"/>
        </w:trPr>
        <w:tc>
          <w:tcPr>
            <w:tcW w:w="8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Non-current net tax payable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815</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Payables related to unrecognized tax benefits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r>
      <w:tr>
        <w:trPr>
          <w:trHeight w:val="23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2,281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52" w:lineRule="exact"/>
        <w:rPr>
          <w:sz w:val="20"/>
          <w:szCs w:val="20"/>
          <w:color w:val="auto"/>
        </w:rPr>
      </w:pPr>
    </w:p>
    <w:p>
      <w:pPr>
        <w:ind w:right="800" w:firstLine="324"/>
        <w:spacing w:after="0" w:line="302" w:lineRule="auto"/>
        <w:rPr>
          <w:sz w:val="20"/>
          <w:szCs w:val="20"/>
          <w:color w:val="auto"/>
        </w:rPr>
      </w:pPr>
      <w:r>
        <w:rPr>
          <w:rFonts w:ascii="Arial" w:cs="Arial" w:eastAsia="Arial" w:hAnsi="Arial"/>
          <w:sz w:val="16"/>
          <w:szCs w:val="16"/>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5"/>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2"/>
                <w:szCs w:val="12"/>
                <w:color w:val="auto"/>
              </w:rPr>
            </w:pPr>
          </w:p>
        </w:tc>
        <w:tc>
          <w:tcPr>
            <w:tcW w:w="13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(Losses) on Derivative</w:t>
            </w:r>
          </w:p>
        </w:tc>
        <w:tc>
          <w:tcPr>
            <w:tcW w:w="120" w:type="dxa"/>
            <w:vAlign w:val="bottom"/>
          </w:tcPr>
          <w:p>
            <w:pPr>
              <w:spacing w:after="0"/>
              <w:rPr>
                <w:sz w:val="11"/>
                <w:szCs w:val="11"/>
                <w:color w:val="auto"/>
              </w:rPr>
            </w:pPr>
          </w:p>
        </w:tc>
        <w:tc>
          <w:tcPr>
            <w:tcW w:w="13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Gains (Losses)</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100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July 3,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Income tax benefit related to items of other comprehensive loss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current-period other comprehensive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Balance at April 2,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During the three and nine months ended April 2, 2021, the amounts reclassified out of AOCI related to interest rate swap contracts were losses of $13 million and $37 million, respectively, and were charged to Interest expense. These were offset by gains of $14 million and $32 million, respectively, related to foreign exchange contracts that were substantially all charged to Cost of revenue in the Condensed Consolidated Statements of Operations. During the three and nine months ended April 3, 2020, the amounts reclassified out of AOCI primarily related to foreign exchange contracts and were substantially all charged to Cost of revenue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Fair Value Measurements and Investments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5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97"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52" w:lineRule="exact"/>
        <w:rPr>
          <w:sz w:val="20"/>
          <w:szCs w:val="20"/>
          <w:color w:val="auto"/>
        </w:rPr>
      </w:pPr>
    </w:p>
    <w:p>
      <w:pPr>
        <w:ind w:left="980" w:right="80" w:hanging="647"/>
        <w:spacing w:after="0" w:line="263" w:lineRule="auto"/>
        <w:tabs>
          <w:tab w:leader="none" w:pos="9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1"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Inputs that are unobservable for the asset or liability and that are significant to the fair value of the assets or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2021 and July 3, 2020, and indicate the fair value hierarchy of the valuation techniques utilized to determine such values: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left="642"/>
              <w:spacing w:after="0"/>
              <w:rPr>
                <w:sz w:val="20"/>
                <w:szCs w:val="20"/>
                <w:color w:val="auto"/>
              </w:rPr>
            </w:pPr>
            <w:r>
              <w:rPr>
                <w:rFonts w:ascii="Arial" w:cs="Arial" w:eastAsia="Arial" w:hAnsi="Arial"/>
                <w:sz w:val="14"/>
                <w:szCs w:val="14"/>
                <w:b w:val="1"/>
                <w:bCs w:val="1"/>
                <w:color w:val="auto"/>
                <w:w w:val="94"/>
              </w:rPr>
              <w:t>April 2, 2021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81"/>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5"/>
          </w:tcPr>
          <w:p>
            <w:pPr>
              <w:jc w:val="center"/>
              <w:ind w:left="642"/>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6"/>
        </w:trPr>
        <w:tc>
          <w:tcPr>
            <w:tcW w:w="5220" w:type="dxa"/>
            <w:vAlign w:val="bottom"/>
          </w:tcPr>
          <w:p>
            <w:pPr>
              <w:ind w:left="880"/>
              <w:spacing w:after="0"/>
              <w:rPr>
                <w:sz w:val="20"/>
                <w:szCs w:val="20"/>
                <w:color w:val="auto"/>
              </w:rPr>
            </w:pPr>
            <w:r>
              <w:rPr>
                <w:rFonts w:ascii="Arial" w:cs="Arial" w:eastAsia="Arial" w:hAnsi="Arial"/>
                <w:sz w:val="16"/>
                <w:szCs w:val="16"/>
                <w:color w:val="auto"/>
              </w:rPr>
              <w:t>Total assets at fair value</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7"/>
                <w:szCs w:val="17"/>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contract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7"/>
        </w:trPr>
        <w:tc>
          <w:tcPr>
            <w:tcW w:w="5220" w:type="dxa"/>
            <w:vAlign w:val="bottom"/>
          </w:tcPr>
          <w:p>
            <w:pPr>
              <w:ind w:left="880"/>
              <w:spacing w:after="0"/>
              <w:rPr>
                <w:sz w:val="20"/>
                <w:szCs w:val="20"/>
                <w:color w:val="auto"/>
              </w:rPr>
            </w:pPr>
            <w:r>
              <w:rPr>
                <w:rFonts w:ascii="Arial" w:cs="Arial" w:eastAsia="Arial" w:hAnsi="Arial"/>
                <w:sz w:val="16"/>
                <w:szCs w:val="16"/>
                <w:color w:val="auto"/>
              </w:rPr>
              <w:t>Total liabilities at fair value</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54"/>
        </w:trPr>
        <w:tc>
          <w:tcPr>
            <w:tcW w:w="5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left="642"/>
              <w:spacing w:after="0"/>
              <w:rPr>
                <w:sz w:val="20"/>
                <w:szCs w:val="20"/>
                <w:color w:val="auto"/>
              </w:rPr>
            </w:pPr>
            <w:r>
              <w:rPr>
                <w:rFonts w:ascii="Arial" w:cs="Arial" w:eastAsia="Arial" w:hAnsi="Arial"/>
                <w:sz w:val="14"/>
                <w:szCs w:val="14"/>
                <w:b w:val="1"/>
                <w:bCs w:val="1"/>
                <w:color w:val="auto"/>
                <w:w w:val="94"/>
              </w:rPr>
              <w:t>July 3, 2020</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81"/>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5"/>
          </w:tcPr>
          <w:p>
            <w:pPr>
              <w:jc w:val="center"/>
              <w:ind w:left="642"/>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1,079</w:t>
            </w:r>
          </w:p>
        </w:tc>
        <w:tc>
          <w:tcPr>
            <w:tcW w:w="1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7"/>
        </w:trPr>
        <w:tc>
          <w:tcPr>
            <w:tcW w:w="5220" w:type="dxa"/>
            <w:vAlign w:val="bottom"/>
          </w:tcPr>
          <w:p>
            <w:pPr>
              <w:ind w:left="880"/>
              <w:spacing w:after="0"/>
              <w:rPr>
                <w:sz w:val="20"/>
                <w:szCs w:val="20"/>
                <w:color w:val="auto"/>
              </w:rPr>
            </w:pPr>
            <w:r>
              <w:rPr>
                <w:rFonts w:ascii="Arial" w:cs="Arial" w:eastAsia="Arial" w:hAnsi="Arial"/>
                <w:sz w:val="16"/>
                <w:szCs w:val="16"/>
                <w:color w:val="auto"/>
              </w:rPr>
              <w:t>Total assets at fair value</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1,079</w:t>
            </w:r>
          </w:p>
        </w:tc>
        <w:tc>
          <w:tcPr>
            <w:tcW w:w="10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20" w:type="dxa"/>
            <w:vAlign w:val="bottom"/>
          </w:tcPr>
          <w:p>
            <w:pPr>
              <w:ind w:left="480"/>
              <w:spacing w:after="0"/>
              <w:rPr>
                <w:sz w:val="20"/>
                <w:szCs w:val="20"/>
                <w:color w:val="auto"/>
              </w:rPr>
            </w:pPr>
            <w:r>
              <w:rPr>
                <w:rFonts w:ascii="Arial" w:cs="Arial" w:eastAsia="Arial" w:hAnsi="Arial"/>
                <w:sz w:val="16"/>
                <w:szCs w:val="16"/>
                <w:color w:val="auto"/>
              </w:rPr>
              <w:t>Foreign exchange contracts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5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rate swap contract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6"/>
        </w:trPr>
        <w:tc>
          <w:tcPr>
            <w:tcW w:w="5220" w:type="dxa"/>
            <w:vAlign w:val="bottom"/>
          </w:tcPr>
          <w:p>
            <w:pPr>
              <w:ind w:left="880"/>
              <w:spacing w:after="0"/>
              <w:rPr>
                <w:sz w:val="20"/>
                <w:szCs w:val="20"/>
                <w:color w:val="auto"/>
              </w:rPr>
            </w:pPr>
            <w:r>
              <w:rPr>
                <w:rFonts w:ascii="Arial" w:cs="Arial" w:eastAsia="Arial" w:hAnsi="Arial"/>
                <w:sz w:val="16"/>
                <w:szCs w:val="16"/>
                <w:color w:val="auto"/>
              </w:rPr>
              <w:t>Total liabilities at fair value</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3"/>
        </w:trPr>
        <w:tc>
          <w:tcPr>
            <w:tcW w:w="522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33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During the three and nine months ended April 2, 2021 and April 3, 2020,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5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fiscal 2021 and the fourth quarter of fiscal 2020, respectively.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April 2, 2021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July 3, 2020</w:t>
            </w:r>
          </w:p>
        </w:tc>
        <w:tc>
          <w:tcPr>
            <w:tcW w:w="1000" w:type="dxa"/>
            <w:vAlign w:val="bottom"/>
            <w:tcBorders>
              <w:bottom w:val="single" w:sz="8" w:color="auto"/>
            </w:tcBorders>
          </w:tcPr>
          <w:p>
            <w:pPr>
              <w:spacing w:after="0"/>
              <w:rPr>
                <w:sz w:val="16"/>
                <w:szCs w:val="16"/>
                <w:color w:val="auto"/>
              </w:rPr>
            </w:pPr>
          </w:p>
        </w:tc>
      </w:tr>
      <w:tr>
        <w:trPr>
          <w:trHeight w:val="134"/>
        </w:trPr>
        <w:tc>
          <w:tcPr>
            <w:tcW w:w="52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center"/>
              <w:ind w:right="362"/>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1"/>
                <w:szCs w:val="11"/>
                <w:color w:val="auto"/>
              </w:rPr>
            </w:pPr>
          </w:p>
        </w:tc>
        <w:tc>
          <w:tcPr>
            <w:tcW w:w="1000" w:type="dxa"/>
            <w:vAlign w:val="bottom"/>
          </w:tcPr>
          <w:p>
            <w:pPr>
              <w:jc w:val="right"/>
              <w:ind w:right="501"/>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200" w:type="dxa"/>
            <w:vAlign w:val="bottom"/>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Value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r>
      <w:tr>
        <w:trPr>
          <w:trHeight w:val="180"/>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0.50% convertible senior notes due 2020</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Variable interest rate Term Loan A-1 maturing 2023</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4,389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4,474</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B-4 maturing 2023</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1.50% convertible notes due 2024</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1,010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4.75% senior unsecured notes due 2026</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2,287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8,929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9,624</w:t>
            </w: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of April 2, 2021,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21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of April 2, 2021, the amount of existing net losses related to cash flow hedges recorded in AOCI included $42 million related to the Company’s interest rate swaps that is expected to be reclassified to earnings after twelve months. In addition, as of April 2, 2021, the Company did not have any foreign exchange forward contracts with credit-risk-related contingent features.</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(expense), net and are largely offset by corresponding changes in the fair values of the foreign currency denominated monetary assets and liabilities. For each of the three and nine months ended April 2, 2021 and April 3, 2020, total net realized and unrealized transaction and foreign exchange contract currency gains and losses were not material to the Company’s Condensed Consolidated Financial Statements.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April 2, 2021 and July 3, 2020,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consisted of the following as of April 2, 2021 and July 3,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3,</w:t>
            </w:r>
          </w:p>
        </w:tc>
      </w:tr>
      <w:tr>
        <w:trPr>
          <w:trHeight w:val="188"/>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80"/>
        </w:trPr>
        <w:tc>
          <w:tcPr>
            <w:tcW w:w="8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0.50% convertible senior notes due 2020</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Variable interest rate Term Loan A-1 maturing 2023</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4,394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interest rate Term Loan B-4 maturing 2023</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1.50% convertible notes due 2024</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4.75% senior unsecured notes due 2026</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r>
      <w:tr>
        <w:trPr>
          <w:trHeight w:val="207"/>
        </w:trPr>
        <w:tc>
          <w:tcPr>
            <w:tcW w:w="826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9,037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9,711</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and debt discounts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7"/>
        </w:trPr>
        <w:tc>
          <w:tcPr>
            <w:tcW w:w="8260" w:type="dxa"/>
            <w:vAlign w:val="bottom"/>
          </w:tcPr>
          <w:p>
            <w:pPr>
              <w:ind w:left="220"/>
              <w:spacing w:after="0"/>
              <w:rPr>
                <w:sz w:val="20"/>
                <w:szCs w:val="20"/>
                <w:color w:val="auto"/>
              </w:rPr>
            </w:pPr>
            <w:r>
              <w:rPr>
                <w:rFonts w:ascii="Arial" w:cs="Arial" w:eastAsia="Arial" w:hAnsi="Arial"/>
                <w:sz w:val="16"/>
                <w:szCs w:val="16"/>
                <w:color w:val="auto"/>
              </w:rPr>
              <w:t>Subtotal</w:t>
            </w: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8,929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9,575</w:t>
            </w:r>
          </w:p>
        </w:tc>
      </w:tr>
      <w:tr>
        <w:trPr>
          <w:trHeight w:val="216"/>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current portion of long-term debt</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8260" w:type="dxa"/>
            <w:vAlign w:val="bottom"/>
          </w:tcPr>
          <w:p>
            <w:pPr>
              <w:ind w:left="480"/>
              <w:spacing w:after="0"/>
              <w:rPr>
                <w:sz w:val="20"/>
                <w:szCs w:val="20"/>
                <w:color w:val="auto"/>
              </w:rPr>
            </w:pPr>
            <w:r>
              <w:rPr>
                <w:rFonts w:ascii="Arial" w:cs="Arial" w:eastAsia="Arial" w:hAnsi="Arial"/>
                <w:sz w:val="16"/>
                <w:szCs w:val="16"/>
                <w:color w:val="auto"/>
              </w:rPr>
              <w:t>Long-term debt</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8,678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9,289</w:t>
            </w:r>
          </w:p>
        </w:tc>
      </w:tr>
      <w:tr>
        <w:trPr>
          <w:trHeight w:val="21"/>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credit agreement governing the revolving credit facility and Term Loan A-1 requires the Company to comply with certain financial covenants, consisting of a leverage ratio and an interest coverage ratio. As of April 2, 2021, the Company was in compliance with these financial covenants.</w:t>
      </w:r>
    </w:p>
    <w:p>
      <w:pPr>
        <w:spacing w:after="0" w:line="15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During the three and nine months ended April 2, 2021, the Company made voluntary prepayments totaling $150 million and $450 million, respectively, on its Term Loan B-4. In October 2020, the 0.50% convertible senior notes due 2020 were settled in full in accordance with their terms. On April 30, 2021, the Company made an incremental voluntary prepayment of $150 million on its Term Loan B-4.</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Philippines defined benefit pension plans (the “Pension Plans”) are immaterial to the Condensed Consolidated Financial Statements. The expected long-term rate of return on the Pension Plans assets is 2.5%.</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40" w:type="dxa"/>
            <w:vAlign w:val="bottom"/>
          </w:tcPr>
          <w:p>
            <w:pPr>
              <w:jc w:val="right"/>
              <w:ind w:right="4"/>
              <w:spacing w:after="0"/>
              <w:rPr>
                <w:sz w:val="20"/>
                <w:szCs w:val="20"/>
                <w:color w:val="auto"/>
              </w:rPr>
            </w:pPr>
            <w:r>
              <w:rPr>
                <w:rFonts w:ascii="Arial" w:cs="Arial" w:eastAsia="Arial" w:hAnsi="Arial"/>
                <w:sz w:val="14"/>
                <w:szCs w:val="14"/>
                <w:b w:val="1"/>
                <w:bCs w:val="1"/>
                <w:color w:val="auto"/>
              </w:rPr>
              <w:t>April 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3"/>
              <w:spacing w:after="0"/>
              <w:rPr>
                <w:sz w:val="20"/>
                <w:szCs w:val="20"/>
                <w:color w:val="auto"/>
              </w:rPr>
            </w:pPr>
            <w:r>
              <w:rPr>
                <w:rFonts w:ascii="Arial" w:cs="Arial" w:eastAsia="Arial" w:hAnsi="Arial"/>
                <w:sz w:val="14"/>
                <w:szCs w:val="14"/>
                <w:b w:val="1"/>
                <w:bCs w:val="1"/>
                <w:color w:val="auto"/>
              </w:rPr>
              <w:t>July 3,</w:t>
            </w:r>
          </w:p>
        </w:tc>
      </w:tr>
      <w:tr>
        <w:trPr>
          <w:trHeight w:val="188"/>
        </w:trPr>
        <w:tc>
          <w:tcPr>
            <w:tcW w:w="8260" w:type="dxa"/>
            <w:vAlign w:val="bottom"/>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80"/>
        </w:trPr>
        <w:tc>
          <w:tcPr>
            <w:tcW w:w="8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end of period</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plan assets at end of period</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Unfunded status</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20" w:firstLine="324"/>
        <w:spacing w:after="0" w:line="269" w:lineRule="auto"/>
        <w:rPr>
          <w:sz w:val="20"/>
          <w:szCs w:val="20"/>
          <w:color w:val="auto"/>
        </w:rPr>
      </w:pPr>
      <w:r>
        <w:rPr>
          <w:rFonts w:ascii="Arial" w:cs="Arial" w:eastAsia="Arial" w:hAnsi="Arial"/>
          <w:sz w:val="18"/>
          <w:szCs w:val="18"/>
          <w:color w:val="auto"/>
        </w:rPr>
        <w:t>The following table presents the unfunded amounts related to the Pension Plans as recognized on the Company’s Condensed Consolidated Balance Sheets:</w:t>
      </w:r>
    </w:p>
    <w:tbl>
      <w:tblPr>
        <w:tblLayout w:type="fixed"/>
        <w:tblInd w:w="0" w:type="dxa"/>
        <w:tblCellMar>
          <w:top w:w="0" w:type="dxa"/>
          <w:left w:w="0" w:type="dxa"/>
          <w:bottom w:w="0" w:type="dxa"/>
          <w:right w:w="0" w:type="dxa"/>
        </w:tblCellMar>
      </w:tblPr>
      <w:tr>
        <w:trPr>
          <w:trHeight w:val="144"/>
        </w:trPr>
        <w:tc>
          <w:tcPr>
            <w:tcW w:w="8260" w:type="dxa"/>
            <w:vAlign w:val="bottom"/>
          </w:tcPr>
          <w:p>
            <w:pPr>
              <w:spacing w:after="0"/>
              <w:rPr>
                <w:sz w:val="12"/>
                <w:szCs w:val="12"/>
                <w:color w:val="auto"/>
              </w:rPr>
            </w:pPr>
          </w:p>
        </w:tc>
        <w:tc>
          <w:tcPr>
            <w:tcW w:w="1040" w:type="dxa"/>
            <w:vAlign w:val="bottom"/>
          </w:tcPr>
          <w:p>
            <w:pPr>
              <w:jc w:val="right"/>
              <w:ind w:right="4"/>
              <w:spacing w:after="0" w:line="145" w:lineRule="exact"/>
              <w:rPr>
                <w:sz w:val="20"/>
                <w:szCs w:val="20"/>
                <w:color w:val="auto"/>
              </w:rPr>
            </w:pPr>
            <w:r>
              <w:rPr>
                <w:rFonts w:ascii="Arial" w:cs="Arial" w:eastAsia="Arial" w:hAnsi="Arial"/>
                <w:sz w:val="14"/>
                <w:szCs w:val="14"/>
                <w:b w:val="1"/>
                <w:bCs w:val="1"/>
                <w:color w:val="auto"/>
              </w:rPr>
              <w:t>April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ind w:right="443"/>
              <w:spacing w:after="0" w:line="145" w:lineRule="exact"/>
              <w:rPr>
                <w:sz w:val="20"/>
                <w:szCs w:val="20"/>
                <w:color w:val="auto"/>
              </w:rPr>
            </w:pPr>
            <w:r>
              <w:rPr>
                <w:rFonts w:ascii="Arial" w:cs="Arial" w:eastAsia="Arial" w:hAnsi="Arial"/>
                <w:sz w:val="14"/>
                <w:szCs w:val="14"/>
                <w:b w:val="1"/>
                <w:bCs w:val="1"/>
                <w:color w:val="auto"/>
              </w:rPr>
              <w:t>July 3,</w:t>
            </w:r>
          </w:p>
        </w:tc>
      </w:tr>
      <w:tr>
        <w:trPr>
          <w:trHeight w:val="188"/>
        </w:trPr>
        <w:tc>
          <w:tcPr>
            <w:tcW w:w="8260" w:type="dxa"/>
            <w:vAlign w:val="bottom"/>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80"/>
        </w:trPr>
        <w:tc>
          <w:tcPr>
            <w:tcW w:w="8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liabilities</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amount recognized</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were not material for the three and nine months ended April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Related Parties and Related 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April 2, 2021 and July 3,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3,</w:t>
            </w:r>
          </w:p>
        </w:tc>
      </w:tr>
      <w:tr>
        <w:trPr>
          <w:trHeight w:val="188"/>
        </w:trPr>
        <w:tc>
          <w:tcPr>
            <w:tcW w:w="8260" w:type="dxa"/>
            <w:vAlign w:val="bottom"/>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81"/>
        </w:trPr>
        <w:tc>
          <w:tcPr>
            <w:tcW w:w="8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Partners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Notes receivable, Flash Alliance</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Forward</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Investment in Flash Partners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Flash Alliance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Flash Forward</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notes receivable and investments in Flash Ventures</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1,694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During the three and nine months ended April 2, 2021 and during the three and nine months ended April 3, 2020, the Company made net payments to Flash Ventures of $1.14 billion and $3.33 billion, and $842 million and $2.36 billion, respectively, for purchased flash-based memory wafers and net loans and investments.</w:t>
      </w:r>
    </w:p>
    <w:p>
      <w:pPr>
        <w:spacing w:after="0" w:line="21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84"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As of April 2, 2021 and July 3, 2020, the Company had Accounts payable balances due to Flash Ventures of $397 million and $407 million, respectively.</w:t>
      </w:r>
    </w:p>
    <w:p>
      <w:pPr>
        <w:spacing w:after="0" w:line="197" w:lineRule="exact"/>
        <w:rPr>
          <w:sz w:val="20"/>
          <w:szCs w:val="20"/>
          <w:color w:val="auto"/>
        </w:rPr>
      </w:pPr>
    </w:p>
    <w:p>
      <w:pPr>
        <w:ind w:right="80" w:firstLine="324"/>
        <w:spacing w:after="0" w:line="295"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April 2, 2021,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6"/>
        </w:trPr>
        <w:tc>
          <w:tcPr>
            <w:tcW w:w="9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2"/>
              <w:spacing w:after="0" w:line="146" w:lineRule="exact"/>
              <w:rPr>
                <w:sz w:val="20"/>
                <w:szCs w:val="20"/>
                <w:color w:val="auto"/>
              </w:rPr>
            </w:pPr>
            <w:r>
              <w:rPr>
                <w:rFonts w:ascii="Arial" w:cs="Arial" w:eastAsia="Arial" w:hAnsi="Arial"/>
                <w:sz w:val="14"/>
                <w:szCs w:val="14"/>
                <w:b w:val="1"/>
                <w:bCs w:val="1"/>
                <w:color w:val="auto"/>
              </w:rPr>
              <w:t>April 2,</w:t>
            </w:r>
          </w:p>
        </w:tc>
      </w:tr>
      <w:tr>
        <w:trPr>
          <w:trHeight w:val="188"/>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2021</w:t>
            </w:r>
          </w:p>
        </w:tc>
      </w:tr>
      <w:tr>
        <w:trPr>
          <w:trHeight w:val="180"/>
        </w:trPr>
        <w:tc>
          <w:tcPr>
            <w:tcW w:w="9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i w:val="1"/>
                <w:iCs w:val="1"/>
                <w:color w:val="auto"/>
                <w:w w:val="98"/>
              </w:rPr>
              <w:t>(in millions)</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213"/>
        </w:trPr>
        <w:tc>
          <w:tcPr>
            <w:tcW w:w="980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1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guarantees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Inventory and prepayments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r>
      <w:tr>
        <w:trPr>
          <w:trHeight w:val="238"/>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Maximum estimable loss exposure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0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June 2019, an unexpected power outage incident occurred at the flash-based memory manufacturing facilities operated in Yokkaichi, Japan. The power outage incident impacted the facilities and process tools and resulted in damage to flash wafers in production and a reduction in the Company’s flash wafer availability. As a result of this incident, the Company incurred charges of $68 million for the nine months ended April 3, 2020, which were recorded in Cost of revenue and primarily consisted of unabsorbed manufacturing overhead costs. During the nine months ended April 2, 2021, the Company recovered $75 million related to this incident from its insurance carriers, which was recorded in Cost of revenue.</w:t>
      </w:r>
    </w:p>
    <w:p>
      <w:pPr>
        <w:spacing w:after="0" w:line="203"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May 2019, the Company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K1 is now fully operational. In connection with the start-up of this facility, the Company agreed to prepay an aggregate of approximately $360 million over a 3-year period beginning in the first half of fiscal year 2020 toward K1 building depreciation, to be credited against future wafer charges. As of April 2, 2021, remaining committed prepayments totaled $108 million.</w:t>
      </w:r>
    </w:p>
    <w:p>
      <w:pPr>
        <w:spacing w:after="0" w:line="20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97"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4" w:lineRule="exact"/>
        <w:rPr>
          <w:sz w:val="20"/>
          <w:szCs w:val="20"/>
          <w:color w:val="auto"/>
        </w:rPr>
      </w:pPr>
    </w:p>
    <w:p>
      <w:pPr>
        <w:ind w:right="140" w:firstLine="324"/>
        <w:spacing w:after="0" w:line="269"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April 2, 2021.</w:t>
      </w: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45"/>
              <w:spacing w:after="0"/>
              <w:rPr>
                <w:sz w:val="20"/>
                <w:szCs w:val="20"/>
                <w:color w:val="auto"/>
              </w:rPr>
            </w:pPr>
            <w:r>
              <w:rPr>
                <w:rFonts w:ascii="Arial" w:cs="Arial" w:eastAsia="Arial" w:hAnsi="Arial"/>
                <w:sz w:val="14"/>
                <w:szCs w:val="14"/>
                <w:b w:val="1"/>
                <w:bCs w:val="1"/>
                <w:color w:val="auto"/>
              </w:rPr>
              <w:t>Lease Amounts</w:t>
            </w:r>
          </w:p>
        </w:tc>
      </w:tr>
      <w:tr>
        <w:trPr>
          <w:trHeight w:val="134"/>
        </w:trPr>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26"/>
              <w:spacing w:after="0" w:line="135" w:lineRule="exact"/>
              <w:rPr>
                <w:sz w:val="20"/>
                <w:szCs w:val="20"/>
                <w:color w:val="auto"/>
              </w:rPr>
            </w:pPr>
            <w:r>
              <w:rPr>
                <w:rFonts w:ascii="Arial" w:cs="Arial" w:eastAsia="Arial" w:hAnsi="Arial"/>
                <w:sz w:val="14"/>
                <w:szCs w:val="14"/>
                <w:i w:val="1"/>
                <w:iCs w:val="1"/>
                <w:color w:val="auto"/>
                <w:w w:val="90"/>
              </w:rPr>
              <w:t>(Japanese yen, in</w:t>
            </w:r>
          </w:p>
        </w:tc>
        <w:tc>
          <w:tcPr>
            <w:tcW w:w="260" w:type="dxa"/>
            <w:vAlign w:val="bottom"/>
          </w:tcPr>
          <w:p>
            <w:pPr>
              <w:spacing w:after="0"/>
              <w:rPr>
                <w:sz w:val="11"/>
                <w:szCs w:val="11"/>
                <w:color w:val="auto"/>
              </w:rPr>
            </w:pPr>
          </w:p>
        </w:tc>
        <w:tc>
          <w:tcPr>
            <w:tcW w:w="1240" w:type="dxa"/>
            <w:vAlign w:val="bottom"/>
          </w:tcPr>
          <w:p>
            <w:pPr>
              <w:jc w:val="center"/>
              <w:ind w:right="105"/>
              <w:spacing w:after="0" w:line="135" w:lineRule="exact"/>
              <w:rPr>
                <w:sz w:val="20"/>
                <w:szCs w:val="20"/>
                <w:color w:val="auto"/>
              </w:rPr>
            </w:pPr>
            <w:r>
              <w:rPr>
                <w:rFonts w:ascii="Arial" w:cs="Arial" w:eastAsia="Arial" w:hAnsi="Arial"/>
                <w:sz w:val="14"/>
                <w:szCs w:val="14"/>
                <w:i w:val="1"/>
                <w:iCs w:val="1"/>
                <w:color w:val="auto"/>
                <w:w w:val="96"/>
              </w:rPr>
              <w:t>(U.S. dollar, in</w:t>
            </w:r>
          </w:p>
        </w:tc>
      </w:tr>
      <w:tr>
        <w:trPr>
          <w:trHeight w:val="186"/>
        </w:trPr>
        <w:tc>
          <w:tcPr>
            <w:tcW w:w="8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26"/>
              <w:spacing w:after="0"/>
              <w:rPr>
                <w:sz w:val="20"/>
                <w:szCs w:val="20"/>
                <w:color w:val="auto"/>
              </w:rPr>
            </w:pPr>
            <w:r>
              <w:rPr>
                <w:rFonts w:ascii="Arial" w:cs="Arial" w:eastAsia="Arial" w:hAnsi="Arial"/>
                <w:sz w:val="14"/>
                <w:szCs w:val="14"/>
                <w:i w:val="1"/>
                <w:iCs w:val="1"/>
                <w:color w:val="auto"/>
              </w:rPr>
              <w:t>billions)</w:t>
            </w:r>
          </w:p>
        </w:tc>
        <w:tc>
          <w:tcPr>
            <w:tcW w:w="26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rPr>
              <w:t>millions)</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guarantee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221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April 2, 2021 in U.S. dollars, based upon the Japanese yen to U.S. dollar exchange rate as of April 2, 2021:</w:t>
      </w:r>
    </w:p>
    <w:tbl>
      <w:tblPr>
        <w:tblLayout w:type="fixed"/>
        <w:tblInd w:w="0" w:type="dxa"/>
        <w:tblCellMar>
          <w:top w:w="0" w:type="dxa"/>
          <w:left w:w="0" w:type="dxa"/>
          <w:bottom w:w="0" w:type="dxa"/>
          <w:right w:w="0" w:type="dxa"/>
        </w:tblCellMar>
      </w:tblPr>
      <w:tr>
        <w:trPr>
          <w:trHeight w:val="146"/>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 Installments</w:t>
            </w:r>
          </w:p>
        </w:tc>
        <w:tc>
          <w:tcPr>
            <w:tcW w:w="1520" w:type="dxa"/>
            <w:vAlign w:val="bottom"/>
            <w:gridSpan w:val="3"/>
            <w:vMerge w:val="continue"/>
          </w:tcPr>
          <w:p>
            <w:pPr>
              <w:spacing w:after="0"/>
              <w:rPr>
                <w:sz w:val="11"/>
                <w:szCs w:val="11"/>
                <w:color w:val="auto"/>
              </w:rPr>
            </w:pPr>
          </w:p>
        </w:tc>
        <w:tc>
          <w:tcPr>
            <w:tcW w:w="15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1"/>
                <w:szCs w:val="11"/>
                <w:color w:val="auto"/>
              </w:rPr>
            </w:pPr>
          </w:p>
        </w:tc>
        <w:tc>
          <w:tcPr>
            <w:tcW w:w="13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Lease Terms</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Remaining three months of 2021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3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guarantee obligations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April 2, 2021, no amounts have been accrued in the Condensed Consolidated Financial Statements with respect to these indemnification agreements.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nine months ended April 2, 2021, the Company recognized approximately 3% of its consolidated revenue on products distributed by the Unis Venture. For both the three and nine months ended April 3, 2020, the Company recognized approximately 1% of its consolidated revenue on products distributed by the Unis Venture. The outstanding accounts receivable due from and investment in the Unis Venture were 6% and 4% of Accounts receivable, net as of April 2, 2021 and July 3,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Leases and Other Commitments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April 2, 2021: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Pr>
          <w:p>
            <w:pPr>
              <w:spacing w:after="0"/>
              <w:rPr>
                <w:sz w:val="16"/>
                <w:szCs w:val="16"/>
                <w:color w:val="auto"/>
              </w:rPr>
            </w:pPr>
          </w:p>
        </w:tc>
        <w:tc>
          <w:tcPr>
            <w:tcW w:w="1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Lease Amounts</w:t>
            </w:r>
          </w:p>
        </w:tc>
      </w:tr>
      <w:tr>
        <w:trPr>
          <w:trHeight w:val="200"/>
        </w:trPr>
        <w:tc>
          <w:tcPr>
            <w:tcW w:w="9640" w:type="dxa"/>
            <w:vAlign w:val="bottom"/>
          </w:tcPr>
          <w:p>
            <w:pPr>
              <w:ind w:left="20"/>
              <w:spacing w:after="0"/>
              <w:rPr>
                <w:sz w:val="20"/>
                <w:szCs w:val="20"/>
                <w:color w:val="auto"/>
              </w:rPr>
            </w:pPr>
            <w:r>
              <w:rPr>
                <w:rFonts w:ascii="Arial" w:cs="Arial" w:eastAsia="Arial" w:hAnsi="Arial"/>
                <w:sz w:val="16"/>
                <w:szCs w:val="16"/>
                <w:color w:val="auto"/>
              </w:rPr>
              <w:t>Minimum lease payments by fiscal year:</w:t>
            </w: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60" w:type="dxa"/>
            <w:vAlign w:val="bottom"/>
          </w:tcPr>
          <w:p>
            <w:pPr>
              <w:jc w:val="right"/>
              <w:ind w:right="300"/>
              <w:spacing w:after="0"/>
              <w:rPr>
                <w:sz w:val="20"/>
                <w:szCs w:val="20"/>
                <w:color w:val="auto"/>
              </w:rPr>
            </w:pPr>
            <w:r>
              <w:rPr>
                <w:rFonts w:ascii="Arial" w:cs="Arial" w:eastAsia="Arial" w:hAnsi="Arial"/>
                <w:sz w:val="14"/>
                <w:szCs w:val="14"/>
                <w:i w:val="1"/>
                <w:iCs w:val="1"/>
                <w:color w:val="auto"/>
                <w:w w:val="99"/>
              </w:rPr>
              <w:t>in millions)</w:t>
            </w:r>
          </w:p>
        </w:tc>
      </w:tr>
      <w:tr>
        <w:trPr>
          <w:trHeight w:val="219"/>
        </w:trPr>
        <w:tc>
          <w:tcPr>
            <w:tcW w:w="9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Remaining three months of 2021</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r>
      <w:tr>
        <w:trPr>
          <w:trHeight w:val="213"/>
        </w:trPr>
        <w:tc>
          <w:tcPr>
            <w:tcW w:w="9640" w:type="dxa"/>
            <w:vAlign w:val="bottom"/>
          </w:tcPr>
          <w:p>
            <w:pPr>
              <w:ind w:left="1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40</w:t>
            </w:r>
          </w:p>
        </w:tc>
      </w:tr>
      <w:tr>
        <w:trPr>
          <w:trHeight w:val="219"/>
        </w:trPr>
        <w:tc>
          <w:tcPr>
            <w:tcW w:w="9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r>
      <w:tr>
        <w:trPr>
          <w:trHeight w:val="213"/>
        </w:trPr>
        <w:tc>
          <w:tcPr>
            <w:tcW w:w="9640" w:type="dxa"/>
            <w:vAlign w:val="bottom"/>
          </w:tcPr>
          <w:p>
            <w:pPr>
              <w:ind w:left="14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33</w:t>
            </w:r>
          </w:p>
        </w:tc>
      </w:tr>
      <w:tr>
        <w:trPr>
          <w:trHeight w:val="219"/>
        </w:trPr>
        <w:tc>
          <w:tcPr>
            <w:tcW w:w="9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r>
      <w:tr>
        <w:trPr>
          <w:trHeight w:val="213"/>
        </w:trPr>
        <w:tc>
          <w:tcPr>
            <w:tcW w:w="9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147</w:t>
            </w:r>
          </w:p>
        </w:tc>
      </w:tr>
      <w:tr>
        <w:trPr>
          <w:trHeight w:val="213"/>
        </w:trPr>
        <w:tc>
          <w:tcPr>
            <w:tcW w:w="9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future minimum lease payments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296</w:t>
            </w:r>
          </w:p>
        </w:tc>
      </w:tr>
      <w:tr>
        <w:trPr>
          <w:trHeight w:val="213"/>
        </w:trPr>
        <w:tc>
          <w:tcPr>
            <w:tcW w:w="9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Imputed Interest</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w:t>
            </w:r>
          </w:p>
        </w:tc>
      </w:tr>
      <w:tr>
        <w:trPr>
          <w:trHeight w:val="213"/>
        </w:trPr>
        <w:tc>
          <w:tcPr>
            <w:tcW w:w="9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Present value of lease liabilities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246</w:t>
            </w:r>
          </w:p>
        </w:tc>
      </w:tr>
      <w:tr>
        <w:trPr>
          <w:trHeight w:val="213"/>
        </w:trPr>
        <w:tc>
          <w:tcPr>
            <w:tcW w:w="9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Current portion (included in Accrued expenses)</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w:t>
            </w:r>
          </w:p>
        </w:tc>
      </w:tr>
      <w:tr>
        <w:trPr>
          <w:trHeight w:val="238"/>
        </w:trPr>
        <w:tc>
          <w:tcPr>
            <w:tcW w:w="9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 (included in Other liabilities)</w:t>
            </w: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232</w:t>
            </w:r>
          </w:p>
        </w:tc>
      </w:tr>
      <w:tr>
        <w:trPr>
          <w:trHeight w:val="256"/>
        </w:trPr>
        <w:tc>
          <w:tcPr>
            <w:tcW w:w="9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8.5</w:t>
            </w:r>
          </w:p>
        </w:tc>
      </w:tr>
      <w:tr>
        <w:trPr>
          <w:trHeight w:val="210"/>
        </w:trPr>
        <w:tc>
          <w:tcPr>
            <w:tcW w:w="96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3.8 %</w:t>
            </w: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783"/>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220" w:type="dxa"/>
            <w:vAlign w:val="bottom"/>
          </w:tcPr>
          <w:p>
            <w:pPr>
              <w:spacing w:after="0"/>
              <w:rPr>
                <w:sz w:val="11"/>
                <w:szCs w:val="11"/>
                <w:color w:val="auto"/>
              </w:rPr>
            </w:pPr>
          </w:p>
        </w:tc>
        <w:tc>
          <w:tcPr>
            <w:tcW w:w="1060" w:type="dxa"/>
            <w:vAlign w:val="bottom"/>
          </w:tcPr>
          <w:p>
            <w:pPr>
              <w:jc w:val="center"/>
              <w:ind w:left="286"/>
              <w:spacing w:after="0" w:line="135" w:lineRule="exact"/>
              <w:rPr>
                <w:sz w:val="20"/>
                <w:szCs w:val="20"/>
                <w:color w:val="auto"/>
              </w:rPr>
            </w:pPr>
            <w:r>
              <w:rPr>
                <w:rFonts w:ascii="Arial" w:cs="Arial" w:eastAsia="Arial" w:hAnsi="Arial"/>
                <w:sz w:val="14"/>
                <w:szCs w:val="14"/>
                <w:b w:val="1"/>
                <w:bCs w:val="1"/>
                <w:color w:val="auto"/>
                <w:w w:val="96"/>
              </w:rPr>
              <w:t>April 2,</w:t>
            </w:r>
          </w:p>
        </w:tc>
        <w:tc>
          <w:tcPr>
            <w:tcW w:w="380" w:type="dxa"/>
            <w:vAlign w:val="bottom"/>
          </w:tcPr>
          <w:p>
            <w:pPr>
              <w:spacing w:after="0"/>
              <w:rPr>
                <w:sz w:val="11"/>
                <w:szCs w:val="11"/>
                <w:color w:val="auto"/>
              </w:rPr>
            </w:pPr>
          </w:p>
        </w:tc>
        <w:tc>
          <w:tcPr>
            <w:tcW w:w="1120" w:type="dxa"/>
            <w:vAlign w:val="bottom"/>
          </w:tcPr>
          <w:p>
            <w:pPr>
              <w:jc w:val="center"/>
              <w:ind w:left="385"/>
              <w:spacing w:after="0" w:line="135" w:lineRule="exact"/>
              <w:rPr>
                <w:sz w:val="20"/>
                <w:szCs w:val="20"/>
                <w:color w:val="auto"/>
              </w:rPr>
            </w:pPr>
            <w:r>
              <w:rPr>
                <w:rFonts w:ascii="Arial" w:cs="Arial" w:eastAsia="Arial" w:hAnsi="Arial"/>
                <w:sz w:val="14"/>
                <w:szCs w:val="14"/>
                <w:b w:val="1"/>
                <w:bCs w:val="1"/>
                <w:color w:val="auto"/>
                <w:w w:val="96"/>
              </w:rPr>
              <w:t>April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jc w:val="right"/>
              <w:ind w:right="444"/>
              <w:spacing w:after="0" w:line="135"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c>
          <w:tcPr>
            <w:tcW w:w="1140" w:type="dxa"/>
            <w:vAlign w:val="bottom"/>
          </w:tcPr>
          <w:p>
            <w:pPr>
              <w:jc w:val="right"/>
              <w:ind w:right="403"/>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220" w:type="dxa"/>
            <w:vAlign w:val="bottom"/>
          </w:tcPr>
          <w:p>
            <w:pPr>
              <w:spacing w:after="0"/>
              <w:rPr>
                <w:sz w:val="16"/>
                <w:szCs w:val="16"/>
                <w:color w:val="auto"/>
              </w:rPr>
            </w:pPr>
          </w:p>
        </w:tc>
        <w:tc>
          <w:tcPr>
            <w:tcW w:w="10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81"/>
        </w:trPr>
        <w:tc>
          <w:tcPr>
            <w:tcW w:w="5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1060" w:type="dxa"/>
            <w:vAlign w:val="bottom"/>
            <w:shd w:val="clear" w:color="auto" w:fill="CCEEFF"/>
          </w:tcPr>
          <w:p>
            <w:pPr>
              <w:jc w:val="right"/>
              <w:ind w:right="886"/>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12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37</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Cash paid for operating leases</w:t>
            </w:r>
          </w:p>
        </w:tc>
        <w:tc>
          <w:tcPr>
            <w:tcW w:w="106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Operating lease assets obtained in exchange for operating lease liabilities</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5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April 2, 2021, the Company had the following minimum long-term commitments:</w:t>
      </w:r>
    </w:p>
    <w:tbl>
      <w:tblPr>
        <w:tblLayout w:type="fixed"/>
        <w:tblInd w:w="40" w:type="dxa"/>
        <w:tblCellMar>
          <w:top w:w="0" w:type="dxa"/>
          <w:left w:w="0" w:type="dxa"/>
          <w:bottom w:w="0" w:type="dxa"/>
          <w:right w:w="0" w:type="dxa"/>
        </w:tblCellMar>
      </w:tblPr>
      <w:tr>
        <w:trPr>
          <w:trHeight w:val="145"/>
        </w:trPr>
        <w:tc>
          <w:tcPr>
            <w:tcW w:w="9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42"/>
              <w:spacing w:after="0" w:line="145" w:lineRule="exact"/>
              <w:rPr>
                <w:sz w:val="20"/>
                <w:szCs w:val="20"/>
                <w:color w:val="auto"/>
              </w:rPr>
            </w:pPr>
            <w:r>
              <w:rPr>
                <w:rFonts w:ascii="Arial" w:cs="Arial" w:eastAsia="Arial" w:hAnsi="Arial"/>
                <w:sz w:val="14"/>
                <w:szCs w:val="14"/>
                <w:b w:val="1"/>
                <w:bCs w:val="1"/>
                <w:color w:val="auto"/>
                <w:w w:val="95"/>
              </w:rPr>
              <w:t>Long-term</w:t>
            </w:r>
          </w:p>
        </w:tc>
      </w:tr>
      <w:tr>
        <w:trPr>
          <w:trHeight w:val="188"/>
        </w:trPr>
        <w:tc>
          <w:tcPr>
            <w:tcW w:w="9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commitments</w:t>
            </w:r>
          </w:p>
        </w:tc>
      </w:tr>
      <w:tr>
        <w:trPr>
          <w:trHeight w:val="180"/>
        </w:trPr>
        <w:tc>
          <w:tcPr>
            <w:tcW w:w="9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i w:val="1"/>
                <w:iCs w:val="1"/>
                <w:color w:val="auto"/>
              </w:rPr>
              <w:t>(in millions)</w:t>
            </w:r>
          </w:p>
        </w:tc>
      </w:tr>
      <w:tr>
        <w:trPr>
          <w:trHeight w:val="219"/>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9740" w:type="dxa"/>
            <w:vAlign w:val="bottom"/>
          </w:tcPr>
          <w:p>
            <w:pPr>
              <w:ind w:left="140"/>
              <w:spacing w:after="0"/>
              <w:rPr>
                <w:sz w:val="20"/>
                <w:szCs w:val="20"/>
                <w:color w:val="auto"/>
              </w:rPr>
            </w:pPr>
            <w:r>
              <w:rPr>
                <w:rFonts w:ascii="Arial" w:cs="Arial" w:eastAsia="Arial" w:hAnsi="Arial"/>
                <w:sz w:val="16"/>
                <w:szCs w:val="16"/>
                <w:color w:val="auto"/>
              </w:rPr>
              <w:t>Remaining three months of 2021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106</w:t>
            </w:r>
          </w:p>
        </w:tc>
      </w:tr>
      <w:tr>
        <w:trPr>
          <w:trHeight w:val="219"/>
        </w:trPr>
        <w:tc>
          <w:tcPr>
            <w:tcW w:w="9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583</w:t>
            </w:r>
          </w:p>
        </w:tc>
      </w:tr>
      <w:tr>
        <w:trPr>
          <w:trHeight w:val="213"/>
        </w:trPr>
        <w:tc>
          <w:tcPr>
            <w:tcW w:w="9740" w:type="dxa"/>
            <w:vAlign w:val="bottom"/>
          </w:tcPr>
          <w:p>
            <w:pPr>
              <w:ind w:left="14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498</w:t>
            </w:r>
          </w:p>
        </w:tc>
      </w:tr>
      <w:tr>
        <w:trPr>
          <w:trHeight w:val="219"/>
        </w:trPr>
        <w:tc>
          <w:tcPr>
            <w:tcW w:w="9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314</w:t>
            </w:r>
          </w:p>
        </w:tc>
      </w:tr>
      <w:tr>
        <w:trPr>
          <w:trHeight w:val="213"/>
        </w:trPr>
        <w:tc>
          <w:tcPr>
            <w:tcW w:w="9740" w:type="dxa"/>
            <w:vAlign w:val="bottom"/>
          </w:tcPr>
          <w:p>
            <w:pPr>
              <w:ind w:left="14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148</w:t>
            </w:r>
          </w:p>
        </w:tc>
      </w:tr>
      <w:tr>
        <w:trPr>
          <w:trHeight w:val="216"/>
        </w:trPr>
        <w:tc>
          <w:tcPr>
            <w:tcW w:w="9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w:t>
            </w:r>
          </w:p>
        </w:tc>
      </w:tr>
      <w:tr>
        <w:trPr>
          <w:trHeight w:val="213"/>
        </w:trPr>
        <w:tc>
          <w:tcPr>
            <w:tcW w:w="974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1,839</w:t>
            </w:r>
          </w:p>
        </w:tc>
      </w:tr>
      <w:tr>
        <w:trPr>
          <w:trHeight w:val="20"/>
        </w:trPr>
        <w:tc>
          <w:tcPr>
            <w:tcW w:w="9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5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(i.e., stock options,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220" w:type="dxa"/>
            <w:vAlign w:val="bottom"/>
          </w:tcPr>
          <w:p>
            <w:pPr>
              <w:spacing w:after="0"/>
              <w:rPr>
                <w:sz w:val="11"/>
                <w:szCs w:val="11"/>
                <w:color w:val="auto"/>
              </w:rPr>
            </w:pPr>
          </w:p>
        </w:tc>
        <w:tc>
          <w:tcPr>
            <w:tcW w:w="1040" w:type="dxa"/>
            <w:vAlign w:val="bottom"/>
          </w:tcPr>
          <w:p>
            <w:pPr>
              <w:jc w:val="center"/>
              <w:ind w:left="304"/>
              <w:spacing w:after="0" w:line="135" w:lineRule="exact"/>
              <w:rPr>
                <w:sz w:val="20"/>
                <w:szCs w:val="20"/>
                <w:color w:val="auto"/>
              </w:rPr>
            </w:pPr>
            <w:r>
              <w:rPr>
                <w:rFonts w:ascii="Arial" w:cs="Arial" w:eastAsia="Arial" w:hAnsi="Arial"/>
                <w:sz w:val="14"/>
                <w:szCs w:val="14"/>
                <w:b w:val="1"/>
                <w:bCs w:val="1"/>
                <w:color w:val="auto"/>
                <w:w w:val="96"/>
              </w:rPr>
              <w:t>April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04"/>
              <w:spacing w:after="0" w:line="135" w:lineRule="exact"/>
              <w:rPr>
                <w:sz w:val="20"/>
                <w:szCs w:val="20"/>
                <w:color w:val="auto"/>
              </w:rPr>
            </w:pPr>
            <w:r>
              <w:rPr>
                <w:rFonts w:ascii="Arial" w:cs="Arial" w:eastAsia="Arial" w:hAnsi="Arial"/>
                <w:sz w:val="14"/>
                <w:szCs w:val="14"/>
                <w:b w:val="1"/>
                <w:bCs w:val="1"/>
                <w:color w:val="auto"/>
                <w:w w:val="96"/>
              </w:rPr>
              <w:t>April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1"/>
                <w:szCs w:val="11"/>
                <w:color w:val="auto"/>
              </w:rPr>
            </w:pPr>
          </w:p>
        </w:tc>
        <w:tc>
          <w:tcPr>
            <w:tcW w:w="1140" w:type="dxa"/>
            <w:vAlign w:val="bottom"/>
          </w:tcPr>
          <w:p>
            <w:pPr>
              <w:jc w:val="center"/>
              <w:ind w:right="222"/>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220" w:type="dxa"/>
            <w:vAlign w:val="bottom"/>
          </w:tcPr>
          <w:p>
            <w:pPr>
              <w:spacing w:after="0"/>
              <w:rPr>
                <w:sz w:val="16"/>
                <w:szCs w:val="16"/>
                <w:color w:val="auto"/>
              </w:rPr>
            </w:pPr>
          </w:p>
        </w:tc>
        <w:tc>
          <w:tcPr>
            <w:tcW w:w="104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9"/>
              </w:rPr>
              <w:t>2020</w:t>
            </w:r>
          </w:p>
        </w:tc>
      </w:tr>
      <w:tr>
        <w:trPr>
          <w:trHeight w:val="181"/>
        </w:trPr>
        <w:tc>
          <w:tcPr>
            <w:tcW w:w="5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RSUs and PSUs</w:t>
            </w:r>
          </w:p>
        </w:tc>
        <w:tc>
          <w:tcPr>
            <w:tcW w:w="10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73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83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1"/>
        </w:trPr>
        <w:tc>
          <w:tcPr>
            <w:tcW w:w="5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28"/>
        </w:trPr>
        <w:tc>
          <w:tcPr>
            <w:tcW w:w="522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5220" w:type="dxa"/>
            <w:vAlign w:val="bottom"/>
          </w:tcPr>
          <w:p>
            <w:pPr>
              <w:spacing w:after="0"/>
              <w:rPr>
                <w:sz w:val="11"/>
                <w:szCs w:val="11"/>
                <w:color w:val="auto"/>
              </w:rPr>
            </w:pPr>
          </w:p>
        </w:tc>
        <w:tc>
          <w:tcPr>
            <w:tcW w:w="1040" w:type="dxa"/>
            <w:vAlign w:val="bottom"/>
          </w:tcPr>
          <w:p>
            <w:pPr>
              <w:jc w:val="center"/>
              <w:ind w:left="304"/>
              <w:spacing w:after="0" w:line="135" w:lineRule="exact"/>
              <w:rPr>
                <w:sz w:val="20"/>
                <w:szCs w:val="20"/>
                <w:color w:val="auto"/>
              </w:rPr>
            </w:pPr>
            <w:r>
              <w:rPr>
                <w:rFonts w:ascii="Arial" w:cs="Arial" w:eastAsia="Arial" w:hAnsi="Arial"/>
                <w:sz w:val="14"/>
                <w:szCs w:val="14"/>
                <w:b w:val="1"/>
                <w:bCs w:val="1"/>
                <w:color w:val="auto"/>
                <w:w w:val="96"/>
              </w:rPr>
              <w:t>April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04"/>
              <w:spacing w:after="0" w:line="135" w:lineRule="exact"/>
              <w:rPr>
                <w:sz w:val="20"/>
                <w:szCs w:val="20"/>
                <w:color w:val="auto"/>
              </w:rPr>
            </w:pPr>
            <w:r>
              <w:rPr>
                <w:rFonts w:ascii="Arial" w:cs="Arial" w:eastAsia="Arial" w:hAnsi="Arial"/>
                <w:sz w:val="14"/>
                <w:szCs w:val="14"/>
                <w:b w:val="1"/>
                <w:bCs w:val="1"/>
                <w:color w:val="auto"/>
                <w:w w:val="96"/>
              </w:rPr>
              <w:t>April 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1"/>
                <w:szCs w:val="11"/>
                <w:color w:val="auto"/>
              </w:rPr>
            </w:pPr>
          </w:p>
        </w:tc>
        <w:tc>
          <w:tcPr>
            <w:tcW w:w="1140" w:type="dxa"/>
            <w:vAlign w:val="bottom"/>
          </w:tcPr>
          <w:p>
            <w:pPr>
              <w:jc w:val="center"/>
              <w:ind w:right="222"/>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220" w:type="dxa"/>
            <w:vAlign w:val="bottom"/>
          </w:tcPr>
          <w:p>
            <w:pPr>
              <w:spacing w:after="0"/>
              <w:rPr>
                <w:sz w:val="16"/>
                <w:szCs w:val="16"/>
                <w:color w:val="auto"/>
              </w:rPr>
            </w:pPr>
          </w:p>
        </w:tc>
        <w:tc>
          <w:tcPr>
            <w:tcW w:w="104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89"/>
              </w:rPr>
              <w:t>2020</w:t>
            </w:r>
          </w:p>
        </w:tc>
      </w:tr>
      <w:tr>
        <w:trPr>
          <w:trHeight w:val="180"/>
        </w:trPr>
        <w:tc>
          <w:tcPr>
            <w:tcW w:w="5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6"/>
        </w:trPr>
        <w:tc>
          <w:tcPr>
            <w:tcW w:w="5220" w:type="dxa"/>
            <w:vAlign w:val="bottom"/>
          </w:tcPr>
          <w:p>
            <w:pPr>
              <w:ind w:left="140"/>
              <w:spacing w:after="0"/>
              <w:rPr>
                <w:sz w:val="20"/>
                <w:szCs w:val="20"/>
                <w:color w:val="auto"/>
              </w:rPr>
            </w:pPr>
            <w:r>
              <w:rPr>
                <w:rFonts w:ascii="Arial" w:cs="Arial" w:eastAsia="Arial" w:hAnsi="Arial"/>
                <w:sz w:val="16"/>
                <w:szCs w:val="16"/>
                <w:color w:val="auto"/>
              </w:rPr>
              <w:t>Subtotal</w:t>
            </w:r>
          </w:p>
        </w:tc>
        <w:tc>
          <w:tcPr>
            <w:tcW w:w="104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(11)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72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0"/>
        </w:trPr>
        <w:tc>
          <w:tcPr>
            <w:tcW w:w="5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19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Compensation cost related to unvested stock options,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April 2, 2021:</w:t>
      </w:r>
    </w:p>
    <w:tbl>
      <w:tblPr>
        <w:tblLayout w:type="fixed"/>
        <w:tblInd w:w="0" w:type="dxa"/>
        <w:tblCellMar>
          <w:top w:w="0" w:type="dxa"/>
          <w:left w:w="0" w:type="dxa"/>
          <w:bottom w:w="0" w:type="dxa"/>
          <w:right w:w="0" w:type="dxa"/>
        </w:tblCellMar>
      </w:tblPr>
      <w:tr>
        <w:trPr>
          <w:trHeight w:val="146"/>
        </w:trPr>
        <w:tc>
          <w:tcPr>
            <w:tcW w:w="8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43"/>
              <w:spacing w:after="0" w:line="147"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 Average</w:t>
            </w:r>
          </w:p>
        </w:tc>
      </w:tr>
      <w:tr>
        <w:trPr>
          <w:trHeight w:val="188"/>
        </w:trPr>
        <w:tc>
          <w:tcPr>
            <w:tcW w:w="8260" w:type="dxa"/>
            <w:vAlign w:val="bottom"/>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Service Period</w:t>
            </w:r>
          </w:p>
        </w:tc>
      </w:tr>
      <w:tr>
        <w:trPr>
          <w:trHeight w:val="180"/>
        </w:trPr>
        <w:tc>
          <w:tcPr>
            <w:tcW w:w="8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2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19"/>
        </w:trPr>
        <w:tc>
          <w:tcPr>
            <w:tcW w:w="8260" w:type="dxa"/>
            <w:vAlign w:val="bottom"/>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5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0.4</w:t>
            </w:r>
          </w:p>
        </w:tc>
      </w:tr>
      <w:tr>
        <w:trPr>
          <w:trHeight w:val="23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unamortized compensation cost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metrics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2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2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Exercise Price Per</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32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(in years)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outstanding at July 3, 2020</w:t>
            </w:r>
          </w:p>
        </w:tc>
        <w:tc>
          <w:tcPr>
            <w:tcW w:w="1420" w:type="dxa"/>
            <w:vAlign w:val="bottom"/>
            <w:shd w:val="clear" w:color="auto" w:fill="CCEEFF"/>
          </w:tcPr>
          <w:p>
            <w:pPr>
              <w:jc w:val="center"/>
              <w:ind w:left="1022"/>
              <w:spacing w:after="0"/>
              <w:rPr>
                <w:sz w:val="20"/>
                <w:szCs w:val="20"/>
                <w:color w:val="auto"/>
              </w:rPr>
            </w:pPr>
            <w:r>
              <w:rPr>
                <w:rFonts w:ascii="Arial" w:cs="Arial" w:eastAsia="Arial" w:hAnsi="Arial"/>
                <w:sz w:val="16"/>
                <w:szCs w:val="16"/>
                <w:color w:val="auto"/>
                <w:w w:val="89"/>
              </w:rPr>
              <w:t>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rPr>
              <w:t>Exercised</w:t>
            </w:r>
          </w:p>
        </w:tc>
        <w:tc>
          <w:tcPr>
            <w:tcW w:w="1420" w:type="dxa"/>
            <w:vAlign w:val="bottom"/>
          </w:tcPr>
          <w:p>
            <w:pPr>
              <w:jc w:val="center"/>
              <w:ind w:left="982"/>
              <w:spacing w:after="0"/>
              <w:rPr>
                <w:sz w:val="20"/>
                <w:szCs w:val="20"/>
                <w:color w:val="auto"/>
              </w:rPr>
            </w:pPr>
            <w:r>
              <w:rPr>
                <w:rFonts w:ascii="Arial" w:cs="Arial" w:eastAsia="Arial" w:hAnsi="Arial"/>
                <w:sz w:val="16"/>
                <w:szCs w:val="16"/>
                <w:color w:val="auto"/>
                <w:w w:val="97"/>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auto"/>
            </w:tcBorders>
            <w:shd w:val="clear" w:color="auto" w:fill="CCEEFF"/>
          </w:tcPr>
          <w:p>
            <w:pPr>
              <w:jc w:val="center"/>
              <w:ind w:left="982"/>
              <w:spacing w:after="0"/>
              <w:rPr>
                <w:sz w:val="20"/>
                <w:szCs w:val="20"/>
                <w:color w:val="auto"/>
              </w:rPr>
            </w:pPr>
            <w:r>
              <w:rPr>
                <w:rFonts w:ascii="Arial" w:cs="Arial" w:eastAsia="Arial" w:hAnsi="Arial"/>
                <w:sz w:val="16"/>
                <w:szCs w:val="16"/>
                <w:color w:val="auto"/>
                <w:w w:val="97"/>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Options outstanding at April 2, 2021</w:t>
            </w:r>
          </w:p>
        </w:tc>
        <w:tc>
          <w:tcPr>
            <w:tcW w:w="1420" w:type="dxa"/>
            <w:vAlign w:val="bottom"/>
            <w:tcBorders>
              <w:bottom w:val="single" w:sz="8" w:color="auto"/>
            </w:tcBorders>
          </w:tcPr>
          <w:p>
            <w:pPr>
              <w:jc w:val="center"/>
              <w:ind w:left="1022"/>
              <w:spacing w:after="0"/>
              <w:rPr>
                <w:sz w:val="20"/>
                <w:szCs w:val="20"/>
                <w:color w:val="auto"/>
              </w:rPr>
            </w:pPr>
            <w:r>
              <w:rPr>
                <w:rFonts w:ascii="Arial" w:cs="Arial" w:eastAsia="Arial" w:hAnsi="Arial"/>
                <w:sz w:val="16"/>
                <w:szCs w:val="16"/>
                <w:color w:val="auto"/>
                <w:w w:val="89"/>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72.26</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1.45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at April 2, 2021</w:t>
            </w:r>
          </w:p>
        </w:tc>
        <w:tc>
          <w:tcPr>
            <w:tcW w:w="1420" w:type="dxa"/>
            <w:vAlign w:val="bottom"/>
            <w:shd w:val="clear" w:color="auto" w:fill="CCEEFF"/>
          </w:tcPr>
          <w:p>
            <w:pPr>
              <w:jc w:val="center"/>
              <w:ind w:left="1022"/>
              <w:spacing w:after="0"/>
              <w:rPr>
                <w:sz w:val="20"/>
                <w:szCs w:val="20"/>
                <w:color w:val="auto"/>
              </w:rPr>
            </w:pPr>
            <w:r>
              <w:rPr>
                <w:rFonts w:ascii="Arial" w:cs="Arial" w:eastAsia="Arial" w:hAnsi="Arial"/>
                <w:sz w:val="16"/>
                <w:szCs w:val="16"/>
                <w:color w:val="auto"/>
                <w:w w:val="89"/>
              </w:rPr>
              <w:t>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320" w:type="dxa"/>
            <w:vAlign w:val="bottom"/>
          </w:tcPr>
          <w:p>
            <w:pPr>
              <w:jc w:val="center"/>
              <w:ind w:right="46"/>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Grant Date Fair Value</w:t>
            </w:r>
          </w:p>
        </w:tc>
        <w:tc>
          <w:tcPr>
            <w:tcW w:w="120" w:type="dxa"/>
            <w:vAlign w:val="bottom"/>
          </w:tcPr>
          <w:p>
            <w:pPr>
              <w:spacing w:after="0"/>
              <w:rPr>
                <w:sz w:val="16"/>
                <w:szCs w:val="16"/>
                <w:color w:val="auto"/>
              </w:rPr>
            </w:pPr>
          </w:p>
        </w:tc>
        <w:tc>
          <w:tcPr>
            <w:tcW w:w="1320" w:type="dxa"/>
            <w:vAlign w:val="bottom"/>
          </w:tcPr>
          <w:p>
            <w:pPr>
              <w:jc w:val="center"/>
              <w:ind w:right="46"/>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142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26"/>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July 3,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36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April 2,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5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Company’s Board of Directors has authorized a stock repurchase program for the repurchase of up to $5.0 billion of the Company’s common stock, which authorization is effective through July 25, 2023. The Company did not make any stock repurchases during the nine months ended April 2, 2021 and has not repurchased any shares of its common stock pursuant to its stock repurchase program since the first quarter of fiscal 2019. The remaining amount available to be repurchased under the Company’s current stock repurchase program as of April 2, 2021 was $4.5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issued a quarterly cash dividend from the first quarter of fiscal 2013 up to the third quarter of fiscal 2020. In April 2020, the Company suspended its dividend to reinvest in the business and to support its ongoing deleveraging efforts.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 Expense</w:t>
      </w:r>
    </w:p>
    <w:p>
      <w:pPr>
        <w:spacing w:after="0" w:line="25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9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March 27, 2020, the Coronavirus Aid, Relief, and Economic Security Act (the “CARES Act”) was enacted in response to the COVID-19 pandemic in the U.S. The CARES Act, among other things, allows net operating losses arising in tax years 2018, 2019, and 2020 to be carried back to each of the five preceding taxable years to generate a refund of previously paid income taxes and increases the business interest expense limitation from 30% to 50% of adjusted taxable income for tax years 2019 and 2020. Additionally, countries around the world continue to implement emergency tax measures to provide relief similar to the CARES Act. The Company at present does not expect that any of the provisions of the CARES Act or the emergency tax measures around the world would result in a material cash benefit.</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December 27, 2020, the Consolidated Appropriations Act (the “Appropriations Act”) was enacted to fund the federal government through their fiscal year, extend certain expiring tax provisions and provide additional emergency relief to individuals and businesses related to the COVID-19 pandemic in the U.S. The Company at present does not expect any of the provisions of the Appropriations Act to have a material impact on its Consolidated Financial Statements.</w:t>
      </w:r>
    </w:p>
    <w:p>
      <w:pPr>
        <w:spacing w:after="0" w:line="21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On March 11, 2021, the American Rescue Plan Act of 2021 (the “Rescue Act”) was enacted to provide additional emergency relief to individuals and businesses related to the COVID-19 pandemic in the U.S. The Rescue Act includes certain business-related provisions, which the Company at present does not expect to have a material impact on its Consolidated Financial Statements. The Company continues to monitor and evaluate the regulatory and interpretive guidance related to the CARES Act, the Appropriations Act and the Rescue Act, as well as legislation in other jurisdictions.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4900" w:type="dxa"/>
            <w:vAlign w:val="bottom"/>
          </w:tcPr>
          <w:p>
            <w:pPr>
              <w:spacing w:after="0"/>
              <w:rPr>
                <w:sz w:val="11"/>
                <w:szCs w:val="11"/>
                <w:color w:val="auto"/>
              </w:rPr>
            </w:pPr>
          </w:p>
        </w:tc>
        <w:tc>
          <w:tcPr>
            <w:tcW w:w="1020" w:type="dxa"/>
            <w:vAlign w:val="bottom"/>
          </w:tcPr>
          <w:p>
            <w:pPr>
              <w:jc w:val="center"/>
              <w:ind w:left="426"/>
              <w:spacing w:after="0" w:line="135" w:lineRule="exact"/>
              <w:rPr>
                <w:sz w:val="20"/>
                <w:szCs w:val="20"/>
                <w:color w:val="auto"/>
              </w:rPr>
            </w:pPr>
            <w:r>
              <w:rPr>
                <w:rFonts w:ascii="Arial" w:cs="Arial" w:eastAsia="Arial" w:hAnsi="Arial"/>
                <w:sz w:val="14"/>
                <w:szCs w:val="14"/>
                <w:b w:val="1"/>
                <w:bCs w:val="1"/>
                <w:color w:val="auto"/>
              </w:rPr>
              <w:t>April 2,</w:t>
            </w:r>
          </w:p>
        </w:tc>
        <w:tc>
          <w:tcPr>
            <w:tcW w:w="540" w:type="dxa"/>
            <w:vAlign w:val="bottom"/>
          </w:tcPr>
          <w:p>
            <w:pPr>
              <w:spacing w:after="0"/>
              <w:rPr>
                <w:sz w:val="11"/>
                <w:szCs w:val="11"/>
                <w:color w:val="auto"/>
              </w:rPr>
            </w:pPr>
          </w:p>
        </w:tc>
        <w:tc>
          <w:tcPr>
            <w:tcW w:w="1100" w:type="dxa"/>
            <w:vAlign w:val="bottom"/>
          </w:tcPr>
          <w:p>
            <w:pPr>
              <w:jc w:val="center"/>
              <w:ind w:left="425"/>
              <w:spacing w:after="0" w:line="135" w:lineRule="exact"/>
              <w:rPr>
                <w:sz w:val="20"/>
                <w:szCs w:val="20"/>
                <w:color w:val="auto"/>
              </w:rPr>
            </w:pPr>
            <w:r>
              <w:rPr>
                <w:rFonts w:ascii="Arial" w:cs="Arial" w:eastAsia="Arial" w:hAnsi="Arial"/>
                <w:sz w:val="14"/>
                <w:szCs w:val="14"/>
                <w:b w:val="1"/>
                <w:bCs w:val="1"/>
                <w:color w:val="auto"/>
              </w:rPr>
              <w:t>April 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jc w:val="right"/>
              <w:ind w:right="484"/>
              <w:spacing w:after="0" w:line="135"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c>
          <w:tcPr>
            <w:tcW w:w="1200" w:type="dxa"/>
            <w:vAlign w:val="bottom"/>
          </w:tcPr>
          <w:p>
            <w:pPr>
              <w:jc w:val="right"/>
              <w:ind w:right="443"/>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4900" w:type="dxa"/>
            <w:vAlign w:val="bottom"/>
          </w:tcPr>
          <w:p>
            <w:pPr>
              <w:spacing w:after="0"/>
              <w:rPr>
                <w:sz w:val="16"/>
                <w:szCs w:val="16"/>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r>
      <w:tr>
        <w:trPr>
          <w:trHeight w:val="180"/>
        </w:trPr>
        <w:tc>
          <w:tcPr>
            <w:tcW w:w="4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i w:val="1"/>
                <w:iCs w:val="1"/>
                <w:color w:val="auto"/>
              </w:rPr>
              <w:t>($ in millions)</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1020" w:type="dxa"/>
            <w:vAlign w:val="bottom"/>
            <w:shd w:val="clear" w:color="auto" w:fill="CCEEFF"/>
          </w:tcPr>
          <w:p>
            <w:pPr>
              <w:jc w:val="right"/>
              <w:ind w:right="84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7"/>
              </w:rPr>
              <w:t>249</w:t>
            </w:r>
          </w:p>
        </w:tc>
        <w:tc>
          <w:tcPr>
            <w:tcW w:w="110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331</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(231)</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spacing w:after="0"/>
              <w:rPr>
                <w:sz w:val="18"/>
                <w:szCs w:val="18"/>
                <w:color w:val="auto"/>
              </w:rPr>
            </w:pP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52</w:t>
            </w:r>
          </w:p>
        </w:tc>
        <w:tc>
          <w:tcPr>
            <w:tcW w:w="1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84"/>
              <w:spacing w:after="0"/>
              <w:rPr>
                <w:sz w:val="20"/>
                <w:szCs w:val="20"/>
                <w:color w:val="auto"/>
              </w:rPr>
            </w:pPr>
            <w:r>
              <w:rPr>
                <w:rFonts w:ascii="Arial" w:cs="Arial" w:eastAsia="Arial" w:hAnsi="Arial"/>
                <w:sz w:val="16"/>
                <w:szCs w:val="16"/>
                <w:color w:val="auto"/>
              </w:rPr>
              <w:t>132</w:t>
            </w:r>
          </w:p>
        </w:tc>
        <w:tc>
          <w:tcPr>
            <w:tcW w:w="360" w:type="dxa"/>
            <w:vAlign w:val="bottom"/>
          </w:tcPr>
          <w:p>
            <w:pPr>
              <w:spacing w:after="0"/>
              <w:rPr>
                <w:sz w:val="18"/>
                <w:szCs w:val="18"/>
                <w:color w:val="auto"/>
              </w:rPr>
            </w:pP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167</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3"/>
              </w:rPr>
              <w:t>63 %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40 %</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bl>
    <w:p>
      <w:pPr>
        <w:spacing w:after="0" w:line="33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primary drivers of the effective tax rate for the three and nine months ended April 2, 2021, which resulted in a difference in the effective tax rate for the nine months ended April 2,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2021 through 2031. In addition, the effective tax rate for the three and nine months ended April 2, 2021 includes discrete effects for increases to unrecognized tax benefits of $35 million as a result of ongoing discussions with various taxing authorities that are offset in part by a release of certain unrecognized tax benefits of $22 million as a result of business realignment activities. The effective tax rate for the nine months ended April 2, 2021 also includes the discrete effects of net tax deficiencies from shortfalls of $11 million related to the vesting of stock-based awards and additional tax expense of $10 million from the re-measurement of deferred tax liabilities due to restructuring activities, which have no impact on the amount of income taxes paid by the Company.</w:t>
      </w:r>
    </w:p>
    <w:p>
      <w:pPr>
        <w:spacing w:after="0" w:line="223"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The primary drivers of the difference between the effective tax rate for the three and nine months ended April 3, 2020 and the U.S. Federal statutory rate of 21% are the relative mix of earnings and losses by jurisdiction, the deduction for foreign derived intangible income, credits, and tax holidays in Malaysia, Philippines and Thailand that expired or will expire at various dates during fiscal years 2020 through 2030.</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As previously disclosed, the IRS issued statutory notices of deficiency with respect to adjustments relating to transfer pricing with the Company’s foreign subsidiaries and intercompany payable balances for fiscal years 2008 through 2009 and fiscal years 2010 through 2012. The statutory notices of deficiency seek to increase the Company’s U.S. taxable income relating to the disputed items by an amount that would result in additional federal tax totaling approximately $516 million through fiscal year 2009 and totaling approximately $535 million for fiscal years 2010 through 2012, subject to interest and penalties. The Company filed petitions with the U.S. Tax Court with respect to the statutory notices of deficiency for fiscal years 2008 through 2009 and the fiscal years 2010 through 2012. The U.S. Tax Court consolidated the case for fiscal years 2008 through 2009 with the case for fiscal years 2010 through 2012. In May 2020, the IRS filed with the U.S. Tax Court Amendments to Answer to assert penalties totaling $340 million on the proposed adjustments relating to transfer pricing with respect to fiscal years 2008 through 2012. In September 2020 and December 2020, the IRS proposed adjustments relating to transfer pricing with the Company’s foreign subsidiaries and intercompany payable balances for fiscal years 2013 through 2015 that, if sustained, would result in additional federal tax totaling approximately $343 million. In March 2021, the IRS asserted penalties totaling</w:t>
      </w:r>
    </w:p>
    <w:p>
      <w:pPr>
        <w:spacing w:after="0" w:line="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$109 million on the proposed adjustments relating to transfer pricing with respect to fiscal years 2013 through 2015. The Company disagrees with the proposed adjustments relating to transfer pricing and related penalties, and continues to believe that its tax positions are properly supported and will vigorously contest the position taken by the IRS. Also in March 2021, the Company and the IRS tentatively reached a basis for resolving the intercompany payable balances matter for all fiscal years at issue and the impact was not material to the Consolidated Financial Statements.</w:t>
      </w:r>
    </w:p>
    <w:p>
      <w:pPr>
        <w:spacing w:after="0" w:line="2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April 2, 2021,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1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of April 2, 2021, the liability for unrecognized tax benefits (excluding accrued interest and penalties) was approximately $750 million. Accrued interest and penalties related to unrecognized tax benefits as of April 2, 2021 was approximately $133 million. Of these amounts, approximately $743 million could result in potential cash payments. The Company is not able to provide a reasonable estimate of the timing of future tax payments related to these obligations.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Net Income (Loss) Per Common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4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68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0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ind w:left="180"/>
              <w:spacing w:after="0" w:line="135"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01"/>
              <w:spacing w:after="0" w:line="13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5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millions, except per share data)</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Employee stock options, RSUs, PSUs and ESPP</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 and diluted</w:t>
            </w:r>
          </w:p>
        </w:tc>
        <w:tc>
          <w:tcPr>
            <w:tcW w:w="10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(loss) per common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6"/>
        </w:trPr>
        <w:tc>
          <w:tcPr>
            <w:tcW w:w="522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potential common shares excluded</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nine months ended April 3, 2020, the Company recorded net loss, and all shares subject to outstanding equity awards have been excluded for this period because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 benefits, asset impairment, and other charges: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5180" w:type="dxa"/>
            <w:vAlign w:val="bottom"/>
          </w:tcPr>
          <w:p>
            <w:pPr>
              <w:spacing w:after="0"/>
              <w:rPr>
                <w:sz w:val="11"/>
                <w:szCs w:val="11"/>
                <w:color w:val="auto"/>
              </w:rPr>
            </w:pPr>
          </w:p>
        </w:tc>
        <w:tc>
          <w:tcPr>
            <w:tcW w:w="1040" w:type="dxa"/>
            <w:vAlign w:val="bottom"/>
          </w:tcPr>
          <w:p>
            <w:pPr>
              <w:jc w:val="right"/>
              <w:ind w:right="24"/>
              <w:spacing w:after="0" w:line="135" w:lineRule="exact"/>
              <w:rPr>
                <w:sz w:val="20"/>
                <w:szCs w:val="20"/>
                <w:color w:val="auto"/>
              </w:rPr>
            </w:pPr>
            <w:r>
              <w:rPr>
                <w:rFonts w:ascii="Arial" w:cs="Arial" w:eastAsia="Arial" w:hAnsi="Arial"/>
                <w:sz w:val="14"/>
                <w:szCs w:val="14"/>
                <w:b w:val="1"/>
                <w:bCs w:val="1"/>
                <w:color w:val="auto"/>
              </w:rPr>
              <w:t>April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4"/>
              <w:spacing w:after="0" w:line="135"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6"/>
              </w:rPr>
              <w:t>April 2,</w:t>
            </w:r>
          </w:p>
        </w:tc>
        <w:tc>
          <w:tcPr>
            <w:tcW w:w="300" w:type="dxa"/>
            <w:vAlign w:val="bottom"/>
          </w:tcPr>
          <w:p>
            <w:pPr>
              <w:spacing w:after="0"/>
              <w:rPr>
                <w:sz w:val="11"/>
                <w:szCs w:val="11"/>
                <w:color w:val="auto"/>
              </w:rPr>
            </w:pPr>
          </w:p>
        </w:tc>
        <w:tc>
          <w:tcPr>
            <w:tcW w:w="1140" w:type="dxa"/>
            <w:vAlign w:val="bottom"/>
          </w:tcPr>
          <w:p>
            <w:pPr>
              <w:jc w:val="right"/>
              <w:ind w:right="402"/>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180" w:type="dxa"/>
            <w:vAlign w:val="bottom"/>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0"/>
        </w:trPr>
        <w:tc>
          <w:tcPr>
            <w:tcW w:w="5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termination and other charges: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Closure of Foreign Manufacturing Facilities</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center"/>
              <w:ind w:left="582"/>
              <w:spacing w:after="0"/>
              <w:rPr>
                <w:sz w:val="20"/>
                <w:szCs w:val="20"/>
                <w:color w:val="auto"/>
              </w:rPr>
            </w:pPr>
            <w:r>
              <w:rPr>
                <w:rFonts w:ascii="Arial" w:cs="Arial" w:eastAsia="Arial" w:hAnsi="Arial"/>
                <w:sz w:val="16"/>
                <w:szCs w:val="16"/>
                <w:color w:val="auto"/>
                <w:w w:val="99"/>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Realignment</w:t>
            </w: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82"/>
              <w:spacing w:after="0"/>
              <w:rPr>
                <w:sz w:val="20"/>
                <w:szCs w:val="20"/>
                <w:color w:val="auto"/>
              </w:rPr>
            </w:pPr>
            <w:r>
              <w:rPr>
                <w:rFonts w:ascii="Arial" w:cs="Arial" w:eastAsia="Arial" w:hAnsi="Arial"/>
                <w:sz w:val="16"/>
                <w:szCs w:val="16"/>
                <w:color w:val="auto"/>
                <w:w w:val="89"/>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7"/>
        </w:trPr>
        <w:tc>
          <w:tcPr>
            <w:tcW w:w="5180" w:type="dxa"/>
            <w:vAlign w:val="bottom"/>
          </w:tcPr>
          <w:p>
            <w:pPr>
              <w:ind w:left="220"/>
              <w:spacing w:after="0"/>
              <w:rPr>
                <w:sz w:val="20"/>
                <w:szCs w:val="20"/>
                <w:color w:val="auto"/>
              </w:rPr>
            </w:pPr>
            <w:r>
              <w:rPr>
                <w:rFonts w:ascii="Arial" w:cs="Arial" w:eastAsia="Arial" w:hAnsi="Arial"/>
                <w:sz w:val="16"/>
                <w:szCs w:val="16"/>
                <w:color w:val="auto"/>
              </w:rPr>
              <w:t>Total employee termination and other charges</w:t>
            </w: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center"/>
              <w:ind w:left="682"/>
              <w:spacing w:after="0"/>
              <w:rPr>
                <w:sz w:val="20"/>
                <w:szCs w:val="20"/>
                <w:color w:val="auto"/>
              </w:rPr>
            </w:pPr>
            <w:r>
              <w:rPr>
                <w:rFonts w:ascii="Arial" w:cs="Arial" w:eastAsia="Arial" w:hAnsi="Arial"/>
                <w:sz w:val="16"/>
                <w:szCs w:val="16"/>
                <w:color w:val="auto"/>
                <w:w w:val="89"/>
              </w:rPr>
              <w:t>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disposition of assets: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180" w:type="dxa"/>
            <w:vAlign w:val="bottom"/>
          </w:tcPr>
          <w:p>
            <w:pPr>
              <w:ind w:left="140"/>
              <w:spacing w:after="0"/>
              <w:rPr>
                <w:sz w:val="20"/>
                <w:szCs w:val="20"/>
                <w:color w:val="auto"/>
              </w:rPr>
            </w:pPr>
            <w:r>
              <w:rPr>
                <w:rFonts w:ascii="Arial" w:cs="Arial" w:eastAsia="Arial" w:hAnsi="Arial"/>
                <w:sz w:val="16"/>
                <w:szCs w:val="16"/>
                <w:color w:val="auto"/>
              </w:rPr>
              <w:t>Business Realignment</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tcPr>
          <w:p>
            <w:pPr>
              <w:jc w:val="center"/>
              <w:ind w:left="642"/>
              <w:spacing w:after="0"/>
              <w:rPr>
                <w:sz w:val="20"/>
                <w:szCs w:val="20"/>
                <w:color w:val="auto"/>
              </w:rPr>
            </w:pPr>
            <w:r>
              <w:rPr>
                <w:rFonts w:ascii="Arial" w:cs="Arial" w:eastAsia="Arial" w:hAnsi="Arial"/>
                <w:sz w:val="16"/>
                <w:szCs w:val="16"/>
                <w:color w:val="auto"/>
                <w:w w:val="98"/>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8"/>
        </w:trPr>
        <w:tc>
          <w:tcPr>
            <w:tcW w:w="51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employee termination, asset impairment, and other charges</w:t>
            </w:r>
          </w:p>
        </w:tc>
        <w:tc>
          <w:tcPr>
            <w:tcW w:w="104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center"/>
              <w:ind w:left="642"/>
              <w:spacing w:after="0"/>
              <w:rPr>
                <w:sz w:val="20"/>
                <w:szCs w:val="20"/>
                <w:color w:val="auto"/>
              </w:rPr>
            </w:pPr>
            <w:r>
              <w:rPr>
                <w:rFonts w:ascii="Arial" w:cs="Arial" w:eastAsia="Arial" w:hAnsi="Arial"/>
                <w:sz w:val="16"/>
                <w:szCs w:val="16"/>
                <w:color w:val="auto"/>
                <w:w w:val="98"/>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The Company may also record credits related to gains upon sale of property in connection with these activities. The Company recognized gains related to the disposition of assets associated with these activities of $70 million in the three and nine months ended April 2, 2021 and $17 million in the nine months ended April 3, 2020.</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analysis of the components of these activities against the reserve during the nine months ended April 2,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Employee</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0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Termination Benefits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and 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3, 2020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Accrual balance at April 2, 2021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5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petitions filed by the Company with the U.S. Tax Court in September 2018 and March 2019, additional penalties asserted by the IRS in March 2021 and a tentative resolution with respect to certain matters, see Note 12, </w:t>
      </w:r>
      <w:r>
        <w:rPr>
          <w:rFonts w:ascii="Arial" w:cs="Arial" w:eastAsia="Arial" w:hAnsi="Arial"/>
          <w:sz w:val="18"/>
          <w:szCs w:val="18"/>
          <w:i w:val="1"/>
          <w:iCs w:val="1"/>
          <w:color w:val="auto"/>
        </w:rPr>
        <w:t>Income Tax Expense.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ind w:right="32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3, 2020. See also “Forward-Looking Statements” immediately prior to Part I, Item 1 in this Quarterly Report on Form 10-Q.</w:t>
      </w:r>
    </w:p>
    <w:p>
      <w:pPr>
        <w:spacing w:after="0" w:line="23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We create environments for data to thrive. We drive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8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broad portfolio of technology and products address the following key end markets: Client Devices; Data Center Devices and Solutions; and Client Solutions. We also generate license and royalty revenue from our extensive intellectual property (“IP”), which is included in each of these three end market categories.</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 2021, which ends on July 2, 2021, will be comprised of 52 weeks, with all quarters presented consisting of 13 weeks. Fiscal year 2020, which ended on July 3, 2020, was comprised of 53 weeks, with the first quarter consisting of 14 weeks and the remaining quarters consisting of 13 weeks each.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Structure</w:t>
      </w:r>
    </w:p>
    <w:p>
      <w:pPr>
        <w:spacing w:after="0" w:line="23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Late in the first quarter of fiscal 2021, we announced a decision to reorganize our business by forming two separate product business units: flash-based products and hard disk drives (“HDD”). The new structure is intended to provide each business unit with focus and responsibility for identifying current and future customer requirements while driving the strategy, roadmap, pricing and overall profitability for their respective product areas. In the second fiscal quarter, to align with the new operating model and business structure, we began making management organizational changes and are implementing new reporting modules and processes to provide discrete information to manage the business. We are evaluating the impact of these changes on our discussion and analysis of our financial condition and results of operations and expect to modify our disclosures to align with this structure when the implementations and assessments are completed, which is expected to be in the first quarter of fiscal 2022.</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COVID-19 Pandemic and Operational Update</w:t>
      </w:r>
    </w:p>
    <w:p>
      <w:pPr>
        <w:spacing w:after="0" w:line="23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ongoing COVID-19 pandemic, governments and other authorities around the world, including federal, state and local authorities in the United States, have imposed measures intended to reduce its spread, including restrictions on freedom of movement and business operations such as travel bans, border closings, business limitations and closures (subject to exceptions for essential operations and businesses), quarantines and shelter-in-place orders. Although some of these governmental restrictions have since been lifted or scaled back, periodic surges of COVID-19 infections have resulted in the re-imposition of certain restrictions and may lead to other restrictions being re-implemented in response to efforts to reduce the spread of COVID-19. These measures may remain in place for a significant amount of time, and the effects of ongoing vaccination efforts and the emergence of new strains of the virus remain uncertain. In light of these events, we have taken actions to protect the health and safety of our employees while continuing to serve our global customers as an essential business. We have implemented more thorough sanitation practices as outlined by health organizations and instituted social distancing policies at our locations around the world, including working from home, limiting the number of employees attending meetings, reducing the number of people in our sites at any one time, and suspending employee travel. In addition, the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responses to COVID-19 taken by others in the supply chain have impacted our operations. As a result, we incurred charges of approximately $33 million and $94 million during the three and nine months ended April 2, 2021, respectively, primarily related to higher logistics costs, which were recorded in cost of revenue.</w:t>
      </w:r>
    </w:p>
    <w:p>
      <w:pPr>
        <w:spacing w:after="0" w:line="21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an essential business, we continue to provide products and solutions that enable the proliferation of data and facilitate the sharing of information remotely, which has become more critical as much of the world is interacting from areas of self-isolation. Generally, demand for our products has remained solid during the pandemic. During the nine months ended April 2, 2021, we experienced lower sales in some of our capacity enterprise and Client Devices products as customers absorbed purchases made in recent quarters, but we also experienced increased sales in retail as COVID-19 restrictions eased, more brick and mortar businesses resumed operations. Continued work-from-home, distance learning, and at-home entertainment also supported demand.</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Looking forward, we see positive indications of the progression of 5G ramp and the growth of gaming. We are making progress on completing customer qualifications and we expect revenue to increase as we progress through calendar 2021, led by the ramp of our 18-terabyte hard drives, as well as broad-based growth in flash. However, the COVID-19 environment remains dynamic and we cannot predict the duration of the pandemic and how demand may change as it continues to develop.</w:t>
      </w:r>
    </w:p>
    <w:p>
      <w:pPr>
        <w:spacing w:after="0" w:line="214" w:lineRule="exact"/>
        <w:rPr>
          <w:sz w:val="20"/>
          <w:szCs w:val="20"/>
          <w:color w:val="auto"/>
        </w:rPr>
      </w:pPr>
    </w:p>
    <w:p>
      <w:pPr>
        <w:ind w:right="360" w:firstLine="324"/>
        <w:spacing w:after="0" w:line="301" w:lineRule="auto"/>
        <w:rPr>
          <w:sz w:val="20"/>
          <w:szCs w:val="20"/>
          <w:color w:val="auto"/>
        </w:rPr>
      </w:pPr>
      <w:r>
        <w:rPr>
          <w:rFonts w:ascii="Arial" w:cs="Arial" w:eastAsia="Arial" w:hAnsi="Arial"/>
          <w:sz w:val="16"/>
          <w:szCs w:val="16"/>
          <w:color w:val="auto"/>
        </w:rPr>
        <w:t xml:space="preserve">We will continue to actively monitor the situation and may take further actions altering our business operations that we determine are in the best interests of our employees, customers, partners, suppliers, and stakeholders, or as required by federal, state, or local authorities. See </w:t>
      </w:r>
      <w:r>
        <w:rPr>
          <w:rFonts w:ascii="Arial" w:cs="Arial" w:eastAsia="Arial" w:hAnsi="Arial"/>
          <w:sz w:val="16"/>
          <w:szCs w:val="16"/>
          <w:i w:val="1"/>
          <w:iCs w:val="1"/>
          <w:color w:val="auto"/>
        </w:rPr>
        <w:t>“The COVID-19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pandemic could adversely affect our business, results of operations and financial condition” </w:t>
      </w:r>
      <w:r>
        <w:rPr>
          <w:rFonts w:ascii="Arial" w:cs="Arial" w:eastAsia="Arial" w:hAnsi="Arial"/>
          <w:sz w:val="16"/>
          <w:szCs w:val="16"/>
          <w:color w:val="auto"/>
        </w:rPr>
        <w:t>in Part I, Item 1A,</w:t>
      </w:r>
      <w:r>
        <w:rPr>
          <w:rFonts w:ascii="Arial" w:cs="Arial" w:eastAsia="Arial" w:hAnsi="Arial"/>
          <w:sz w:val="16"/>
          <w:szCs w:val="16"/>
          <w:i w:val="1"/>
          <w:iCs w:val="1"/>
          <w:color w:val="auto"/>
        </w:rPr>
        <w:t xml:space="preserve"> Risk Factors</w:t>
      </w:r>
      <w:r>
        <w:rPr>
          <w:rFonts w:ascii="Arial" w:cs="Arial" w:eastAsia="Arial" w:hAnsi="Arial"/>
          <w:sz w:val="16"/>
          <w:szCs w:val="16"/>
          <w:color w:val="auto"/>
        </w:rPr>
        <w:t>, of our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for the fiscal year ended July 3, 2020 for more information regarding the risks we face as a result of the COVID-19 pandemic.</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Through our three business ventures with Kioxia Corporation (“Kioxia”), referred to as “Flash Ventures”, we and Kioxia operate flash-based memory wafer manufacturing facilities in Japan. We are obligated to pay for variable costs incurred in producing our share of Flash Ventures’ flash-based memory wafer supply, based on our three-month forecast, which generally equals 50% of Flash Ventures’ output. In addition, we are obligated to pay for half of Flash Ventures’ fixed costs regardless of the output we choose to purchase. We are also obligated to fund 49.9% to 50% of each Flash Ventures entity’s capital investments to the extent that Flash Ventures entity’s operating cash flow is insufficient to fund these investments. We also co-develop flash technologies (including process technology and memory design) with Kioxia and contribute IP for Flash Ventures’ use.</w:t>
      </w:r>
    </w:p>
    <w:p>
      <w:pPr>
        <w:spacing w:after="0" w:line="19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Since its inception, Flash Ventures’ primary manufacturing site has been located in Yokkaichi, Japan, which currently includes five wafer fabrication facilities. Production levels at the Yokkaichi site were temporarily reduced as a result of an unexpected power outage incident that occurred in the Yokkaichi region on June 15, 2019. The power outage incident impacted the facilities and process tools and resulted in damage to flash wafers in production. The incident resulted in a reduction of our flash wafer availability by approximately 4 exabytes. As a result of this power outage incident, we incurred aggregate charges of $68 million recorded in Cost of revenue in the nine months ended April 3, 2020, which primarily consisted of unabsorbed manufacturing overhead costs. During the nine months ended April 2, 2021, we recovered $75 million related to this incident from our insurance carriers, which was recorded in Cost of revenue.</w:t>
      </w:r>
    </w:p>
    <w:p>
      <w:pPr>
        <w:spacing w:after="0" w:line="22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May 2019, we entered into additional agreements with Kioxia to extend Flash Ventures to a new wafer fabrication facility, known as “K1,” located in Kitakami, Japan. The primary purpose of K1 is to provide clean room space to continue the transition of existing flash-based wafer capacity to newer technology nodes. K1 is now fully operational. In connection with the start-up of this facility, we agreed to prepay an aggregate of approximately $360 million over a 3-year period beginning in the first half of fiscal year 2020 toward K1 building depreciation, to be credited against future wafer charges. As of April 2, 2021, remaining committed prepayments totaled $108 million.</w:t>
      </w:r>
    </w:p>
    <w:p>
      <w:pPr>
        <w:spacing w:after="0" w:line="21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October 2020, Kioxia announced the start of construction of the shell for a new fabrication facility in Yokkaichi, Japan, referred to as “Y7”. We expect to continue Flash Ventures investments into Y7 in due course, following the completion of agreements with Kioxia governing the construction and operation of the new facility and according to then-prevailing market trends.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Third Quarter and Nine Month Overview</w:t>
      </w:r>
    </w:p>
    <w:p>
      <w:pPr>
        <w:spacing w:after="0" w:line="252"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left="320"/>
              <w:spacing w:after="0" w:line="129" w:lineRule="exact"/>
              <w:rPr>
                <w:sz w:val="20"/>
                <w:szCs w:val="20"/>
                <w:color w:val="auto"/>
              </w:rPr>
            </w:pPr>
            <w:r>
              <w:rPr>
                <w:rFonts w:ascii="Arial" w:cs="Arial" w:eastAsia="Arial" w:hAnsi="Arial"/>
                <w:sz w:val="14"/>
                <w:szCs w:val="14"/>
                <w:b w:val="1"/>
                <w:bCs w:val="1"/>
                <w:color w:val="auto"/>
                <w:w w:val="96"/>
              </w:rPr>
              <w:t>April 2,</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left="321"/>
              <w:spacing w:after="0" w:line="129" w:lineRule="exact"/>
              <w:rPr>
                <w:sz w:val="20"/>
                <w:szCs w:val="20"/>
                <w:color w:val="auto"/>
              </w:rPr>
            </w:pPr>
            <w:r>
              <w:rPr>
                <w:rFonts w:ascii="Arial" w:cs="Arial" w:eastAsia="Arial" w:hAnsi="Arial"/>
                <w:sz w:val="14"/>
                <w:szCs w:val="14"/>
                <w:b w:val="1"/>
                <w:bCs w:val="1"/>
                <w:color w:val="auto"/>
              </w:rPr>
              <w:t>April 3,</w:t>
            </w:r>
          </w:p>
        </w:tc>
        <w:tc>
          <w:tcPr>
            <w:tcW w:w="900" w:type="dxa"/>
            <w:vAlign w:val="bottom"/>
          </w:tcPr>
          <w:p>
            <w:pPr>
              <w:spacing w:after="0"/>
              <w:rPr>
                <w:sz w:val="11"/>
                <w:szCs w:val="11"/>
                <w:color w:val="auto"/>
              </w:rPr>
            </w:pPr>
          </w:p>
        </w:tc>
        <w:tc>
          <w:tcPr>
            <w:tcW w:w="9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w w:val="95"/>
              </w:rPr>
              <w:t>$ Change</w:t>
            </w:r>
          </w:p>
        </w:tc>
        <w:tc>
          <w:tcPr>
            <w:tcW w:w="10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3"/>
          </w:tcPr>
          <w:p>
            <w:pPr>
              <w:jc w:val="right"/>
              <w:ind w:right="639"/>
              <w:spacing w:after="0"/>
              <w:rPr>
                <w:sz w:val="20"/>
                <w:szCs w:val="20"/>
                <w:color w:val="auto"/>
              </w:rPr>
            </w:pPr>
            <w:r>
              <w:rPr>
                <w:rFonts w:ascii="Arial" w:cs="Arial" w:eastAsia="Arial" w:hAnsi="Arial"/>
                <w:sz w:val="14"/>
                <w:szCs w:val="14"/>
                <w:i w:val="1"/>
                <w:iCs w:val="1"/>
                <w:color w:val="auto"/>
              </w:rPr>
              <w:t>($ in millions)</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73.6</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w:t>
            </w: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379"/>
              <w:spacing w:after="0"/>
              <w:rPr>
                <w:sz w:val="20"/>
                <w:szCs w:val="20"/>
                <w:color w:val="auto"/>
              </w:rPr>
            </w:pPr>
            <w:r>
              <w:rPr>
                <w:rFonts w:ascii="Arial" w:cs="Arial" w:eastAsia="Arial" w:hAnsi="Arial"/>
                <w:sz w:val="16"/>
                <w:szCs w:val="16"/>
                <w:color w:val="auto"/>
              </w:rPr>
              <w:t>75.9</w:t>
            </w:r>
          </w:p>
        </w:tc>
        <w:tc>
          <w:tcPr>
            <w:tcW w:w="96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(124)</w:t>
            </w:r>
          </w:p>
        </w:tc>
        <w:tc>
          <w:tcPr>
            <w:tcW w:w="10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26.4</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24.1</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86</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0"/>
        </w:trPr>
        <w:tc>
          <w:tcPr>
            <w:tcW w:w="49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13.5</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287</w:t>
            </w:r>
          </w:p>
        </w:tc>
        <w:tc>
          <w:tcPr>
            <w:tcW w:w="44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281</w:t>
            </w:r>
          </w:p>
        </w:tc>
        <w:tc>
          <w:tcPr>
            <w:tcW w:w="44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6.7</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0.2</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(76)</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4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18.7</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4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79"/>
              <w:spacing w:after="0"/>
              <w:rPr>
                <w:sz w:val="20"/>
                <w:szCs w:val="20"/>
                <w:color w:val="auto"/>
              </w:rPr>
            </w:pPr>
            <w:r>
              <w:rPr>
                <w:rFonts w:ascii="Arial" w:cs="Arial" w:eastAsia="Arial" w:hAnsi="Arial"/>
                <w:sz w:val="16"/>
                <w:szCs w:val="16"/>
                <w:color w:val="auto"/>
              </w:rPr>
              <w:t>20.4</w:t>
            </w:r>
          </w:p>
        </w:tc>
        <w:tc>
          <w:tcPr>
            <w:tcW w:w="96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(78)</w:t>
            </w:r>
          </w:p>
        </w:tc>
        <w:tc>
          <w:tcPr>
            <w:tcW w:w="10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3.7</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164</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0.1</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44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w:t>
            </w:r>
          </w:p>
        </w:tc>
        <w:tc>
          <w:tcPr>
            <w:tcW w:w="4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(2.4)</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(0.3)</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4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4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39"/>
              <w:spacing w:after="0"/>
              <w:rPr>
                <w:sz w:val="20"/>
                <w:szCs w:val="20"/>
                <w:color w:val="auto"/>
              </w:rPr>
            </w:pPr>
            <w:r>
              <w:rPr>
                <w:rFonts w:ascii="Arial" w:cs="Arial" w:eastAsia="Arial" w:hAnsi="Arial"/>
                <w:sz w:val="16"/>
                <w:szCs w:val="16"/>
                <w:color w:val="auto"/>
              </w:rPr>
              <w:t>(2.6)</w:t>
            </w:r>
          </w:p>
        </w:tc>
        <w:tc>
          <w:tcPr>
            <w:tcW w:w="96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rPr>
              <w:t>39</w:t>
            </w:r>
          </w:p>
        </w:tc>
        <w:tc>
          <w:tcPr>
            <w:tcW w:w="10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1.1</w:t>
            </w: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203</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379"/>
              <w:spacing w:after="0"/>
              <w:rPr>
                <w:sz w:val="20"/>
                <w:szCs w:val="20"/>
                <w:color w:val="auto"/>
              </w:rPr>
            </w:pPr>
            <w:r>
              <w:rPr>
                <w:rFonts w:ascii="Arial" w:cs="Arial" w:eastAsia="Arial" w:hAnsi="Arial"/>
                <w:sz w:val="16"/>
                <w:szCs w:val="16"/>
                <w:color w:val="auto"/>
              </w:rPr>
              <w:t>0.7</w:t>
            </w:r>
          </w:p>
        </w:tc>
        <w:tc>
          <w:tcPr>
            <w:tcW w:w="96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rPr>
              <w:t>23</w:t>
            </w:r>
          </w:p>
        </w:tc>
        <w:tc>
          <w:tcPr>
            <w:tcW w:w="104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0.4</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180</w:t>
            </w:r>
          </w:p>
        </w:tc>
        <w:tc>
          <w:tcPr>
            <w:tcW w:w="10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68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left="340"/>
              <w:spacing w:after="0" w:line="135" w:lineRule="exact"/>
              <w:rPr>
                <w:sz w:val="20"/>
                <w:szCs w:val="20"/>
                <w:color w:val="auto"/>
              </w:rPr>
            </w:pPr>
            <w:r>
              <w:rPr>
                <w:rFonts w:ascii="Arial" w:cs="Arial" w:eastAsia="Arial" w:hAnsi="Arial"/>
                <w:sz w:val="14"/>
                <w:szCs w:val="14"/>
                <w:b w:val="1"/>
                <w:bCs w:val="1"/>
                <w:color w:val="auto"/>
                <w:w w:val="96"/>
              </w:rPr>
              <w:t>April 2,</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left="341"/>
              <w:spacing w:after="0" w:line="135" w:lineRule="exact"/>
              <w:rPr>
                <w:sz w:val="20"/>
                <w:szCs w:val="20"/>
                <w:color w:val="auto"/>
              </w:rPr>
            </w:pPr>
            <w:r>
              <w:rPr>
                <w:rFonts w:ascii="Arial" w:cs="Arial" w:eastAsia="Arial" w:hAnsi="Arial"/>
                <w:sz w:val="14"/>
                <w:szCs w:val="14"/>
                <w:b w:val="1"/>
                <w:bCs w:val="1"/>
                <w:color w:val="auto"/>
                <w:w w:val="96"/>
              </w:rPr>
              <w:t>April 3,</w:t>
            </w:r>
          </w:p>
        </w:tc>
        <w:tc>
          <w:tcPr>
            <w:tcW w:w="900" w:type="dxa"/>
            <w:vAlign w:val="bottom"/>
          </w:tcPr>
          <w:p>
            <w:pPr>
              <w:spacing w:after="0"/>
              <w:rPr>
                <w:sz w:val="11"/>
                <w:szCs w:val="11"/>
                <w:color w:val="auto"/>
              </w:rPr>
            </w:pPr>
          </w:p>
        </w:tc>
        <w:tc>
          <w:tcPr>
            <w:tcW w:w="9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w w:val="95"/>
              </w:rPr>
              <w:t>$ Change</w:t>
            </w: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3"/>
          </w:tcPr>
          <w:p>
            <w:pPr>
              <w:jc w:val="right"/>
              <w:ind w:right="659"/>
              <w:spacing w:after="0"/>
              <w:rPr>
                <w:sz w:val="20"/>
                <w:szCs w:val="20"/>
                <w:color w:val="auto"/>
              </w:rPr>
            </w:pPr>
            <w:r>
              <w:rPr>
                <w:rFonts w:ascii="Arial" w:cs="Arial" w:eastAsia="Arial" w:hAnsi="Arial"/>
                <w:sz w:val="14"/>
                <w:szCs w:val="14"/>
                <w:i w:val="1"/>
                <w:iCs w:val="1"/>
                <w:color w:val="auto"/>
              </w:rPr>
              <w:t>($ in millions)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12,002</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100.0 %</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12,449</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  $</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(447)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75.4</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9,751</w:t>
            </w: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379"/>
              <w:spacing w:after="0"/>
              <w:rPr>
                <w:sz w:val="20"/>
                <w:szCs w:val="20"/>
                <w:color w:val="auto"/>
              </w:rPr>
            </w:pPr>
            <w:r>
              <w:rPr>
                <w:rFonts w:ascii="Arial" w:cs="Arial" w:eastAsia="Arial" w:hAnsi="Arial"/>
                <w:sz w:val="16"/>
                <w:szCs w:val="16"/>
                <w:color w:val="auto"/>
              </w:rPr>
              <w:t>78.3</w:t>
            </w:r>
          </w:p>
        </w:tc>
        <w:tc>
          <w:tcPr>
            <w:tcW w:w="9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(704)</w:t>
            </w:r>
          </w:p>
        </w:tc>
        <w:tc>
          <w:tcPr>
            <w:tcW w:w="10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24.6</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21.7</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257</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13.8</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(70)</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808</w:t>
            </w:r>
          </w:p>
        </w:tc>
        <w:tc>
          <w:tcPr>
            <w:tcW w:w="4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884</w:t>
            </w:r>
          </w:p>
        </w:tc>
        <w:tc>
          <w:tcPr>
            <w:tcW w:w="44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7.1</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0.2</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(68)</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4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20.1</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2,624</w:t>
            </w:r>
          </w:p>
        </w:tc>
        <w:tc>
          <w:tcPr>
            <w:tcW w:w="4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79"/>
              <w:spacing w:after="0"/>
              <w:rPr>
                <w:sz w:val="20"/>
                <w:szCs w:val="20"/>
                <w:color w:val="auto"/>
              </w:rPr>
            </w:pPr>
            <w:r>
              <w:rPr>
                <w:rFonts w:ascii="Arial" w:cs="Arial" w:eastAsia="Arial" w:hAnsi="Arial"/>
                <w:sz w:val="16"/>
                <w:szCs w:val="16"/>
                <w:color w:val="auto"/>
              </w:rPr>
              <w:t>21.1</w:t>
            </w:r>
          </w:p>
        </w:tc>
        <w:tc>
          <w:tcPr>
            <w:tcW w:w="9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(214)</w:t>
            </w:r>
          </w:p>
        </w:tc>
        <w:tc>
          <w:tcPr>
            <w:tcW w:w="10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0.6</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471</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0.2</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(246)</w:t>
            </w:r>
          </w:p>
        </w:tc>
        <w:tc>
          <w:tcPr>
            <w:tcW w:w="440" w:type="dxa"/>
            <w:vAlign w:val="bottom"/>
          </w:tcPr>
          <w:p>
            <w:pPr>
              <w:spacing w:after="0"/>
              <w:rPr>
                <w:sz w:val="18"/>
                <w:szCs w:val="18"/>
                <w:color w:val="auto"/>
              </w:rPr>
            </w:pP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(326)</w:t>
            </w:r>
          </w:p>
        </w:tc>
        <w:tc>
          <w:tcPr>
            <w:tcW w:w="4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(2.6)</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80</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4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4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19"/>
              <w:spacing w:after="0"/>
              <w:rPr>
                <w:sz w:val="20"/>
                <w:szCs w:val="20"/>
                <w:color w:val="auto"/>
              </w:rPr>
            </w:pPr>
            <w:r>
              <w:rPr>
                <w:rFonts w:ascii="Arial" w:cs="Arial" w:eastAsia="Arial" w:hAnsi="Arial"/>
                <w:sz w:val="16"/>
                <w:szCs w:val="16"/>
                <w:color w:val="auto"/>
              </w:rPr>
              <w:t>(2.4)</w:t>
            </w:r>
          </w:p>
        </w:tc>
        <w:tc>
          <w:tcPr>
            <w:tcW w:w="94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rPr>
              <w:t>91</w:t>
            </w:r>
          </w:p>
        </w:tc>
        <w:tc>
          <w:tcPr>
            <w:tcW w:w="10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(1.9)</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562</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379"/>
              <w:spacing w:after="0"/>
              <w:rPr>
                <w:sz w:val="20"/>
                <w:szCs w:val="20"/>
                <w:color w:val="auto"/>
              </w:rPr>
            </w:pPr>
            <w:r>
              <w:rPr>
                <w:rFonts w:ascii="Arial" w:cs="Arial" w:eastAsia="Arial" w:hAnsi="Arial"/>
                <w:sz w:val="16"/>
                <w:szCs w:val="16"/>
                <w:color w:val="auto"/>
              </w:rPr>
              <w:t>1.3</w:t>
            </w:r>
          </w:p>
        </w:tc>
        <w:tc>
          <w:tcPr>
            <w:tcW w:w="9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(35)</w:t>
            </w:r>
          </w:p>
        </w:tc>
        <w:tc>
          <w:tcPr>
            <w:tcW w:w="104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(3.2)</w:t>
            </w:r>
          </w:p>
        </w:tc>
        <w:tc>
          <w:tcPr>
            <w:tcW w:w="9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597</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for the periods presented, summary information regarding our 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52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April 2,</w:t>
            </w:r>
          </w:p>
        </w:tc>
        <w:tc>
          <w:tcPr>
            <w:tcW w:w="300" w:type="dxa"/>
            <w:vAlign w:val="bottom"/>
          </w:tcPr>
          <w:p>
            <w:pPr>
              <w:spacing w:after="0"/>
              <w:rPr>
                <w:sz w:val="11"/>
                <w:szCs w:val="11"/>
                <w:color w:val="auto"/>
              </w:rPr>
            </w:pPr>
          </w:p>
        </w:tc>
        <w:tc>
          <w:tcPr>
            <w:tcW w:w="1140" w:type="dxa"/>
            <w:vAlign w:val="bottom"/>
          </w:tcPr>
          <w:p>
            <w:pPr>
              <w:jc w:val="right"/>
              <w:ind w:right="400"/>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5200" w:type="dxa"/>
            <w:vAlign w:val="bottom"/>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181"/>
        </w:trPr>
        <w:tc>
          <w:tcPr>
            <w:tcW w:w="5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HDD</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1,962</w:t>
            </w:r>
          </w:p>
        </w:tc>
        <w:tc>
          <w:tcPr>
            <w:tcW w:w="12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2,114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6,918</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Flash-based</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2,175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4,137</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4,175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6"/>
        </w:trPr>
        <w:tc>
          <w:tcPr>
            <w:tcW w:w="5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Revenue by End Market</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 Devices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5,244</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Data Center Devices &amp; Solutions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1,237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1,523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4,544</w:t>
            </w: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 Solutions</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r>
      <w:tr>
        <w:trPr>
          <w:trHeight w:val="212"/>
        </w:trPr>
        <w:tc>
          <w:tcPr>
            <w:tcW w:w="52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4,137</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4,175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Revenue by Geography</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2,215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6,155</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4,137</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4,175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12,449</w:t>
            </w:r>
          </w:p>
        </w:tc>
      </w:tr>
      <w:tr>
        <w:trPr>
          <w:trHeight w:val="24"/>
        </w:trPr>
        <w:tc>
          <w:tcPr>
            <w:tcW w:w="5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Comparison of Three Months Ended April 2, 2021 to Three Months Ended April 3, 2020</w:t>
      </w:r>
    </w:p>
    <w:p>
      <w:pPr>
        <w:spacing w:after="0" w:line="25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Net revenue decreased 1% for the three months ended April 2, 2021 compared to the three months ended April 3, 2020, which reflects declines in revenue of approximately 8 percentage points and 2 percentage points related to pricing per gigabyte of flash and HDD, respectively, largely offset by an increase in exabyte volume of flash sold.</w:t>
      </w:r>
    </w:p>
    <w:p>
      <w:pPr>
        <w:spacing w:after="0" w:line="2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Client Devices revenue increased 10% year over year. Higher volumes of flash contributed approximately 17 percentage points of growth. Continued strength in notebook and desktop PC demand, along with new game console ramps, drove solid revenue growth. These increases were slightly offset by lower average pricing per gigabyte on flash products. Client Devices revenue for HDD products were relatively flat.</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Data Center Devices and Solutions revenue declined 19% year over year, with approximately 12 percentage points of decline related to volume, primarily in HDD, and 7 percentage points driven by lower pricing per gigabyte in both HDD and flash products. Year-over-year volume was impacted by cloud digestion, which we believe is abating, and China shipment restrictions. However, we experienced growth with our second generation, NVMe enterprise SSD at a cloud titan. In addition, many cloud customers are utilizing NAND flash for their consumer product lines, creating additional end-market opportunities for us as we continue to diversify and balance the end markets served. Qualifications of our energy-assisted hard drives have also been completed with nearly all cloud and enterprise customers, including all cloud titans.</w:t>
      </w:r>
    </w:p>
    <w:p>
      <w:pPr>
        <w:spacing w:after="0" w:line="20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Client Solutions revenue increased 8% year over year with approximately 13 percentage points driven by volume growth. This remains a high performing end market, reflecting our brand recognition, broad product portfolio, and extensive distribution channels which continue to distinguish us from our competitors. This growth was partially offset by lower pricing.</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Comparison of Nine Months Ended April 2, 2021 to Nine Months Ended April 3, 2020</w:t>
      </w:r>
    </w:p>
    <w:p>
      <w:pPr>
        <w:spacing w:after="0" w:line="25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Net revenue decreased 4% for the nine months ended April 2, 2021 from the comparable period in the prior year, reflecting an approximate 11 percentage point decline related to pricing per gigabyte for both HDD and flash products, partially offset by higher volumes in flash. Client Devices revenue increased 16% year over year, with approximately 27 percentage points of growth coming from higher volumes of flash, for the same reasons noted above for the quarter. This increase was partially offset by lower average selling prices per gigabyte in both flash and HDD as well as lower volumes of HDD. Revenue for Data Center Devices and Solutions declined 30% year over year, with approximately 26 percentage points attributed to lower volumes, which also reflects the drivers noted above for the quarter, with the remainder primarily attributable to lower pricing. Client Solutions revenue increased 3% year over year, reflecting approximately 9 percentage points of increase from higher volumes with solid retail demand, partially offset by an approximate 6 percentage point decline related to lower pricing.</w:t>
      </w:r>
    </w:p>
    <w:p>
      <w:pPr>
        <w:spacing w:after="0" w:line="20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changes in net revenue by geography for both the three- and nine-month periods reflect an increase in Asia due to our increased sales of mobility products to manufacturers in the Asia region, and a decrease in the Americas driven by lower sales of capacity enterprise products.</w:t>
      </w:r>
    </w:p>
    <w:p>
      <w:pPr>
        <w:spacing w:after="0" w:line="17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top 10 customers accounted for 42% and 40% of our net revenue for the three and nine months ended April 2, 2021, respectively, and 44% for both the three and nine months ended April 3, 2020. For the three and nine months ended April 2, 2021 and April 3, 2020, no single customer accounted for 10% or more of our net revenue.</w:t>
      </w:r>
    </w:p>
    <w:p>
      <w:pPr>
        <w:spacing w:after="0" w:line="21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the three and nine months ended April 2, 2021 and April 3, 2020, these programs represented 18% and 19% and 15% and 16%, respectively, of gross revenues, and adjustments to revenue due to changes in accruals for these programs have generally averaged less than 1% of gross revenue year over year. The increase in adjustments year over year reflects the current competitive environment.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52"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Gross profit increased by $86 million for the three months ended April 2, 2021 from the comparable period in the prior year, which reflects a $106 million decrease in charges in the current year related to amortization expense on acquired intangible assets, partially offset by lower contribution from lower revenues.</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Gross margin increased approximately 2 percentage points for the three months ended April 2, 2021 from the comparable period in the prior year, substantially all of which is attributed to the impacts of the lower charges for amortization of acquired intangible assets.</w:t>
      </w:r>
    </w:p>
    <w:p>
      <w:pPr>
        <w:spacing w:after="0" w:line="197"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Gross profit increased by $257 million for the nine months ended April 2, 2021 from the comparable period in the prior year, which reflects the power outage charges of $68 million incurred in the prior year compared to the $75 million partial recovery in the current year and a $173 million decrease in charges in the current year related to amortization expense on acquired intangible assets, partially offset by lower contribution from lower revenues.</w:t>
      </w:r>
    </w:p>
    <w:p>
      <w:pPr>
        <w:spacing w:after="0" w:line="176"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Gross margin increased approximately 3 percentage points for the nine months ended April 2, 2021 from the comparable period in the prior year, substantially all of which is attributed to the impacts of the charges related to the power outage incident in the prior year, the insurance recovery in the current year and the lower charges for amortization of acquired intangible assets noted above. Over the near term, we expect flash gross margin to benefit from improved pricing and cost reductions while HDD gross margin is expected to improve as we ramp production on higher capacity drives.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Research and development (“R&amp;D”) expense decreased $8 million for the three months ended April 2, 2021 from the comparable period in the prior year. The decrease was driven by lower materials expenses of approximately $20 million and lower travel and entertainment expenses due to the COVID-19 restrictions of approximately $10 million, partially offset by higher variable compensation costs as a result of improved earnings. R&amp;D expense decreased $70 million for the nine months ended April 2, 2021 from the comparable period in the prior year. The decrease was driven by lower materials expenses of approximately $40 million, lower travel and entertainment expenses due to the COVID-19 restrictions of approximately $20 million and lower variable compensation in the first half of the year.</w:t>
      </w:r>
    </w:p>
    <w:p>
      <w:pPr>
        <w:spacing w:after="0" w:line="219"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Selling, general and administrative (“SG&amp;A”) expense increased $6 million for the three months ended April 2, 2021 from the comparable period in the prior year. The increase was driven by higher variable compensation costs of approximately $15 million as a result of improved earnings, partially offset by lower travel and entertainment as a result of COVID-19 restrictions and lower consulting and marketing expenses due to event cancellations. SG&amp;A expense decreased $76 million for the nine months ended April 2, 2021 from the comparable period in the prior year. The decline was primarily driven by approximately $40 million from lower travel and entertainment as a result of COVID-19 restrictions, lower consulting and lower marketing expenses due to event cancellations; approximately $15 million from lower variable compensation costs; and approximately $10 million of additional expense in the prior year related to the additional week.</w:t>
      </w:r>
    </w:p>
    <w:p>
      <w:pPr>
        <w:spacing w:after="0" w:line="204"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 xml:space="preserve">The higher gains recognized in Employee termination, asset impairment and other charges compared to the prior year primarily reflect gains on the disposal of assets associated with our business realignment activities. For information regarding Employee termination, asset impairment and other charges, see Part I, Item 1, Note 14,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Condensed Consolidated Financial Statements included in this Quarterly Report on Form 10-Q.</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decreases in total interest and other expense, net for the three and nine months ended April 2, 2021 reflect lower interest expense resulting from lower index rates and the pay-down of principal on our debt.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income tax information from our Condensed Consolidated Statements of Operations by dollar and effective tax rate: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4920" w:type="dxa"/>
            <w:vAlign w:val="bottom"/>
          </w:tcPr>
          <w:p>
            <w:pPr>
              <w:spacing w:after="0"/>
              <w:rPr>
                <w:sz w:val="11"/>
                <w:szCs w:val="11"/>
                <w:color w:val="auto"/>
              </w:rPr>
            </w:pPr>
          </w:p>
        </w:tc>
        <w:tc>
          <w:tcPr>
            <w:tcW w:w="1020" w:type="dxa"/>
            <w:vAlign w:val="bottom"/>
          </w:tcPr>
          <w:p>
            <w:pPr>
              <w:jc w:val="center"/>
              <w:ind w:left="406"/>
              <w:spacing w:after="0" w:line="135" w:lineRule="exact"/>
              <w:rPr>
                <w:sz w:val="20"/>
                <w:szCs w:val="20"/>
                <w:color w:val="auto"/>
              </w:rPr>
            </w:pPr>
            <w:r>
              <w:rPr>
                <w:rFonts w:ascii="Arial" w:cs="Arial" w:eastAsia="Arial" w:hAnsi="Arial"/>
                <w:sz w:val="14"/>
                <w:szCs w:val="14"/>
                <w:b w:val="1"/>
                <w:bCs w:val="1"/>
                <w:color w:val="auto"/>
                <w:w w:val="96"/>
              </w:rPr>
              <w:t>April 2,</w:t>
            </w:r>
          </w:p>
        </w:tc>
        <w:tc>
          <w:tcPr>
            <w:tcW w:w="540" w:type="dxa"/>
            <w:vAlign w:val="bottom"/>
          </w:tcPr>
          <w:p>
            <w:pPr>
              <w:spacing w:after="0"/>
              <w:rPr>
                <w:sz w:val="11"/>
                <w:szCs w:val="11"/>
                <w:color w:val="auto"/>
              </w:rPr>
            </w:pPr>
          </w:p>
        </w:tc>
        <w:tc>
          <w:tcPr>
            <w:tcW w:w="1080" w:type="dxa"/>
            <w:vAlign w:val="bottom"/>
          </w:tcPr>
          <w:p>
            <w:pPr>
              <w:jc w:val="center"/>
              <w:ind w:left="445"/>
              <w:spacing w:after="0" w:line="135" w:lineRule="exact"/>
              <w:rPr>
                <w:sz w:val="20"/>
                <w:szCs w:val="20"/>
                <w:color w:val="auto"/>
              </w:rPr>
            </w:pPr>
            <w:r>
              <w:rPr>
                <w:rFonts w:ascii="Arial" w:cs="Arial" w:eastAsia="Arial" w:hAnsi="Arial"/>
                <w:sz w:val="14"/>
                <w:szCs w:val="14"/>
                <w:b w:val="1"/>
                <w:bCs w:val="1"/>
                <w:color w:val="auto"/>
              </w:rPr>
              <w:t>April 3,</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jc w:val="right"/>
              <w:ind w:right="484"/>
              <w:spacing w:after="0" w:line="135" w:lineRule="exact"/>
              <w:rPr>
                <w:sz w:val="20"/>
                <w:szCs w:val="20"/>
                <w:color w:val="auto"/>
              </w:rPr>
            </w:pPr>
            <w:r>
              <w:rPr>
                <w:rFonts w:ascii="Arial" w:cs="Arial" w:eastAsia="Arial" w:hAnsi="Arial"/>
                <w:sz w:val="14"/>
                <w:szCs w:val="14"/>
                <w:b w:val="1"/>
                <w:bCs w:val="1"/>
                <w:color w:val="auto"/>
              </w:rPr>
              <w:t>April 2,</w:t>
            </w:r>
          </w:p>
        </w:tc>
        <w:tc>
          <w:tcPr>
            <w:tcW w:w="360" w:type="dxa"/>
            <w:vAlign w:val="bottom"/>
          </w:tcPr>
          <w:p>
            <w:pPr>
              <w:spacing w:after="0"/>
              <w:rPr>
                <w:sz w:val="11"/>
                <w:szCs w:val="11"/>
                <w:color w:val="auto"/>
              </w:rPr>
            </w:pPr>
          </w:p>
        </w:tc>
        <w:tc>
          <w:tcPr>
            <w:tcW w:w="1200" w:type="dxa"/>
            <w:vAlign w:val="bottom"/>
          </w:tcPr>
          <w:p>
            <w:pPr>
              <w:jc w:val="right"/>
              <w:ind w:right="443"/>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4920" w:type="dxa"/>
            <w:vAlign w:val="bottom"/>
          </w:tcPr>
          <w:p>
            <w:pPr>
              <w:spacing w:after="0"/>
              <w:rPr>
                <w:sz w:val="16"/>
                <w:szCs w:val="16"/>
                <w:color w:val="auto"/>
              </w:rPr>
            </w:pP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r>
      <w:tr>
        <w:trPr>
          <w:trHeight w:val="208"/>
        </w:trPr>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i w:val="1"/>
                <w:iCs w:val="1"/>
                <w:color w:val="auto"/>
              </w:rPr>
              <w:t>($ in millions)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1020" w:type="dxa"/>
            <w:vAlign w:val="bottom"/>
            <w:shd w:val="clear" w:color="auto" w:fill="CCEEFF"/>
          </w:tcPr>
          <w:p>
            <w:pPr>
              <w:jc w:val="right"/>
              <w:ind w:right="84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7"/>
              </w:rPr>
              <w:t>249</w:t>
            </w:r>
          </w:p>
        </w:tc>
        <w:tc>
          <w:tcPr>
            <w:tcW w:w="108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331</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(231)</w:t>
            </w: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spacing w:after="0"/>
              <w:rPr>
                <w:sz w:val="18"/>
                <w:szCs w:val="18"/>
                <w:color w:val="auto"/>
              </w:rPr>
            </w:pP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52</w:t>
            </w:r>
          </w:p>
        </w:tc>
        <w:tc>
          <w:tcPr>
            <w:tcW w:w="108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64"/>
              <w:spacing w:after="0"/>
              <w:rPr>
                <w:sz w:val="20"/>
                <w:szCs w:val="20"/>
                <w:color w:val="auto"/>
              </w:rPr>
            </w:pPr>
            <w:r>
              <w:rPr>
                <w:rFonts w:ascii="Arial" w:cs="Arial" w:eastAsia="Arial" w:hAnsi="Arial"/>
                <w:sz w:val="16"/>
                <w:szCs w:val="16"/>
                <w:color w:val="auto"/>
              </w:rPr>
              <w:t>132</w:t>
            </w:r>
          </w:p>
        </w:tc>
        <w:tc>
          <w:tcPr>
            <w:tcW w:w="360" w:type="dxa"/>
            <w:vAlign w:val="bottom"/>
          </w:tcPr>
          <w:p>
            <w:pPr>
              <w:spacing w:after="0"/>
              <w:rPr>
                <w:sz w:val="18"/>
                <w:szCs w:val="18"/>
                <w:color w:val="auto"/>
              </w:rPr>
            </w:pP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167</w:t>
            </w: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63 %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bl>
    <w:p>
      <w:pPr>
        <w:spacing w:after="0" w:line="33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primary drivers of the effective tax rate for the three and nine months ended April 2, 2021, which resulted in a difference in the effective tax rate for the nine months ended April 2,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2021 through 2031. In addition, the effective tax rate for the three and nine months ended April 2, 2021 includes discrete effects for increases to unrecognized tax benefits of $35 million as a result of ongoing discussions with various taxing authorities that are offset in part by a release of certain unrecognized tax benefits of $22 million as a result of business realignment activities. The effective tax rate for the nine months ended April 2, 2021 also includes the discrete effects of net tax deficiencies from shortfalls of $11 million related to the vesting of stock-based awards and additional tax expense of $10 million from the re-measurement of deferred tax liabilities due to restructuring activities, which have no impact on the amount of income taxes paid by us.</w:t>
      </w:r>
    </w:p>
    <w:p>
      <w:pPr>
        <w:spacing w:after="0" w:line="223"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The primary driver of the difference between the effective tax rate for the three and nine months ended April 3, 2020 and the U.S. Federal statutory rate of 21% are the relative mix of earnings and losses by jurisdiction, the deduction for foreign derived intangible income, credits, and tax holidays in Malaysia, Philippines and Thailand that expired or will expire at various dates during fiscal years 2020 through 2030.</w:t>
      </w:r>
    </w:p>
    <w:p>
      <w:pPr>
        <w:spacing w:after="0" w:line="192" w:lineRule="exact"/>
        <w:rPr>
          <w:sz w:val="20"/>
          <w:szCs w:val="20"/>
          <w:color w:val="auto"/>
        </w:rPr>
      </w:pPr>
    </w:p>
    <w:p>
      <w:pPr>
        <w:ind w:right="980" w:firstLine="324"/>
        <w:spacing w:after="0" w:line="342" w:lineRule="auto"/>
        <w:rPr>
          <w:sz w:val="20"/>
          <w:szCs w:val="20"/>
          <w:color w:val="auto"/>
        </w:rPr>
      </w:pPr>
      <w:r>
        <w:rPr>
          <w:rFonts w:ascii="Arial" w:cs="Arial" w:eastAsia="Arial" w:hAnsi="Arial"/>
          <w:sz w:val="16"/>
          <w:szCs w:val="16"/>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5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 xml:space="preserve">For additional information regarding Income tax expense (benefit), see Part I, Item 1, Note 12,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782"/>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82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April 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jc w:val="right"/>
              <w:ind w:right="402"/>
              <w:spacing w:after="0" w:line="135" w:lineRule="exact"/>
              <w:rPr>
                <w:sz w:val="20"/>
                <w:szCs w:val="20"/>
                <w:color w:val="auto"/>
              </w:rPr>
            </w:pPr>
            <w:r>
              <w:rPr>
                <w:rFonts w:ascii="Arial" w:cs="Arial" w:eastAsia="Arial" w:hAnsi="Arial"/>
                <w:sz w:val="14"/>
                <w:szCs w:val="14"/>
                <w:b w:val="1"/>
                <w:bCs w:val="1"/>
                <w:color w:val="auto"/>
              </w:rPr>
              <w:t>April 3,</w:t>
            </w:r>
          </w:p>
        </w:tc>
      </w:tr>
      <w:tr>
        <w:trPr>
          <w:trHeight w:val="188"/>
        </w:trPr>
        <w:tc>
          <w:tcPr>
            <w:tcW w:w="8260" w:type="dxa"/>
            <w:vAlign w:val="bottom"/>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1"/>
        </w:trPr>
        <w:tc>
          <w:tcPr>
            <w:tcW w:w="8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15"/>
                <w:szCs w:val="15"/>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652</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(1,354)</w:t>
            </w:r>
          </w:p>
        </w:tc>
      </w:tr>
      <w:tr>
        <w:trPr>
          <w:trHeight w:val="216"/>
        </w:trPr>
        <w:tc>
          <w:tcPr>
            <w:tcW w:w="8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Effect of exchange rate changes on cash</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02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1"/>
        </w:trPr>
        <w:tc>
          <w:tcPr>
            <w:tcW w:w="8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 xml:space="preserve">We believe our cash, cash equivalents and cash generated from operations as well as our available credit facilities will be sufficient to meet our working capital, debt and capital expenditure needs for at least the next twelve months. Our ability to sustain our working capital position is subject to a number of risks that we discuss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fiscal year ended July 3, 2020.</w:t>
      </w:r>
    </w:p>
    <w:p>
      <w:pPr>
        <w:spacing w:after="0" w:line="17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During fiscal 2021, we expect expenditures for property, plant and equipment for our company plus our portion of the capital expenditures by our Flash Ventures joint venture with Kioxia for its operations to aggregate approximately $2.9 billion. After consideration of the Flash Ventures’ lease financing of its capital expenditures and net operating cash flow, we expect net cash used for our purchases of property, plant and equipment and net activity in notes receivable relating to Flash Ventures to be a cash outflow of approximately $800 million during fiscal 2021. The total expected cash to be used could vary depending on the timing and completion of various capital projects and the availability, timing and terms of related financing</w:t>
      </w:r>
      <w:r>
        <w:rPr>
          <w:rFonts w:ascii="Arial" w:cs="Arial" w:eastAsia="Arial" w:hAnsi="Arial"/>
          <w:sz w:val="16"/>
          <w:szCs w:val="16"/>
          <w:color w:val="7030A0"/>
        </w:rPr>
        <w:t>.</w:t>
      </w:r>
    </w:p>
    <w:p>
      <w:pPr>
        <w:spacing w:after="0" w:line="18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During fiscal 2019, we determined that it was our intention to repatriate all of our foreign undistributed earnings as a result of the 2017 Act, except a portion of our foreign undistributed earnings, which could result in additional federal taxes based on interpretive guidance issued by the IRS. After consideration of this interpretative guidance affecting the taxation of a certain portion of our foreign undistributed earnings, we determined that we do not intend to repatriate this portion of our foreign undistributed earnings and did not establish an accrual for this liability.</w:t>
      </w:r>
    </w:p>
    <w:p>
      <w:pPr>
        <w:spacing w:after="0" w:line="19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 total of $1.85 billion and $2.14 billion of our Cash and cash equivalents was held outside of the U.S. as of April 2, 2021 and April 3, 2020, respectively. As a result of the change in our permanent reinvestment assertion, there are no material tax consequences that were not previously accrued for on the repatriation of this cash.</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$393 million for the nine months ended April 2, 2021, as compared to $331 million of net cash used for changes in operating assets and liabilities for the nine months ended April 3, 2020.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w:t>
      </w:r>
    </w:p>
    <w:p>
      <w:pPr>
        <w:spacing w:after="0" w:line="4"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60" w:type="dxa"/>
            <w:vAlign w:val="bottom"/>
          </w:tcPr>
          <w:p>
            <w:pPr>
              <w:spacing w:after="0"/>
              <w:rPr>
                <w:sz w:val="12"/>
                <w:szCs w:val="12"/>
                <w:color w:val="auto"/>
              </w:rPr>
            </w:pPr>
          </w:p>
        </w:tc>
        <w:tc>
          <w:tcPr>
            <w:tcW w:w="1040" w:type="dxa"/>
            <w:vAlign w:val="bottom"/>
            <w:tcBorders>
              <w:top w:val="single" w:sz="8" w:color="auto"/>
            </w:tcBorders>
          </w:tcPr>
          <w:p>
            <w:pPr>
              <w:ind w:left="480"/>
              <w:spacing w:after="0" w:line="141" w:lineRule="exact"/>
              <w:rPr>
                <w:sz w:val="20"/>
                <w:szCs w:val="20"/>
                <w:color w:val="auto"/>
              </w:rPr>
            </w:pPr>
            <w:r>
              <w:rPr>
                <w:rFonts w:ascii="Arial" w:cs="Arial" w:eastAsia="Arial" w:hAnsi="Arial"/>
                <w:sz w:val="14"/>
                <w:szCs w:val="14"/>
                <w:b w:val="1"/>
                <w:bCs w:val="1"/>
                <w:color w:val="auto"/>
              </w:rPr>
              <w:t>April 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262"/>
              <w:spacing w:after="0" w:line="141" w:lineRule="exact"/>
              <w:rPr>
                <w:sz w:val="20"/>
                <w:szCs w:val="20"/>
                <w:color w:val="auto"/>
              </w:rPr>
            </w:pPr>
            <w:r>
              <w:rPr>
                <w:rFonts w:ascii="Arial" w:cs="Arial" w:eastAsia="Arial" w:hAnsi="Arial"/>
                <w:sz w:val="14"/>
                <w:szCs w:val="14"/>
                <w:b w:val="1"/>
                <w:bCs w:val="1"/>
                <w:color w:val="auto"/>
              </w:rPr>
              <w:t>April 3,</w:t>
            </w:r>
          </w:p>
        </w:tc>
      </w:tr>
      <w:tr>
        <w:trPr>
          <w:trHeight w:val="188"/>
        </w:trPr>
        <w:tc>
          <w:tcPr>
            <w:tcW w:w="93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181"/>
        </w:trPr>
        <w:tc>
          <w:tcPr>
            <w:tcW w:w="82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i w:val="1"/>
                <w:iCs w:val="1"/>
                <w:color w:val="auto"/>
              </w:rPr>
              <w:t>(in days)</w:t>
            </w:r>
          </w:p>
        </w:tc>
        <w:tc>
          <w:tcPr>
            <w:tcW w:w="1100" w:type="dxa"/>
            <w:vAlign w:val="bottom"/>
            <w:tcBorders>
              <w:top w:val="single" w:sz="8" w:color="auto"/>
            </w:tcBorders>
          </w:tcPr>
          <w:p>
            <w:pPr>
              <w:spacing w:after="0"/>
              <w:rPr>
                <w:sz w:val="15"/>
                <w:szCs w:val="15"/>
                <w:color w:val="auto"/>
              </w:rPr>
            </w:pPr>
          </w:p>
        </w:tc>
      </w:tr>
      <w:tr>
        <w:trPr>
          <w:trHeight w:val="219"/>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42"/>
              <w:spacing w:after="0"/>
              <w:rPr>
                <w:sz w:val="20"/>
                <w:szCs w:val="20"/>
                <w:color w:val="auto"/>
              </w:rPr>
            </w:pPr>
            <w:r>
              <w:rPr>
                <w:rFonts w:ascii="Arial" w:cs="Arial" w:eastAsia="Arial" w:hAnsi="Arial"/>
                <w:sz w:val="16"/>
                <w:szCs w:val="16"/>
                <w:color w:val="auto"/>
                <w:w w:val="89"/>
              </w:rPr>
              <w:t>43</w:t>
            </w:r>
          </w:p>
        </w:tc>
      </w:tr>
      <w:tr>
        <w:trPr>
          <w:trHeight w:val="213"/>
        </w:trPr>
        <w:tc>
          <w:tcPr>
            <w:tcW w:w="9300" w:type="dxa"/>
            <w:vAlign w:val="bottom"/>
            <w:gridSpan w:val="2"/>
          </w:tcPr>
          <w:p>
            <w:pPr>
              <w:ind w:left="20"/>
              <w:spacing w:after="0"/>
              <w:rPr>
                <w:sz w:val="20"/>
                <w:szCs w:val="20"/>
                <w:color w:val="auto"/>
              </w:rPr>
            </w:pPr>
            <w:r>
              <w:rPr>
                <w:rFonts w:ascii="Arial" w:cs="Arial" w:eastAsia="Arial" w:hAnsi="Arial"/>
                <w:sz w:val="16"/>
                <w:szCs w:val="16"/>
                <w:color w:val="auto"/>
              </w:rPr>
              <w:t>Days in inventory</w:t>
            </w:r>
          </w:p>
        </w:tc>
        <w:tc>
          <w:tcPr>
            <w:tcW w:w="4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742"/>
              <w:spacing w:after="0"/>
              <w:rPr>
                <w:sz w:val="20"/>
                <w:szCs w:val="20"/>
                <w:color w:val="auto"/>
              </w:rPr>
            </w:pPr>
            <w:r>
              <w:rPr>
                <w:rFonts w:ascii="Arial" w:cs="Arial" w:eastAsia="Arial" w:hAnsi="Arial"/>
                <w:sz w:val="16"/>
                <w:szCs w:val="16"/>
                <w:color w:val="auto"/>
                <w:w w:val="89"/>
              </w:rPr>
              <w:t>89</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payables outstanding</w:t>
            </w:r>
          </w:p>
        </w:tc>
        <w:tc>
          <w:tcPr>
            <w:tcW w:w="10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02"/>
              <w:spacing w:after="0"/>
              <w:rPr>
                <w:sz w:val="20"/>
                <w:szCs w:val="20"/>
                <w:color w:val="auto"/>
              </w:rPr>
            </w:pPr>
            <w:r>
              <w:rPr>
                <w:rFonts w:ascii="Arial" w:cs="Arial" w:eastAsia="Arial" w:hAnsi="Arial"/>
                <w:sz w:val="16"/>
                <w:szCs w:val="16"/>
                <w:color w:val="auto"/>
                <w:w w:val="98"/>
              </w:rPr>
              <w:t>(63)</w:t>
            </w:r>
          </w:p>
        </w:tc>
      </w:tr>
      <w:tr>
        <w:trPr>
          <w:trHeight w:val="213"/>
        </w:trPr>
        <w:tc>
          <w:tcPr>
            <w:tcW w:w="9300" w:type="dxa"/>
            <w:vAlign w:val="bottom"/>
            <w:gridSpan w:val="2"/>
          </w:tcPr>
          <w:p>
            <w:pPr>
              <w:ind w:left="20"/>
              <w:spacing w:after="0"/>
              <w:rPr>
                <w:sz w:val="20"/>
                <w:szCs w:val="20"/>
                <w:color w:val="auto"/>
              </w:rPr>
            </w:pPr>
            <w:r>
              <w:rPr>
                <w:rFonts w:ascii="Arial" w:cs="Arial" w:eastAsia="Arial" w:hAnsi="Arial"/>
                <w:sz w:val="16"/>
                <w:szCs w:val="16"/>
                <w:color w:val="auto"/>
              </w:rPr>
              <w:t>Cash conversion cycle</w:t>
            </w:r>
          </w:p>
        </w:tc>
        <w:tc>
          <w:tcPr>
            <w:tcW w:w="4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742"/>
              <w:spacing w:after="0"/>
              <w:rPr>
                <w:sz w:val="20"/>
                <w:szCs w:val="20"/>
                <w:color w:val="auto"/>
              </w:rPr>
            </w:pPr>
            <w:r>
              <w:rPr>
                <w:rFonts w:ascii="Arial" w:cs="Arial" w:eastAsia="Arial" w:hAnsi="Arial"/>
                <w:sz w:val="16"/>
                <w:szCs w:val="16"/>
                <w:color w:val="auto"/>
                <w:w w:val="89"/>
              </w:rPr>
              <w:t>69</w:t>
            </w:r>
          </w:p>
        </w:tc>
      </w:tr>
      <w:tr>
        <w:trPr>
          <w:trHeight w:val="20"/>
        </w:trPr>
        <w:tc>
          <w:tcPr>
            <w:tcW w:w="8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Changes in days sales outstanding (“DSO”) are generally due to the timing of shipments. Changes in days in inventory (“DIO”) are generally related to the timing of inventory builds. Changes in days payables outstanding (“DPO”) are generally related to production volume and the timing of purchases during the period. From time to time, we negotiate to modify the timing of payments to our vendors to manage our vendor relationships and to manage our cash flows, including our cash balances.</w:t>
      </w:r>
    </w:p>
    <w:p>
      <w:pPr>
        <w:spacing w:after="0" w:line="21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For the three months ended April 2, 2021, DSO decreased by 1 day over the prior year, primarily reflecting the timing of shipments and customer collections. We have seen no significant deterioration in our receivables as a result of COVID-19. DIO increased by 21 days over the prior year, primarily reflecting higher stocking levels of HDD inventory to serve anticipated demand growth and better output from Flash Ventures as production ramped up at the new fabrication site. With supply chains experiencing constraint as a result of COVID-19 and certain key component supply tightness, we are taking actions to ensure that we have the components we need to build products and are stocking higher levels of inventory so that we can ship by ocean and reduce higher cost air freight. DPO increased by 3 days over the prior year, primarily reflecting resumptions of flash production volumes as well as routine variations in the timing of purchases and payments during the period.</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Net cash used in investing activities for the nine months ended April 2, 2021 primarily consisted of $820 million in capital expenditures, partially offset by a $129 million net decrease in notes receivable issuances to Flash Ventures and proceeds of $121 million from the disposal of property, plant and equipment, primarily related to our business realignment activities. Net cash provided by investing activities for the nine months ended April 3, 2020 primarily consisted of a $627 million net decrease in notes receivable issuances to Flash Ventures to fund its capital expansion, partially offset by $432 million of capital expenditures.</w:t>
      </w:r>
    </w:p>
    <w:p>
      <w:pPr>
        <w:spacing w:after="0" w:line="21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nine months ended April 2, 2021, net cash used in financing activities primarily consisted of $673 million for repayment of debt, which included $450 million in voluntary prepayments on our Term Loan B-4. Net cash used in financing activities for the nine months ended April 3, 2020 primarily consisted of $919 million for the repayment of our debt and $445 million to pay dividends on our common stock. On April 30, 2021, we made an incremental voluntary prepayment of $150 million on our Term Loan B-4.</w:t>
      </w:r>
    </w:p>
    <w:p>
      <w:pPr>
        <w:spacing w:after="0" w:line="21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April 2020, we suspended our dividend to reinvest in the business and to support our ongoing deleveraging efforts. We will reevaluate our dividend policy as our leverage ratio improves.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Other than the commitments related to Flash Ventures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9, </w:t>
      </w:r>
      <w:r>
        <w:rPr>
          <w:rFonts w:ascii="Arial" w:cs="Arial" w:eastAsia="Arial" w:hAnsi="Arial"/>
          <w:sz w:val="17"/>
          <w:szCs w:val="17"/>
          <w:i w:val="1"/>
          <w:iCs w:val="1"/>
          <w:color w:val="auto"/>
        </w:rPr>
        <w:t>Related Parties and Related Commitments and Contingencies</w:t>
      </w:r>
      <w:r>
        <w:rPr>
          <w:rFonts w:ascii="Arial" w:cs="Arial" w:eastAsia="Arial" w:hAnsi="Arial"/>
          <w:sz w:val="17"/>
          <w:szCs w:val="17"/>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April 2,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Remaining three</w:t>
            </w:r>
          </w:p>
        </w:tc>
        <w:tc>
          <w:tcPr>
            <w:tcW w:w="160" w:type="dxa"/>
            <w:vAlign w:val="bottom"/>
          </w:tcPr>
          <w:p>
            <w:pPr>
              <w:spacing w:after="0"/>
              <w:rPr>
                <w:sz w:val="14"/>
                <w:szCs w:val="14"/>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2022-2023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2024-2025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Beyond 2025</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months of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line="220"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34"/>
        </w:trPr>
        <w:tc>
          <w:tcPr>
            <w:tcW w:w="4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968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3"/>
          <w:szCs w:val="23"/>
          <w:color w:val="auto"/>
          <w:vertAlign w:val="superscript"/>
        </w:rPr>
      </w:pPr>
    </w:p>
    <w:p>
      <w:pPr>
        <w:ind w:left="340" w:right="440" w:hanging="332"/>
        <w:spacing w:after="0" w:line="241"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In addition to our existing debt, we have $2.25 billion available for borrowing under our revolving credit facility, subject to customary conditions under the credit agreement. Additional information regarding our indebtedness, including information about availability under our revolving credit facility and the principal repayment terms, interest rates, covenants and other key terms of our outstanding indebtedness, is included in Part I, Item 1, Note 7, </w:t>
      </w:r>
      <w:r>
        <w:rPr>
          <w:rFonts w:ascii="Arial" w:cs="Arial" w:eastAsia="Arial" w:hAnsi="Arial"/>
          <w:sz w:val="17"/>
          <w:szCs w:val="17"/>
          <w:i w:val="1"/>
          <w:iCs w:val="1"/>
          <w:color w:val="auto"/>
        </w:rPr>
        <w:t>Debt,</w:t>
      </w:r>
      <w:r>
        <w:rPr>
          <w:rFonts w:ascii="Arial" w:cs="Arial" w:eastAsia="Arial" w:hAnsi="Arial"/>
          <w:sz w:val="17"/>
          <w:szCs w:val="17"/>
          <w:color w:val="auto"/>
        </w:rPr>
        <w:t xml:space="preserve"> of the Notes to Condensed Consolidated Financial Statements in this Quarterly Report on Form 10-Q and in Part II, Item 8, Note 6, </w:t>
      </w:r>
      <w:r>
        <w:rPr>
          <w:rFonts w:ascii="Arial" w:cs="Arial" w:eastAsia="Arial" w:hAnsi="Arial"/>
          <w:sz w:val="17"/>
          <w:szCs w:val="17"/>
          <w:i w:val="1"/>
          <w:iCs w:val="1"/>
          <w:color w:val="auto"/>
        </w:rPr>
        <w:t>Debt</w:t>
      </w:r>
      <w:r>
        <w:rPr>
          <w:rFonts w:ascii="Arial" w:cs="Arial" w:eastAsia="Arial" w:hAnsi="Arial"/>
          <w:sz w:val="17"/>
          <w:szCs w:val="17"/>
          <w:color w:val="auto"/>
        </w:rPr>
        <w:t>, of the Notes to Consolidated Financial Statements included in our Annual Report on Form 10-K for the fiscal year ended July 3, 2020. The credit agreement governing our revolving credit facility and Term Loan A-1 requires us to comply with certain financial covenants, consisting of a leverage ratio and an interest coverage ratio. As of April 2, 2021, we were in compliance with these financial covenants.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5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April 2, 2021, we were in compliance with all covenants under these Japanese lease facilities. See Part I, Item 1, Note 9, </w:t>
      </w:r>
      <w:r>
        <w:rPr>
          <w:rFonts w:ascii="Arial" w:cs="Arial" w:eastAsia="Arial" w:hAnsi="Arial"/>
          <w:sz w:val="17"/>
          <w:szCs w:val="17"/>
          <w:i w:val="1"/>
          <w:iCs w:val="1"/>
          <w:color w:val="auto"/>
        </w:rPr>
        <w:t>Related Parties and Related Commitments and Contingencies</w:t>
      </w:r>
      <w:r>
        <w:rPr>
          <w:rFonts w:ascii="Arial" w:cs="Arial" w:eastAsia="Arial" w:hAnsi="Arial"/>
          <w:sz w:val="17"/>
          <w:szCs w:val="17"/>
          <w:color w:val="auto"/>
        </w:rPr>
        <w:t>, of the Notes to Condensed Consolidated Financial Statements included in this Quarterly Report on Form 10-Q for information regarding Flash Ventures.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April 2,</w:t>
            </w:r>
          </w:p>
        </w:tc>
      </w:tr>
      <w:tr>
        <w:trPr>
          <w:trHeight w:val="188"/>
        </w:trPr>
        <w:tc>
          <w:tcPr>
            <w:tcW w:w="9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11"/>
        </w:trPr>
        <w:tc>
          <w:tcPr>
            <w:tcW w:w="9800" w:type="dxa"/>
            <w:vAlign w:val="bottom"/>
            <w:shd w:val="clear" w:color="auto" w:fill="CCEEFF"/>
          </w:tcPr>
          <w:p>
            <w:pPr>
              <w:jc w:val="right"/>
              <w:ind w:right="9359"/>
              <w:spacing w:after="0"/>
              <w:rPr>
                <w:sz w:val="20"/>
                <w:szCs w:val="20"/>
                <w:color w:val="auto"/>
              </w:rPr>
            </w:pPr>
            <w:r>
              <w:rPr>
                <w:rFonts w:ascii="Arial" w:cs="Arial" w:eastAsia="Arial" w:hAnsi="Arial"/>
                <w:sz w:val="16"/>
                <w:szCs w:val="16"/>
                <w:color w:val="auto"/>
                <w:w w:val="95"/>
              </w:rPr>
              <w:t>2022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9800" w:type="dxa"/>
            <w:vAlign w:val="bottom"/>
          </w:tcPr>
          <w:p>
            <w:pPr>
              <w:jc w:val="right"/>
              <w:ind w:right="9359"/>
              <w:spacing w:after="0"/>
              <w:rPr>
                <w:sz w:val="20"/>
                <w:szCs w:val="20"/>
                <w:color w:val="auto"/>
              </w:rPr>
            </w:pPr>
            <w:r>
              <w:rPr>
                <w:rFonts w:ascii="Arial" w:cs="Arial" w:eastAsia="Arial" w:hAnsi="Arial"/>
                <w:sz w:val="16"/>
                <w:szCs w:val="16"/>
                <w:color w:val="auto"/>
                <w:w w:val="95"/>
              </w:rPr>
              <w:t>2023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9800" w:type="dxa"/>
            <w:vAlign w:val="bottom"/>
            <w:shd w:val="clear" w:color="auto" w:fill="CCEEFF"/>
          </w:tcPr>
          <w:p>
            <w:pPr>
              <w:jc w:val="right"/>
              <w:ind w:right="9359"/>
              <w:spacing w:after="0"/>
              <w:rPr>
                <w:sz w:val="20"/>
                <w:szCs w:val="20"/>
                <w:color w:val="auto"/>
              </w:rPr>
            </w:pPr>
            <w:r>
              <w:rPr>
                <w:rFonts w:ascii="Arial" w:cs="Arial" w:eastAsia="Arial" w:hAnsi="Arial"/>
                <w:sz w:val="16"/>
                <w:szCs w:val="16"/>
                <w:color w:val="auto"/>
                <w:w w:val="95"/>
              </w:rPr>
              <w:t>2024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3"/>
        </w:trPr>
        <w:tc>
          <w:tcPr>
            <w:tcW w:w="9800" w:type="dxa"/>
            <w:vAlign w:val="bottom"/>
          </w:tcPr>
          <w:p>
            <w:pPr>
              <w:jc w:val="right"/>
              <w:ind w:right="9359"/>
              <w:spacing w:after="0"/>
              <w:rPr>
                <w:sz w:val="20"/>
                <w:szCs w:val="20"/>
                <w:color w:val="auto"/>
              </w:rPr>
            </w:pPr>
            <w:r>
              <w:rPr>
                <w:rFonts w:ascii="Arial" w:cs="Arial" w:eastAsia="Arial" w:hAnsi="Arial"/>
                <w:sz w:val="16"/>
                <w:szCs w:val="16"/>
                <w:color w:val="auto"/>
                <w:w w:val="95"/>
              </w:rPr>
              <w:t>2025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6"/>
        </w:trPr>
        <w:tc>
          <w:tcPr>
            <w:tcW w:w="9800" w:type="dxa"/>
            <w:vAlign w:val="bottom"/>
            <w:shd w:val="clear" w:color="auto" w:fill="CCEEFF"/>
          </w:tcPr>
          <w:p>
            <w:pPr>
              <w:jc w:val="right"/>
              <w:ind w:right="9359"/>
              <w:spacing w:after="0"/>
              <w:rPr>
                <w:sz w:val="20"/>
                <w:szCs w:val="20"/>
                <w:color w:val="auto"/>
              </w:rPr>
            </w:pPr>
            <w:r>
              <w:rPr>
                <w:rFonts w:ascii="Arial" w:cs="Arial" w:eastAsia="Arial" w:hAnsi="Arial"/>
                <w:sz w:val="16"/>
                <w:szCs w:val="16"/>
                <w:color w:val="auto"/>
                <w:w w:val="95"/>
              </w:rPr>
              <w:t>2026</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2"/>
        </w:trPr>
        <w:tc>
          <w:tcPr>
            <w:tcW w:w="9800" w:type="dxa"/>
            <w:vAlign w:val="bottom"/>
          </w:tcPr>
          <w:p>
            <w:pPr>
              <w:jc w:val="right"/>
              <w:ind w:right="9239"/>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r>
      <w:tr>
        <w:trPr>
          <w:trHeight w:val="21"/>
        </w:trPr>
        <w:tc>
          <w:tcPr>
            <w:tcW w:w="9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 xml:space="preserve">For additional information regarding our estimate of the total tax liability for the mandatory deemed repatriation tax, see Part II, Item 8,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Consolidated Financial Statements included in our Annual Report on Form 10-K for the fiscal year ended June 28,</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52"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 of April 2, 2021, the liability for unrecognized tax benefits (excluding accrued interest and penalties) was approximately $750 million. Accrued interest and penalties related to unrecognized tax benefits as of April 2, 2021 was approximately $133 million. Of these amounts, approximately $743 million could result in potential cash payments. We are not able to provide a reasonable estimate of the timing of future tax payments related to these obligations.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have generally held a balance of fixed and variable rate debt. At April 2, 2021, we had $5.64 billion of variable rate debt, comprising 62%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$3.64 billion of Long-term debt subject to variations in interest rates and a one percent increase in the variable rate of interest would increase annual interest expense by $36 million.</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1, Note 6,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 Form 10-Q.</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0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Board of Directors has authorized a stock repurchase program for the repurchase of up to $5.0 billion of our common stock, which authorization is effective through July 25, 2023. We did not make any stock repurchases during the nine months ended April 2, 2021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April 2, 2021 was $4.5 billion. Repurchases under the stock repurchase program may be made in the open market or in privately negotiated transactions and may be made under a Rule 10b5-1 plan.</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52"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issued a quarterly cash dividend from the first quarter of fiscal 2013 through the third quarter of fiscal 2020. In April 2020, we suspended our dividend to reinvest in the business and to support our ongoing deleveraging efforts. We will reevaluate our dividend policy as our leverage ratio improves.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215" w:lineRule="exact"/>
        <w:rPr>
          <w:sz w:val="20"/>
          <w:szCs w:val="20"/>
          <w:color w:val="auto"/>
        </w:rPr>
      </w:pPr>
    </w:p>
    <w:p>
      <w:pPr>
        <w:ind w:right="40" w:firstLine="324"/>
        <w:spacing w:after="0" w:line="220" w:lineRule="exact"/>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July 3, 2020.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July 3, 2020 for a discussion of our critical accounting policies and estimates.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There have been no material changes t</w:t>
      </w:r>
      <w:r>
        <w:rPr>
          <w:rFonts w:ascii="Arial" w:cs="Arial" w:eastAsia="Arial" w:hAnsi="Arial"/>
          <w:sz w:val="18"/>
          <w:szCs w:val="18"/>
          <w:color w:val="212529"/>
        </w:rPr>
        <w:t>o our market risk during the nine months ended</w:t>
      </w:r>
      <w:r>
        <w:rPr>
          <w:rFonts w:ascii="Arial" w:cs="Arial" w:eastAsia="Arial" w:hAnsi="Arial"/>
          <w:sz w:val="18"/>
          <w:szCs w:val="18"/>
          <w:color w:val="auto"/>
        </w:rPr>
        <w:t xml:space="preserve"> April 2, 2021</w:t>
      </w:r>
      <w:r>
        <w:rPr>
          <w:rFonts w:ascii="Arial" w:cs="Arial" w:eastAsia="Arial" w:hAnsi="Arial"/>
          <w:sz w:val="18"/>
          <w:szCs w:val="18"/>
          <w:color w:val="212529"/>
        </w:rPr>
        <w:t>. For a discussion of our exposure to market risk,</w:t>
      </w:r>
      <w:r>
        <w:rPr>
          <w:rFonts w:ascii="Arial" w:cs="Arial" w:eastAsia="Arial" w:hAnsi="Arial"/>
          <w:sz w:val="18"/>
          <w:szCs w:val="18"/>
          <w:color w:val="auto"/>
        </w:rPr>
        <w:t xml:space="preserve"> </w:t>
      </w:r>
      <w:r>
        <w:rPr>
          <w:rFonts w:ascii="Arial" w:cs="Arial" w:eastAsia="Arial" w:hAnsi="Arial"/>
          <w:sz w:val="18"/>
          <w:szCs w:val="18"/>
          <w:color w:val="212529"/>
        </w:rPr>
        <w:t>see Part II, Item 7A, “Quantitative and Qualitative Disclosures About Market Risk” in our Annual Report on Form 10-K for the fiscal year ended July 3, 2020.</w:t>
      </w:r>
    </w:p>
    <w:p>
      <w:pPr>
        <w:spacing w:after="0" w:line="200" w:lineRule="exact"/>
        <w:rPr>
          <w:sz w:val="20"/>
          <w:szCs w:val="20"/>
          <w:color w:val="auto"/>
        </w:rPr>
      </w:pPr>
    </w:p>
    <w:p>
      <w:pPr>
        <w:spacing w:after="0" w:line="2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the third quarter of fiscal 2021, we substantially completed the initial implementation of our enterprise resource planning system on a worldwide basis. These system changes resulted in the modification of certain processes and controls, but no changes materially affected, or are reasonably likely to materially affect, our internal control over financial reporting. Going forward, we expect to make routine enhancements and modifications in the normal course of business. In addition, as noted previously, we are implementing new reporting modules and processes to provide more discrete information to support our new organizational structure. As we implement these enhancements and modifications in future periods, we will continue to assess the impact on our internal control over financial reporting.</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II. OTHER INFORMATION</w:t>
      </w:r>
    </w:p>
    <w:p>
      <w:pPr>
        <w:spacing w:after="0" w:line="2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 for disclosures regarding statutory notices of deficiency issued by they IRS on June 28, 2018 and December 10, 2018, petitions filed by the Company with the U.S. Tax Court in September 2018 and March 2019, additional penalties asserted by the IRS in March 2021 and a tentative resolution with respect to certain matters.</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described under the heading “Risk Factors” in Part I, Item 1A of our Annual Report on Form 10-K for the fiscal year ended July 3, 2020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for the fiscal year ended July 3, 2020.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1" w:lineRule="exact"/>
        <w:rPr>
          <w:sz w:val="20"/>
          <w:szCs w:val="20"/>
          <w:color w:val="auto"/>
        </w:rPr>
      </w:pPr>
    </w:p>
    <w:p>
      <w:pPr>
        <w:ind w:right="160" w:firstLine="8"/>
        <w:spacing w:after="0" w:line="281" w:lineRule="auto"/>
        <w:tabs>
          <w:tab w:leader="none" w:pos="26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spacing w:after="0" w:line="1" w:lineRule="exact"/>
        <w:rPr>
          <w:rFonts w:ascii="Arial" w:cs="Arial" w:eastAsia="Arial" w:hAnsi="Arial"/>
          <w:sz w:val="16"/>
          <w:szCs w:val="16"/>
          <w:color w:val="auto"/>
        </w:rPr>
      </w:pPr>
    </w:p>
    <w:p>
      <w:pPr>
        <w:ind w:firstLine="8"/>
        <w:spacing w:after="0" w:line="260" w:lineRule="auto"/>
        <w:tabs>
          <w:tab w:leader="none" w:pos="30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2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198"/>
        </w:trPr>
        <w:tc>
          <w:tcPr>
            <w:tcW w:w="1240" w:type="dxa"/>
            <w:vAlign w:val="bottom"/>
            <w:gridSpan w:val="6"/>
          </w:tcPr>
          <w:p>
            <w:pPr>
              <w:jc w:val="center"/>
              <w:ind w:right="100"/>
              <w:spacing w:after="0" w:line="199" w:lineRule="exact"/>
              <w:rPr>
                <w:sz w:val="20"/>
                <w:szCs w:val="20"/>
                <w:color w:val="auto"/>
              </w:rPr>
            </w:pPr>
            <w:r>
              <w:rPr>
                <w:rFonts w:ascii="Arial" w:cs="Arial" w:eastAsia="Arial" w:hAnsi="Arial"/>
                <w:sz w:val="18"/>
                <w:szCs w:val="18"/>
                <w:color w:val="auto"/>
                <w:w w:val="99"/>
              </w:rPr>
              <w:t>Exhibit</w:t>
            </w:r>
          </w:p>
        </w:tc>
        <w:tc>
          <w:tcPr>
            <w:tcW w:w="10000" w:type="dxa"/>
            <w:vAlign w:val="bottom"/>
            <w:vMerge w:val="restart"/>
          </w:tcPr>
          <w:p>
            <w:pPr>
              <w:ind w:left="45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29"/>
        </w:trPr>
        <w:tc>
          <w:tcPr>
            <w:tcW w:w="124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Number</w:t>
            </w:r>
          </w:p>
        </w:tc>
        <w:tc>
          <w:tcPr>
            <w:tcW w:w="10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20" w:type="dxa"/>
            <w:vAlign w:val="bottom"/>
            <w:tcBorders>
              <w:top w:val="single" w:sz="8" w:color="auto"/>
            </w:tcBorders>
            <w:gridSpan w:val="4"/>
            <w:shd w:val="clear" w:color="auto" w:fill="CCEEFF"/>
          </w:tcPr>
          <w:p>
            <w:pPr>
              <w:jc w:val="center"/>
              <w:ind w:left="330"/>
              <w:spacing w:after="0" w:line="182" w:lineRule="exact"/>
              <w:rPr>
                <w:rFonts w:ascii="Arial" w:cs="Arial" w:eastAsia="Arial" w:hAnsi="Arial"/>
                <w:sz w:val="18"/>
                <w:szCs w:val="18"/>
                <w:color w:val="0000FF"/>
                <w:w w:val="87"/>
              </w:rPr>
            </w:pPr>
            <w:hyperlink r:id="rId7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Amended and Restated Certificate of Incorporation of Western Digital Corporation, as amended to date (Filed as Exhibit 3.1 to the</w:t>
            </w:r>
          </w:p>
        </w:tc>
        <w:tc>
          <w:tcPr>
            <w:tcW w:w="0" w:type="dxa"/>
            <w:vAlign w:val="bottom"/>
          </w:tcPr>
          <w:p>
            <w:pPr>
              <w:spacing w:after="0"/>
              <w:rPr>
                <w:sz w:val="1"/>
                <w:szCs w:val="1"/>
                <w:color w:val="auto"/>
              </w:rPr>
            </w:pPr>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189"/>
        </w:trPr>
        <w:tc>
          <w:tcPr>
            <w:tcW w:w="720" w:type="dxa"/>
            <w:vAlign w:val="bottom"/>
            <w:gridSpan w:val="4"/>
          </w:tcPr>
          <w:p>
            <w:pPr>
              <w:jc w:val="center"/>
              <w:ind w:left="330"/>
              <w:spacing w:after="0" w:line="189" w:lineRule="exact"/>
              <w:rPr>
                <w:rFonts w:ascii="Arial" w:cs="Arial" w:eastAsia="Arial" w:hAnsi="Arial"/>
                <w:sz w:val="18"/>
                <w:szCs w:val="18"/>
                <w:color w:val="0000FF"/>
                <w:w w:val="87"/>
              </w:rPr>
            </w:pPr>
            <w:hyperlink r:id="rId7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Arial" w:cs="Arial" w:eastAsia="Arial" w:hAnsi="Arial"/>
                <w:sz w:val="18"/>
                <w:szCs w:val="18"/>
                <w:color w:val="auto"/>
                <w:w w:val="93"/>
              </w:rPr>
              <w:t>Amended and Restated By-Laws of Western Digital Corporation, as amended effective as of February 10, 2021 (Filed as Exhibit 3.1 to</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ind w:left="20"/>
              <w:spacing w:after="0" w:line="196" w:lineRule="exact"/>
              <w:rPr>
                <w:sz w:val="20"/>
                <w:szCs w:val="20"/>
                <w:color w:val="auto"/>
              </w:rPr>
            </w:pPr>
            <w:r>
              <w:rPr>
                <w:rFonts w:ascii="Arial" w:cs="Arial" w:eastAsia="Arial" w:hAnsi="Arial"/>
                <w:sz w:val="18"/>
                <w:szCs w:val="18"/>
                <w:color w:val="auto"/>
                <w:w w:val="94"/>
              </w:rPr>
              <w:t>the Company’s Current Report on Form 8-K (File No. 1-08703) with the Securities and Exchange Commission on February 12, 2021)</w:t>
            </w:r>
          </w:p>
        </w:tc>
        <w:tc>
          <w:tcPr>
            <w:tcW w:w="0" w:type="dxa"/>
            <w:vAlign w:val="bottom"/>
          </w:tcPr>
          <w:p>
            <w:pPr>
              <w:spacing w:after="0"/>
              <w:rPr>
                <w:sz w:val="1"/>
                <w:szCs w:val="1"/>
                <w:color w:val="auto"/>
              </w:rPr>
            </w:pPr>
          </w:p>
        </w:tc>
      </w:tr>
      <w:tr>
        <w:trPr>
          <w:trHeight w:val="189"/>
        </w:trPr>
        <w:tc>
          <w:tcPr>
            <w:tcW w:w="1120" w:type="dxa"/>
            <w:vAlign w:val="bottom"/>
            <w:gridSpan w:val="5"/>
            <w:shd w:val="clear" w:color="auto" w:fill="CCEEFF"/>
          </w:tcPr>
          <w:p>
            <w:pPr>
              <w:jc w:val="center"/>
              <w:spacing w:after="0" w:line="189" w:lineRule="exact"/>
              <w:rPr>
                <w:rFonts w:ascii="Arial" w:cs="Arial" w:eastAsia="Arial" w:hAnsi="Arial"/>
                <w:sz w:val="18"/>
                <w:szCs w:val="18"/>
                <w:color w:val="0000FF"/>
                <w:w w:val="85"/>
              </w:rPr>
            </w:pPr>
            <w:hyperlink w:anchor="page5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Western Digital Corporation Executive Short-Term Incentive Plan, dated February 9, 2021†*</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tcPr>
          <w:p>
            <w:pPr>
              <w:jc w:val="center"/>
              <w:spacing w:after="0" w:line="189" w:lineRule="exact"/>
              <w:rPr>
                <w:rFonts w:ascii="Arial" w:cs="Arial" w:eastAsia="Arial" w:hAnsi="Arial"/>
                <w:sz w:val="18"/>
                <w:szCs w:val="18"/>
                <w:color w:val="0000FF"/>
                <w:w w:val="85"/>
              </w:rPr>
            </w:pPr>
            <w:hyperlink w:anchor="page6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shd w:val="clear" w:color="auto" w:fill="CCEEFF"/>
          </w:tcPr>
          <w:p>
            <w:pPr>
              <w:jc w:val="center"/>
              <w:spacing w:after="0" w:line="189" w:lineRule="exact"/>
              <w:rPr>
                <w:rFonts w:ascii="Arial" w:cs="Arial" w:eastAsia="Arial" w:hAnsi="Arial"/>
                <w:sz w:val="18"/>
                <w:szCs w:val="18"/>
                <w:color w:val="0000FF"/>
                <w:w w:val="85"/>
              </w:rPr>
            </w:pPr>
            <w:hyperlink w:anchor="page6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tcPr>
          <w:p>
            <w:pPr>
              <w:jc w:val="center"/>
              <w:spacing w:after="0" w:line="189" w:lineRule="exact"/>
              <w:rPr>
                <w:rFonts w:ascii="Arial" w:cs="Arial" w:eastAsia="Arial" w:hAnsi="Arial"/>
                <w:sz w:val="18"/>
                <w:szCs w:val="18"/>
                <w:color w:val="0000FF"/>
                <w:w w:val="85"/>
              </w:rPr>
            </w:pPr>
            <w:hyperlink w:anchor="page64">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20" w:type="dxa"/>
            <w:vAlign w:val="bottom"/>
          </w:tcPr>
          <w:p>
            <w:pPr>
              <w:spacing w:after="0"/>
              <w:rPr>
                <w:sz w:val="16"/>
                <w:szCs w:val="16"/>
                <w:color w:val="auto"/>
              </w:rPr>
            </w:pPr>
          </w:p>
        </w:tc>
        <w:tc>
          <w:tcPr>
            <w:tcW w:w="10000" w:type="dxa"/>
            <w:vAlign w:val="bottom"/>
          </w:tcPr>
          <w:p>
            <w:pPr>
              <w:ind w:left="20"/>
              <w:spacing w:after="0" w:line="189"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ind w:left="20"/>
              <w:spacing w:after="0" w:line="196" w:lineRule="exact"/>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89"/>
        </w:trPr>
        <w:tc>
          <w:tcPr>
            <w:tcW w:w="1120" w:type="dxa"/>
            <w:vAlign w:val="bottom"/>
            <w:gridSpan w:val="5"/>
            <w:shd w:val="clear" w:color="auto" w:fill="CCEEFF"/>
          </w:tcPr>
          <w:p>
            <w:pPr>
              <w:jc w:val="center"/>
              <w:spacing w:after="0" w:line="189" w:lineRule="exact"/>
              <w:rPr>
                <w:rFonts w:ascii="Arial" w:cs="Arial" w:eastAsia="Arial" w:hAnsi="Arial"/>
                <w:sz w:val="18"/>
                <w:szCs w:val="18"/>
                <w:color w:val="0000FF"/>
                <w:w w:val="85"/>
              </w:rPr>
            </w:pPr>
            <w:hyperlink w:anchor="page6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176"/>
        </w:trPr>
        <w:tc>
          <w:tcPr>
            <w:tcW w:w="1240" w:type="dxa"/>
            <w:vAlign w:val="bottom"/>
            <w:gridSpan w:val="6"/>
          </w:tcPr>
          <w:p>
            <w:pPr>
              <w:jc w:val="center"/>
              <w:ind w:right="100"/>
              <w:spacing w:after="0" w:line="176" w:lineRule="exact"/>
              <w:rPr>
                <w:sz w:val="20"/>
                <w:szCs w:val="20"/>
                <w:color w:val="auto"/>
              </w:rPr>
            </w:pPr>
            <w:r>
              <w:rPr>
                <w:rFonts w:ascii="Arial" w:cs="Arial" w:eastAsia="Arial" w:hAnsi="Arial"/>
                <w:sz w:val="18"/>
                <w:szCs w:val="18"/>
                <w:color w:val="auto"/>
                <w:w w:val="95"/>
              </w:rPr>
              <w:t>101.INS</w:t>
            </w: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240" w:type="dxa"/>
            <w:vAlign w:val="bottom"/>
            <w:gridSpan w:val="6"/>
            <w:shd w:val="clear" w:color="auto" w:fill="CCEEFF"/>
          </w:tcPr>
          <w:p>
            <w:pPr>
              <w:jc w:val="center"/>
              <w:ind w:right="100"/>
              <w:spacing w:after="0"/>
              <w:rPr>
                <w:sz w:val="20"/>
                <w:szCs w:val="20"/>
                <w:color w:val="auto"/>
              </w:rPr>
            </w:pPr>
            <w:r>
              <w:rPr>
                <w:rFonts w:ascii="Arial" w:cs="Arial" w:eastAsia="Arial" w:hAnsi="Arial"/>
                <w:sz w:val="18"/>
                <w:szCs w:val="18"/>
                <w:color w:val="auto"/>
                <w:w w:val="90"/>
              </w:rPr>
              <w:t>101.SCH</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240" w:type="dxa"/>
            <w:vAlign w:val="bottom"/>
            <w:gridSpan w:val="6"/>
          </w:tcPr>
          <w:p>
            <w:pPr>
              <w:jc w:val="center"/>
              <w:ind w:right="100"/>
              <w:spacing w:after="0"/>
              <w:rPr>
                <w:sz w:val="20"/>
                <w:szCs w:val="20"/>
                <w:color w:val="auto"/>
              </w:rPr>
            </w:pPr>
            <w:r>
              <w:rPr>
                <w:rFonts w:ascii="Arial" w:cs="Arial" w:eastAsia="Arial" w:hAnsi="Arial"/>
                <w:sz w:val="18"/>
                <w:szCs w:val="18"/>
                <w:color w:val="auto"/>
                <w:w w:val="94"/>
              </w:rPr>
              <w:t>101.CAL</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240" w:type="dxa"/>
            <w:vAlign w:val="bottom"/>
            <w:gridSpan w:val="6"/>
            <w:shd w:val="clear" w:color="auto" w:fill="CCEEFF"/>
          </w:tcPr>
          <w:p>
            <w:pPr>
              <w:jc w:val="center"/>
              <w:ind w:right="100"/>
              <w:spacing w:after="0"/>
              <w:rPr>
                <w:sz w:val="20"/>
                <w:szCs w:val="20"/>
                <w:color w:val="auto"/>
              </w:rPr>
            </w:pPr>
            <w:r>
              <w:rPr>
                <w:rFonts w:ascii="Arial" w:cs="Arial" w:eastAsia="Arial" w:hAnsi="Arial"/>
                <w:sz w:val="18"/>
                <w:szCs w:val="18"/>
                <w:color w:val="auto"/>
                <w:w w:val="95"/>
              </w:rPr>
              <w:t>101.LAB</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240" w:type="dxa"/>
            <w:vAlign w:val="bottom"/>
            <w:gridSpan w:val="6"/>
          </w:tcPr>
          <w:p>
            <w:pPr>
              <w:jc w:val="center"/>
              <w:ind w:right="100"/>
              <w:spacing w:after="0"/>
              <w:rPr>
                <w:sz w:val="20"/>
                <w:szCs w:val="20"/>
                <w:color w:val="auto"/>
              </w:rPr>
            </w:pPr>
            <w:r>
              <w:rPr>
                <w:rFonts w:ascii="Arial" w:cs="Arial" w:eastAsia="Arial" w:hAnsi="Arial"/>
                <w:sz w:val="18"/>
                <w:szCs w:val="18"/>
                <w:color w:val="auto"/>
                <w:w w:val="91"/>
              </w:rPr>
              <w:t>101.PRE</w:t>
            </w:r>
          </w:p>
        </w:tc>
        <w:tc>
          <w:tcPr>
            <w:tcW w:w="100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9"/>
        </w:trPr>
        <w:tc>
          <w:tcPr>
            <w:tcW w:w="1240" w:type="dxa"/>
            <w:vAlign w:val="bottom"/>
            <w:gridSpan w:val="6"/>
            <w:shd w:val="clear" w:color="auto" w:fill="CCEEFF"/>
          </w:tcPr>
          <w:p>
            <w:pPr>
              <w:jc w:val="center"/>
              <w:ind w:right="100"/>
              <w:spacing w:after="0"/>
              <w:rPr>
                <w:sz w:val="20"/>
                <w:szCs w:val="20"/>
                <w:color w:val="auto"/>
              </w:rPr>
            </w:pPr>
            <w:r>
              <w:rPr>
                <w:rFonts w:ascii="Arial" w:cs="Arial" w:eastAsia="Arial" w:hAnsi="Arial"/>
                <w:sz w:val="18"/>
                <w:szCs w:val="18"/>
                <w:color w:val="auto"/>
                <w:w w:val="92"/>
              </w:rPr>
              <w:t>101.DEF</w:t>
            </w: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ind w:left="1260" w:hanging="827"/>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9683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 w:lineRule="exact"/>
        <w:rPr>
          <w:sz w:val="20"/>
          <w:szCs w:val="20"/>
          <w:color w:val="auto"/>
        </w:rPr>
      </w:pPr>
    </w:p>
    <w:p>
      <w:pPr>
        <w:ind w:left="280" w:right="740" w:hanging="323"/>
        <w:spacing w:after="0" w:line="250" w:lineRule="auto"/>
        <w:tabs>
          <w:tab w:leader="none" w:pos="260" w:val="left"/>
        </w:tabs>
        <w:rPr>
          <w:sz w:val="20"/>
          <w:szCs w:val="20"/>
          <w:color w:val="auto"/>
        </w:rPr>
      </w:pPr>
      <w:r>
        <w:rPr>
          <w:rFonts w:ascii="Arial" w:cs="Arial" w:eastAsia="Arial" w:hAnsi="Arial"/>
          <w:sz w:val="18"/>
          <w:szCs w:val="18"/>
          <w:color w:val="auto"/>
        </w:rPr>
        <w:t>*</w:t>
        <w:tab/>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23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WESTERN DIGITAL CORPORATION</w:t>
      </w:r>
    </w:p>
    <w:p>
      <w:pPr>
        <w:spacing w:after="0" w:line="185" w:lineRule="exact"/>
        <w:rPr>
          <w:sz w:val="20"/>
          <w:szCs w:val="20"/>
          <w:color w:val="auto"/>
        </w:rPr>
      </w:pPr>
    </w:p>
    <w:p>
      <w:pPr>
        <w:ind w:left="5980"/>
        <w:spacing w:after="0"/>
        <w:tabs>
          <w:tab w:leader="none" w:pos="6420" w:val="left"/>
        </w:tabs>
        <w:rPr>
          <w:sz w:val="20"/>
          <w:szCs w:val="20"/>
          <w:color w:val="auto"/>
        </w:rPr>
      </w:pPr>
      <w:r>
        <w:rPr>
          <w:rFonts w:ascii="Arial" w:cs="Arial" w:eastAsia="Arial" w:hAnsi="Arial"/>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435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Gene Zamiska</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Vice President, Global Accounting and Chief Accounting Officer</w:t>
      </w:r>
    </w:p>
    <w:p>
      <w:pPr>
        <w:spacing w:after="0" w:line="4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Accounting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125" w:right="4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SHORT-TERM INCENTIVE PLAN</w:t>
      </w:r>
    </w:p>
    <w:p>
      <w:pPr>
        <w:spacing w:after="0" w:line="2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60" w:lineRule="exact"/>
        <w:rPr>
          <w:rFonts w:ascii="Arial" w:cs="Arial" w:eastAsia="Arial" w:hAnsi="Arial"/>
          <w:sz w:val="22"/>
          <w:szCs w:val="22"/>
          <w:b w:val="1"/>
          <w:bCs w:val="1"/>
          <w:color w:val="auto"/>
        </w:rPr>
      </w:pPr>
    </w:p>
    <w:p>
      <w:pPr>
        <w:jc w:val="both"/>
        <w:ind w:left="660"/>
        <w:spacing w:after="0" w:line="264" w:lineRule="auto"/>
        <w:rPr>
          <w:rFonts w:ascii="Arial" w:cs="Arial" w:eastAsia="Arial" w:hAnsi="Arial"/>
          <w:sz w:val="22"/>
          <w:szCs w:val="22"/>
          <w:b w:val="1"/>
          <w:bCs w:val="1"/>
          <w:color w:val="auto"/>
        </w:rPr>
      </w:pPr>
      <w:r>
        <w:rPr>
          <w:rFonts w:ascii="Arial" w:cs="Arial" w:eastAsia="Arial" w:hAnsi="Arial"/>
          <w:sz w:val="21"/>
          <w:szCs w:val="21"/>
          <w:color w:val="auto"/>
        </w:rPr>
        <w:t xml:space="preserve">The purpose of this Western Digital Corporation Executive Short-Term Incentive Plan (this </w:t>
      </w:r>
      <w:r>
        <w:rPr>
          <w:rFonts w:ascii="Arial" w:cs="Arial" w:eastAsia="Arial" w:hAnsi="Arial"/>
          <w:sz w:val="21"/>
          <w:szCs w:val="21"/>
          <w:b w:val="1"/>
          <w:bCs w:val="1"/>
          <w:color w:val="auto"/>
        </w:rPr>
        <w:t>“Plan”</w:t>
      </w:r>
      <w:r>
        <w:rPr>
          <w:rFonts w:ascii="Arial" w:cs="Arial" w:eastAsia="Arial" w:hAnsi="Arial"/>
          <w:sz w:val="21"/>
          <w:szCs w:val="21"/>
          <w:color w:val="auto"/>
        </w:rPr>
        <w:t xml:space="preserve">) is to promote the success of Western Digital Corporation,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by (i) compensating and rewarding participating executives with incentive awards for the achievement of performance goals, (ii) motivating such executives by giving them opportunities to receive incentive awards directly related to performance, and (iii) retaining executives by offering them an opportunity to share in the Company’s success.</w:t>
      </w:r>
    </w:p>
    <w:p>
      <w:pPr>
        <w:spacing w:after="0" w:line="210" w:lineRule="exact"/>
        <w:rPr>
          <w:rFonts w:ascii="Arial" w:cs="Arial" w:eastAsia="Arial" w:hAnsi="Arial"/>
          <w:sz w:val="22"/>
          <w:szCs w:val="22"/>
          <w:b w:val="1"/>
          <w:bCs w:val="1"/>
          <w:color w:val="auto"/>
        </w:rPr>
      </w:pPr>
    </w:p>
    <w:p>
      <w:pPr>
        <w:ind w:left="660" w:hanging="652"/>
        <w:spacing w:after="0"/>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73" w:lineRule="exact"/>
        <w:rPr>
          <w:rFonts w:ascii="Arial" w:cs="Arial" w:eastAsia="Arial" w:hAnsi="Arial"/>
          <w:sz w:val="22"/>
          <w:szCs w:val="22"/>
          <w:b w:val="1"/>
          <w:bCs w:val="1"/>
          <w:color w:val="auto"/>
        </w:rPr>
      </w:pPr>
    </w:p>
    <w:p>
      <w:pPr>
        <w:jc w:val="both"/>
        <w:ind w:left="6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“Administrator” </w:t>
      </w:r>
      <w:r>
        <w:rPr>
          <w:rFonts w:ascii="Arial" w:cs="Arial" w:eastAsia="Arial" w:hAnsi="Arial"/>
          <w:sz w:val="22"/>
          <w:szCs w:val="22"/>
          <w:color w:val="auto"/>
        </w:rPr>
        <w:t>means (i) the Committee with respect to Participants who are Executive Officers and (ii) for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who are not Executive Officers, either the Committee or the Chief Executive Officer of the Company, as determined in accordance with Section 3.1.</w:t>
      </w:r>
    </w:p>
    <w:p>
      <w:pPr>
        <w:spacing w:after="0" w:line="216" w:lineRule="exact"/>
        <w:rPr>
          <w:rFonts w:ascii="Arial" w:cs="Arial" w:eastAsia="Arial" w:hAnsi="Arial"/>
          <w:sz w:val="22"/>
          <w:szCs w:val="22"/>
          <w:b w:val="1"/>
          <w:bCs w:val="1"/>
          <w:color w:val="auto"/>
        </w:rPr>
      </w:pPr>
    </w:p>
    <w:p>
      <w:pPr>
        <w:ind w:left="660"/>
        <w:spacing w:after="0" w:line="26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means an award to a Participant of an opportunity to receive an Incentive Award under this Plan,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of this Plan.</w:t>
      </w:r>
    </w:p>
    <w:p>
      <w:pPr>
        <w:spacing w:after="0" w:line="20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Company’s Board of Directors.</w:t>
      </w:r>
    </w:p>
    <w:p>
      <w:pPr>
        <w:spacing w:after="0" w:line="260" w:lineRule="exact"/>
        <w:rPr>
          <w:rFonts w:ascii="Arial" w:cs="Arial" w:eastAsia="Arial" w:hAnsi="Arial"/>
          <w:sz w:val="22"/>
          <w:szCs w:val="22"/>
          <w:b w:val="1"/>
          <w:bCs w:val="1"/>
          <w:color w:val="auto"/>
        </w:rPr>
      </w:pPr>
    </w:p>
    <w:p>
      <w:pPr>
        <w:ind w:left="660" w:right="3460"/>
        <w:spacing w:after="0" w:line="514" w:lineRule="auto"/>
        <w:rPr>
          <w:rFonts w:ascii="Arial" w:cs="Arial" w:eastAsia="Arial" w:hAnsi="Arial"/>
          <w:sz w:val="22"/>
          <w:szCs w:val="22"/>
          <w:b w:val="1"/>
          <w:bCs w:val="1"/>
          <w:color w:val="auto"/>
        </w:rPr>
      </w:pPr>
      <w:r>
        <w:rPr>
          <w:rFonts w:ascii="Arial" w:cs="Arial" w:eastAsia="Arial" w:hAnsi="Arial"/>
          <w:sz w:val="21"/>
          <w:szCs w:val="21"/>
          <w:b w:val="1"/>
          <w:bCs w:val="1"/>
          <w:color w:val="auto"/>
        </w:rPr>
        <w:t xml:space="preserve">“Code” </w:t>
      </w:r>
      <w:r>
        <w:rPr>
          <w:rFonts w:ascii="Arial" w:cs="Arial" w:eastAsia="Arial" w:hAnsi="Arial"/>
          <w:sz w:val="21"/>
          <w:szCs w:val="21"/>
          <w:color w:val="auto"/>
        </w:rPr>
        <w:t>means the Internal Revenue Code of 1986, as amended from time to time.</w:t>
      </w:r>
      <w:r>
        <w:rPr>
          <w:rFonts w:ascii="Arial" w:cs="Arial" w:eastAsia="Arial" w:hAnsi="Arial"/>
          <w:sz w:val="21"/>
          <w:szCs w:val="21"/>
          <w:b w:val="1"/>
          <w:bCs w:val="1"/>
          <w:color w:val="auto"/>
        </w:rPr>
        <w:t xml:space="preserve"> “Committee” </w:t>
      </w:r>
      <w:r>
        <w:rPr>
          <w:rFonts w:ascii="Arial" w:cs="Arial" w:eastAsia="Arial" w:hAnsi="Arial"/>
          <w:sz w:val="21"/>
          <w:szCs w:val="21"/>
          <w:color w:val="auto"/>
        </w:rPr>
        <w:t>means the Compensation and Talent Committee of the Board.</w:t>
      </w:r>
      <w:r>
        <w:rPr>
          <w:rFonts w:ascii="Arial" w:cs="Arial" w:eastAsia="Arial" w:hAnsi="Arial"/>
          <w:sz w:val="21"/>
          <w:szCs w:val="21"/>
          <w:b w:val="1"/>
          <w:bCs w:val="1"/>
          <w:color w:val="auto"/>
        </w:rPr>
        <w:t xml:space="preserve"> “Company” </w:t>
      </w:r>
      <w:r>
        <w:rPr>
          <w:rFonts w:ascii="Arial" w:cs="Arial" w:eastAsia="Arial" w:hAnsi="Arial"/>
          <w:sz w:val="21"/>
          <w:szCs w:val="21"/>
          <w:color w:val="auto"/>
        </w:rPr>
        <w:t>is defined in in Section 1 of this Plan.</w:t>
      </w:r>
    </w:p>
    <w:p>
      <w:pPr>
        <w:jc w:val="both"/>
        <w:ind w:left="660"/>
        <w:spacing w:after="0" w:line="247"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“Eligible Wages” </w:t>
      </w:r>
      <w:r>
        <w:rPr>
          <w:rFonts w:ascii="Arial" w:cs="Arial" w:eastAsia="Arial" w:hAnsi="Arial"/>
          <w:sz w:val="22"/>
          <w:szCs w:val="22"/>
          <w:color w:val="auto"/>
        </w:rPr>
        <w:t>as to a Participant for a particular Performance Period means the amount of base salary or base wages</w:t>
      </w:r>
      <w:r>
        <w:rPr>
          <w:rFonts w:ascii="Arial" w:cs="Arial" w:eastAsia="Arial" w:hAnsi="Arial"/>
          <w:sz w:val="22"/>
          <w:szCs w:val="22"/>
          <w:b w:val="1"/>
          <w:bCs w:val="1"/>
          <w:color w:val="auto"/>
        </w:rPr>
        <w:t xml:space="preserve"> </w:t>
      </w:r>
      <w:r>
        <w:rPr>
          <w:rFonts w:ascii="Arial" w:cs="Arial" w:eastAsia="Arial" w:hAnsi="Arial"/>
          <w:sz w:val="22"/>
          <w:szCs w:val="22"/>
          <w:color w:val="auto"/>
        </w:rPr>
        <w:t>paid to the Participant by the Company and its Subsidiaries during that Performance Period, exclusive of any commissions, incentive awards, bonuses, other actual or imputed income from any benefits, stock or incentive awards, or perquisites provided by the Company or a Subsidiary, or other forms of compensation or benefits, but with base salary and base wages determined prior to any reductions for salary deferred pursuant to any deferred compensation plan or for contributions to a plan qualifying under Section 401(k) of the Code or contributions to a cafeteria plan under Section 125 of the Code.</w:t>
      </w:r>
    </w:p>
    <w:p>
      <w:pPr>
        <w:spacing w:after="0" w:line="229" w:lineRule="exact"/>
        <w:rPr>
          <w:rFonts w:ascii="Arial" w:cs="Arial" w:eastAsia="Arial" w:hAnsi="Arial"/>
          <w:sz w:val="22"/>
          <w:szCs w:val="22"/>
          <w:b w:val="1"/>
          <w:bCs w:val="1"/>
          <w:color w:val="auto"/>
        </w:rPr>
      </w:pPr>
    </w:p>
    <w:p>
      <w:pPr>
        <w:ind w:left="660"/>
        <w:spacing w:after="0" w:line="26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“Executive Officer” </w:t>
      </w:r>
      <w:r>
        <w:rPr>
          <w:rFonts w:ascii="Arial" w:cs="Arial" w:eastAsia="Arial" w:hAnsi="Arial"/>
          <w:sz w:val="22"/>
          <w:szCs w:val="22"/>
          <w:color w:val="auto"/>
        </w:rPr>
        <w:t>means the Company’s executive officers, as defined in Rule 16-a-1(f) of the Securities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7"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22"/>
          <w:szCs w:val="22"/>
          <w:b w:val="1"/>
          <w:bCs w:val="1"/>
          <w:color w:val="auto"/>
        </w:rPr>
        <w:t xml:space="preserve">“Incentive Award” </w:t>
      </w:r>
      <w:r>
        <w:rPr>
          <w:rFonts w:ascii="Arial" w:cs="Arial" w:eastAsia="Arial" w:hAnsi="Arial"/>
          <w:sz w:val="22"/>
          <w:szCs w:val="22"/>
          <w:color w:val="auto"/>
        </w:rPr>
        <w:t>means the cash payment payable to a Participant under this Plan.</w:t>
      </w:r>
    </w:p>
    <w:p>
      <w:pPr>
        <w:spacing w:after="0" w:line="260" w:lineRule="exact"/>
        <w:rPr>
          <w:sz w:val="20"/>
          <w:szCs w:val="20"/>
          <w:color w:val="auto"/>
        </w:rPr>
      </w:pPr>
    </w:p>
    <w:p>
      <w:pPr>
        <w:jc w:val="both"/>
        <w:ind w:left="660"/>
        <w:spacing w:after="0" w:line="293" w:lineRule="auto"/>
        <w:rPr>
          <w:sz w:val="20"/>
          <w:szCs w:val="20"/>
          <w:color w:val="auto"/>
        </w:rPr>
      </w:pPr>
      <w:r>
        <w:rPr>
          <w:rFonts w:ascii="Arial" w:cs="Arial" w:eastAsia="Arial" w:hAnsi="Arial"/>
          <w:sz w:val="21"/>
          <w:szCs w:val="21"/>
          <w:b w:val="1"/>
          <w:bCs w:val="1"/>
          <w:color w:val="auto"/>
        </w:rPr>
        <w:t xml:space="preserve">“Participant” </w:t>
      </w:r>
      <w:r>
        <w:rPr>
          <w:rFonts w:ascii="Arial" w:cs="Arial" w:eastAsia="Arial" w:hAnsi="Arial"/>
          <w:sz w:val="21"/>
          <w:szCs w:val="21"/>
          <w:color w:val="auto"/>
        </w:rPr>
        <w:t>means any Executive Officer or other Company executive at the level of Senior Vice President or above</w:t>
      </w:r>
      <w:r>
        <w:rPr>
          <w:rFonts w:ascii="Arial" w:cs="Arial" w:eastAsia="Arial" w:hAnsi="Arial"/>
          <w:sz w:val="21"/>
          <w:szCs w:val="21"/>
          <w:b w:val="1"/>
          <w:bCs w:val="1"/>
          <w:color w:val="auto"/>
        </w:rPr>
        <w:t xml:space="preserve"> </w:t>
      </w:r>
      <w:r>
        <w:rPr>
          <w:rFonts w:ascii="Arial" w:cs="Arial" w:eastAsia="Arial" w:hAnsi="Arial"/>
          <w:sz w:val="21"/>
          <w:szCs w:val="21"/>
          <w:color w:val="auto"/>
        </w:rPr>
        <w:t>who is not a participant in another Company cash-based incentive plan of the Company or any Subsidiary.</w:t>
      </w:r>
    </w:p>
    <w:p>
      <w:pPr>
        <w:spacing w:after="0" w:line="180"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b w:val="1"/>
          <w:bCs w:val="1"/>
          <w:color w:val="auto"/>
        </w:rPr>
        <w:t xml:space="preserve">“Performance Period” </w:t>
      </w:r>
      <w:r>
        <w:rPr>
          <w:rFonts w:ascii="Arial" w:cs="Arial" w:eastAsia="Arial" w:hAnsi="Arial"/>
          <w:sz w:val="21"/>
          <w:szCs w:val="21"/>
          <w:color w:val="auto"/>
        </w:rPr>
        <w:t>means the performance period covered by an Award granted under this Plan. The Administrator</w:t>
      </w:r>
      <w:r>
        <w:rPr>
          <w:rFonts w:ascii="Arial" w:cs="Arial" w:eastAsia="Arial" w:hAnsi="Arial"/>
          <w:sz w:val="21"/>
          <w:szCs w:val="21"/>
          <w:b w:val="1"/>
          <w:bCs w:val="1"/>
          <w:color w:val="auto"/>
        </w:rPr>
        <w:t xml:space="preserve"> </w:t>
      </w:r>
      <w:r>
        <w:rPr>
          <w:rFonts w:ascii="Arial" w:cs="Arial" w:eastAsia="Arial" w:hAnsi="Arial"/>
          <w:sz w:val="21"/>
          <w:szCs w:val="21"/>
          <w:color w:val="auto"/>
        </w:rPr>
        <w:t>may provide for performance periods that correspond to the Company’s fiscal year, one or more quarters in any Company fiscal year, or any other period the Administrator may determine to be appropriate.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is defined in Section 1 of this Plan.</w:t>
      </w:r>
    </w:p>
    <w:p>
      <w:pPr>
        <w:spacing w:after="0" w:line="26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corporation or other entity a majority of whose outstanding voting stock or voting power is</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beneficially owned directly or indirectly by the Company.</w:t>
      </w:r>
    </w:p>
    <w:p>
      <w:pPr>
        <w:spacing w:after="0" w:line="202"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b w:val="1"/>
          <w:bCs w:val="1"/>
          <w:color w:val="auto"/>
        </w:rPr>
        <w:t xml:space="preserve">“Target Incentive Award” </w:t>
      </w:r>
      <w:r>
        <w:rPr>
          <w:rFonts w:ascii="Arial" w:cs="Arial" w:eastAsia="Arial" w:hAnsi="Arial"/>
          <w:sz w:val="22"/>
          <w:szCs w:val="22"/>
          <w:color w:val="auto"/>
        </w:rPr>
        <w:t>with respect to an Award means the amount obtained by multiplying (i) the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Wages, by (ii) such Participant’s Target Incentive Award Percentage as in effect at the end of the Performance Period applicable to such Award.</w:t>
      </w:r>
    </w:p>
    <w:p>
      <w:pPr>
        <w:spacing w:after="0" w:line="217" w:lineRule="exact"/>
        <w:rPr>
          <w:sz w:val="20"/>
          <w:szCs w:val="20"/>
          <w:color w:val="auto"/>
        </w:rPr>
      </w:pPr>
    </w:p>
    <w:p>
      <w:pPr>
        <w:jc w:val="both"/>
        <w:ind w:left="660"/>
        <w:spacing w:after="0" w:line="267" w:lineRule="auto"/>
        <w:rPr>
          <w:sz w:val="20"/>
          <w:szCs w:val="20"/>
          <w:color w:val="auto"/>
        </w:rPr>
      </w:pPr>
      <w:r>
        <w:rPr>
          <w:rFonts w:ascii="Arial" w:cs="Arial" w:eastAsia="Arial" w:hAnsi="Arial"/>
          <w:sz w:val="21"/>
          <w:szCs w:val="21"/>
          <w:b w:val="1"/>
          <w:bCs w:val="1"/>
          <w:color w:val="auto"/>
        </w:rPr>
        <w:t xml:space="preserve">“Target Incentive Award Percentage” </w:t>
      </w:r>
      <w:r>
        <w:rPr>
          <w:rFonts w:ascii="Arial" w:cs="Arial" w:eastAsia="Arial" w:hAnsi="Arial"/>
          <w:sz w:val="21"/>
          <w:szCs w:val="21"/>
          <w:color w:val="auto"/>
        </w:rPr>
        <w:t>with respect to an Award, means the Participant’s target incentive award</w:t>
      </w:r>
      <w:r>
        <w:rPr>
          <w:rFonts w:ascii="Arial" w:cs="Arial" w:eastAsia="Arial" w:hAnsi="Arial"/>
          <w:sz w:val="21"/>
          <w:szCs w:val="21"/>
          <w:b w:val="1"/>
          <w:bCs w:val="1"/>
          <w:color w:val="auto"/>
        </w:rPr>
        <w:t xml:space="preserve"> </w:t>
      </w:r>
      <w:r>
        <w:rPr>
          <w:rFonts w:ascii="Arial" w:cs="Arial" w:eastAsia="Arial" w:hAnsi="Arial"/>
          <w:sz w:val="21"/>
          <w:szCs w:val="21"/>
          <w:color w:val="auto"/>
        </w:rPr>
        <w:t>opportunity as to the Performance Period covered by that Award, expressed as a percentage of the Participant’s Eligible Wages for that Performance Period, as determined from time to time by the Administrator or such other target incentive award opportunity percentage as may be determined from time to time by the Administrator.</w:t>
      </w:r>
    </w:p>
    <w:p>
      <w:pPr>
        <w:spacing w:after="0" w:line="20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79" w:lineRule="exact"/>
        <w:rPr>
          <w:rFonts w:ascii="Arial" w:cs="Arial" w:eastAsia="Arial" w:hAnsi="Arial"/>
          <w:sz w:val="22"/>
          <w:szCs w:val="22"/>
          <w:b w:val="1"/>
          <w:bCs w:val="1"/>
          <w:color w:val="auto"/>
        </w:rPr>
      </w:pPr>
    </w:p>
    <w:p>
      <w:pPr>
        <w:ind w:left="1300" w:hanging="648"/>
        <w:spacing w:after="0" w:line="260" w:lineRule="auto"/>
        <w:rPr>
          <w:rFonts w:ascii="Arial" w:cs="Arial" w:eastAsia="Arial" w:hAnsi="Arial"/>
          <w:sz w:val="22"/>
          <w:szCs w:val="22"/>
          <w:b w:val="1"/>
          <w:bCs w:val="1"/>
          <w:color w:val="auto"/>
        </w:rPr>
      </w:pPr>
      <w:r>
        <w:rPr>
          <w:rFonts w:ascii="Arial" w:cs="Arial" w:eastAsia="Arial" w:hAnsi="Arial"/>
          <w:sz w:val="21"/>
          <w:szCs w:val="21"/>
          <w:color w:val="auto"/>
        </w:rPr>
        <w:t xml:space="preserve">3.1 </w:t>
      </w:r>
      <w:r>
        <w:rPr>
          <w:rFonts w:ascii="Arial" w:cs="Arial" w:eastAsia="Arial" w:hAnsi="Arial"/>
          <w:sz w:val="21"/>
          <w:szCs w:val="21"/>
          <w:b w:val="1"/>
          <w:bCs w:val="1"/>
          <w:i w:val="1"/>
          <w:iCs w:val="1"/>
          <w:color w:val="auto"/>
        </w:rPr>
        <w:t>The Administrator.</w:t>
      </w:r>
      <w:r>
        <w:rPr>
          <w:rFonts w:ascii="Arial" w:cs="Arial" w:eastAsia="Arial" w:hAnsi="Arial"/>
          <w:sz w:val="21"/>
          <w:szCs w:val="21"/>
          <w:color w:val="auto"/>
        </w:rPr>
        <w:t xml:space="preserve"> This Plan will be administered by the Committee. The Committee may delegate any of its authority under this Plan to a subcommittee consisting of members of the Committee. Notwithstanding the foregoing, and subject to such limitations as the Committee deems appropriate, the Committee may delegate the responsibility for administering the Plan with respect to Participants who are not Executive Officers to the Chief Executive Officer. All references in this Plan to the “Administrator” shall be, as applicable, to the Committee, the Chief Executive Officer or any other committee to whom the authority to administer this Plan has been delegated in accordance with this section.</w:t>
      </w:r>
    </w:p>
    <w:p>
      <w:pPr>
        <w:spacing w:after="0" w:line="214" w:lineRule="exact"/>
        <w:rPr>
          <w:rFonts w:ascii="Arial" w:cs="Arial" w:eastAsia="Arial" w:hAnsi="Arial"/>
          <w:sz w:val="22"/>
          <w:szCs w:val="22"/>
          <w:b w:val="1"/>
          <w:bCs w:val="1"/>
          <w:color w:val="auto"/>
        </w:rPr>
      </w:pPr>
    </w:p>
    <w:p>
      <w:pPr>
        <w:ind w:left="1300" w:right="20" w:hanging="648"/>
        <w:spacing w:after="0" w:line="256" w:lineRule="auto"/>
        <w:rPr>
          <w:rFonts w:ascii="Arial" w:cs="Arial" w:eastAsia="Arial" w:hAnsi="Arial"/>
          <w:sz w:val="22"/>
          <w:szCs w:val="22"/>
          <w:b w:val="1"/>
          <w:bCs w:val="1"/>
          <w:color w:val="auto"/>
        </w:rPr>
      </w:pPr>
      <w:r>
        <w:rPr>
          <w:rFonts w:ascii="Arial" w:cs="Arial" w:eastAsia="Arial" w:hAnsi="Arial"/>
          <w:sz w:val="22"/>
          <w:szCs w:val="22"/>
          <w:color w:val="auto"/>
        </w:rPr>
        <w:t>3.2</w:t>
      </w:r>
      <w:r>
        <w:rPr>
          <w:rFonts w:ascii="Arial" w:cs="Arial" w:eastAsia="Arial" w:hAnsi="Arial"/>
          <w:sz w:val="22"/>
          <w:szCs w:val="22"/>
          <w:b w:val="1"/>
          <w:bCs w:val="1"/>
          <w:i w:val="1"/>
          <w:iCs w:val="1"/>
          <w:color w:val="auto"/>
        </w:rPr>
        <w:t>Powers of the Administrator</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Subject to the express provisions of this Plan, the Administrator will have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responsibility for the administration of this Plan in accordance with its terms, including without limitation the authority to (i) determine eligibility to participate in this Plan and, from those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2" w:right="339" w:bottom="1440" w:gutter="0" w:footer="0" w:header="0"/>
        </w:sectPr>
      </w:pPr>
    </w:p>
    <w:bookmarkStart w:id="55" w:name="page56"/>
    <w:bookmarkEnd w:id="55"/>
    <w:p>
      <w:pPr>
        <w:jc w:val="both"/>
        <w:ind w:left="1300"/>
        <w:spacing w:after="0" w:line="258" w:lineRule="auto"/>
        <w:rPr>
          <w:sz w:val="20"/>
          <w:szCs w:val="20"/>
          <w:color w:val="auto"/>
        </w:rPr>
      </w:pPr>
      <w:r>
        <w:rPr>
          <w:rFonts w:ascii="Arial" w:cs="Arial" w:eastAsia="Arial" w:hAnsi="Arial"/>
          <w:sz w:val="21"/>
          <w:szCs w:val="21"/>
          <w:color w:val="auto"/>
        </w:rPr>
        <w:t>determined to be eligible, the particular individuals who will receive an Award under this Plan; (ii) establish the terms and conditions applicable to each Award, including (without limitation) the applicable Performance Period, Target Incentive Award Percentage, applicable measures of performance, and other terms and conditions; (iii) construe and interpret this Plan and any agreements or other document relating to Awards under this Plan; (iv) adopt rules and regulations relating to the administration of this Plan; and (v) exercise all other duties and powers conferred on it by this Plan. Any determination by the Administrator will be final, binding, and conclusive on all applicable Participants to whom the Administrator’s authority extends. Neither the Administrator, nor any person acting at the direction thereof, nor any member of the Board will be liable for any act, omission, interpretation, construction or determination made in good faith in connection with this Plan (or any Award made under this Plan).</w:t>
      </w:r>
    </w:p>
    <w:p>
      <w:pPr>
        <w:spacing w:after="0" w:line="22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Incentive Award Provisions.</w:t>
      </w:r>
    </w:p>
    <w:p>
      <w:pPr>
        <w:spacing w:after="0" w:line="266" w:lineRule="exact"/>
        <w:rPr>
          <w:rFonts w:ascii="Arial" w:cs="Arial" w:eastAsia="Arial" w:hAnsi="Arial"/>
          <w:sz w:val="22"/>
          <w:szCs w:val="22"/>
          <w:b w:val="1"/>
          <w:bCs w:val="1"/>
          <w:color w:val="auto"/>
        </w:rPr>
      </w:pPr>
    </w:p>
    <w:p>
      <w:pPr>
        <w:ind w:left="1300" w:hanging="648"/>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 xml:space="preserve">4.1 </w:t>
      </w:r>
      <w:r>
        <w:rPr>
          <w:rFonts w:ascii="Arial" w:cs="Arial" w:eastAsia="Arial" w:hAnsi="Arial"/>
          <w:sz w:val="19"/>
          <w:szCs w:val="19"/>
          <w:b w:val="1"/>
          <w:bCs w:val="1"/>
          <w:i w:val="1"/>
          <w:iCs w:val="1"/>
          <w:color w:val="auto"/>
        </w:rPr>
        <w:t>Determination of Incentive Awards.</w:t>
      </w:r>
      <w:r>
        <w:rPr>
          <w:rFonts w:ascii="Arial" w:cs="Arial" w:eastAsia="Arial" w:hAnsi="Arial"/>
          <w:sz w:val="19"/>
          <w:szCs w:val="19"/>
          <w:color w:val="auto"/>
        </w:rPr>
        <w:t xml:space="preserve"> The Administrator will establish the formula to be used to determine any Incentive Award payable with respect to an Award for the applicable Performance Period, which formula may be based, or take into account, any or all of the following as may be determined by the Administrator in its sole discretion: (i) performance measures based on Company performance on a consolidated basis; (ii) the performance of a subsidiary, division, business unit, or product line; (iii) individual performance; (iv) measurement of performance based on absolute performance or relative performance (such as, without limitation, relative to another company, group of companies, or an index); (v) objective and/or subjective measures; and (vi) criteria to assess performance, including but not limited to, net operating income or profit, pre- or after-tax income, revenue, funds from operations, total shareholder equity or return, gross margin, cash flow, earnings per share, total addressable market, or any other criterion or criteria the Administrator may select. In no event (unless otherwise provided by the Administrator) will the Incentive Award for any Award exceed an amount equal to three (3) times the Target Incentive Award for such Award.</w:t>
      </w:r>
    </w:p>
    <w:p>
      <w:pPr>
        <w:spacing w:after="0" w:line="200" w:lineRule="exact"/>
        <w:rPr>
          <w:rFonts w:ascii="Arial" w:cs="Arial" w:eastAsia="Arial" w:hAnsi="Arial"/>
          <w:sz w:val="22"/>
          <w:szCs w:val="22"/>
          <w:b w:val="1"/>
          <w:bCs w:val="1"/>
          <w:color w:val="auto"/>
        </w:rPr>
      </w:pPr>
    </w:p>
    <w:p>
      <w:pPr>
        <w:spacing w:after="0" w:line="273" w:lineRule="exact"/>
        <w:rPr>
          <w:rFonts w:ascii="Arial" w:cs="Arial" w:eastAsia="Arial" w:hAnsi="Arial"/>
          <w:sz w:val="22"/>
          <w:szCs w:val="22"/>
          <w:b w:val="1"/>
          <w:bCs w:val="1"/>
          <w:color w:val="auto"/>
        </w:rPr>
      </w:pPr>
    </w:p>
    <w:p>
      <w:pPr>
        <w:ind w:left="1300" w:hanging="648"/>
        <w:spacing w:after="0" w:line="290" w:lineRule="auto"/>
        <w:rPr>
          <w:rFonts w:ascii="Arial" w:cs="Arial" w:eastAsia="Arial" w:hAnsi="Arial"/>
          <w:sz w:val="22"/>
          <w:szCs w:val="22"/>
          <w:b w:val="1"/>
          <w:bCs w:val="1"/>
          <w:color w:val="auto"/>
        </w:rPr>
      </w:pPr>
      <w:r>
        <w:rPr>
          <w:rFonts w:ascii="Arial" w:cs="Arial" w:eastAsia="Arial" w:hAnsi="Arial"/>
          <w:sz w:val="19"/>
          <w:szCs w:val="19"/>
          <w:color w:val="auto"/>
        </w:rPr>
        <w:t xml:space="preserve">4.2 </w:t>
      </w:r>
      <w:r>
        <w:rPr>
          <w:rFonts w:ascii="Arial" w:cs="Arial" w:eastAsia="Arial" w:hAnsi="Arial"/>
          <w:sz w:val="19"/>
          <w:szCs w:val="19"/>
          <w:b w:val="1"/>
          <w:bCs w:val="1"/>
          <w:i w:val="1"/>
          <w:iCs w:val="1"/>
          <w:color w:val="auto"/>
        </w:rPr>
        <w:t>Newly Hired or Promoted Executives.</w:t>
      </w:r>
      <w:r>
        <w:rPr>
          <w:rFonts w:ascii="Arial" w:cs="Arial" w:eastAsia="Arial" w:hAnsi="Arial"/>
          <w:sz w:val="19"/>
          <w:szCs w:val="19"/>
          <w:color w:val="auto"/>
        </w:rPr>
        <w:t xml:space="preserve"> Unless otherwise provided by the Administrator, a newly hired or promoted individual who becomes a Participant during a Performance Period will be eligible to receive an Incentive Award for that Performance Period so long as such individual commences employment at or is promoted to a level that has been determined by the Administrator as eligible for participation in this Plan. Such individual’s Incentive Award shall be based on the Eligible Wages the individual actually receives during such Performance Period. Unless otherwise provided by the Administrator, a newly hired individual or a newly promoted individual must be employed by the Company or one of its Subsidiaries in an eligible position for at least one month of a Performance Period to be eligible to receive an Incentive Award during such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56" w:name="page57"/>
    <w:bookmarkEnd w:id="56"/>
    <w:p>
      <w:pPr>
        <w:jc w:val="both"/>
        <w:ind w:left="80" w:hanging="647"/>
        <w:spacing w:after="0" w:line="288" w:lineRule="auto"/>
        <w:tabs>
          <w:tab w:leader="none" w:pos="6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i w:val="1"/>
          <w:iCs w:val="1"/>
          <w:color w:val="auto"/>
        </w:rPr>
        <w:t xml:space="preserve">Termination of Employment; Changes in Position. </w:t>
      </w:r>
      <w:r>
        <w:rPr>
          <w:rFonts w:ascii="Arial" w:cs="Arial" w:eastAsia="Arial" w:hAnsi="Arial"/>
          <w:sz w:val="19"/>
          <w:szCs w:val="19"/>
          <w:color w:val="auto"/>
        </w:rPr>
        <w:t>Unless otherwise expressly provided by the Administrator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a separate Company plan applicable to the Participant or a written contract between the Participant and the Company, a Participant’s Award will immediately terminate in the event that such Participant’s employment with the Company and its Subsidiaries terminates for any reason prior to the end of the Performance Period covered by such Award, and the Participant will not be entitled to an Incentive Award payment (and in no event will the Participant be considered to have earned or satisfied the conditions for any Incentive Award payment) in respect of such Award. If a Participant’s employment with the Company and its Subsidiaries terminates on or after the end of a Performance Period covered by the Participant’s Award, but before such Award is paid, the Participant will receive such Incentive Award payment as soon as reasonably practicable following the termination of employment but in no event later than the period set forth in Section 4.6 of this Plan.</w:t>
      </w:r>
    </w:p>
    <w:p>
      <w:pPr>
        <w:spacing w:after="0" w:line="200" w:lineRule="exact"/>
        <w:rPr>
          <w:sz w:val="20"/>
          <w:szCs w:val="20"/>
          <w:color w:val="auto"/>
        </w:rPr>
      </w:pPr>
    </w:p>
    <w:p>
      <w:pPr>
        <w:jc w:val="both"/>
        <w:ind w:left="180"/>
        <w:spacing w:after="0" w:line="263" w:lineRule="auto"/>
        <w:rPr>
          <w:sz w:val="20"/>
          <w:szCs w:val="20"/>
          <w:color w:val="auto"/>
        </w:rPr>
      </w:pPr>
      <w:r>
        <w:rPr>
          <w:rFonts w:ascii="Arial" w:cs="Arial" w:eastAsia="Arial" w:hAnsi="Arial"/>
          <w:sz w:val="21"/>
          <w:szCs w:val="21"/>
          <w:color w:val="auto"/>
        </w:rPr>
        <w:t>The Administrator may in its sole discretion make such adjustments (including, without limitation, to the Participant’s Target Incentive Award Percentage or to the methodology or measures used to determine the Participant’s Incentive Award), or it may terminate the Participant’s participation in this Plan, as it may determine to be appropriate in the event of a change in a Participant’s position, duties, employment status (for example, full-time or part-time), leave of absence, or similar change in circumstances.</w:t>
      </w:r>
    </w:p>
    <w:p>
      <w:pPr>
        <w:spacing w:after="0" w:line="216" w:lineRule="exact"/>
        <w:rPr>
          <w:sz w:val="20"/>
          <w:szCs w:val="20"/>
          <w:color w:val="auto"/>
        </w:rPr>
      </w:pPr>
    </w:p>
    <w:p>
      <w:pPr>
        <w:jc w:val="both"/>
        <w:ind w:left="100" w:hanging="647"/>
        <w:spacing w:after="0" w:line="286" w:lineRule="auto"/>
        <w:tabs>
          <w:tab w:leader="none" w:pos="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i w:val="1"/>
          <w:iCs w:val="1"/>
          <w:color w:val="auto"/>
        </w:rPr>
        <w:t xml:space="preserve">Adjustments; Early Termination. </w:t>
      </w:r>
      <w:r>
        <w:rPr>
          <w:rFonts w:ascii="Arial" w:cs="Arial" w:eastAsia="Arial" w:hAnsi="Arial"/>
          <w:sz w:val="19"/>
          <w:szCs w:val="19"/>
          <w:color w:val="auto"/>
        </w:rPr>
        <w:t>The Administrator has the sole discretion to adjust the performance measures,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goals, relative weights of the measures, and other provisions of then-outstanding Awards under this Plan to reflect one or more of the following: (i) items related to a change in accounting principle, (ii) items relating to financing activities, (iii) expenses for restructuring or productivity initiatives, (iv) other non-operating items,</w:t>
      </w:r>
    </w:p>
    <w:p>
      <w:pPr>
        <w:spacing w:after="0" w:line="3" w:lineRule="exact"/>
        <w:rPr>
          <w:sz w:val="20"/>
          <w:szCs w:val="20"/>
          <w:color w:val="auto"/>
        </w:rPr>
      </w:pPr>
    </w:p>
    <w:p>
      <w:pPr>
        <w:jc w:val="both"/>
        <w:ind w:left="180" w:firstLine="4"/>
        <w:spacing w:after="0" w:line="281" w:lineRule="auto"/>
        <w:tabs>
          <w:tab w:leader="none" w:pos="51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items related to acquisitions, (vi) items attributable to the business operations of any entity acquired by the Company during the Performance Period, (vii) items related to the disposal of a business or segment of a business,</w:t>
      </w:r>
    </w:p>
    <w:p>
      <w:pPr>
        <w:spacing w:after="0" w:line="1" w:lineRule="exact"/>
        <w:rPr>
          <w:rFonts w:ascii="Arial" w:cs="Arial" w:eastAsia="Arial" w:hAnsi="Arial"/>
          <w:sz w:val="19"/>
          <w:szCs w:val="19"/>
          <w:color w:val="auto"/>
        </w:rPr>
      </w:pPr>
    </w:p>
    <w:p>
      <w:pPr>
        <w:jc w:val="both"/>
        <w:ind w:left="180" w:firstLine="4"/>
        <w:spacing w:after="0" w:line="286" w:lineRule="auto"/>
        <w:tabs>
          <w:tab w:leader="none" w:pos="698" w:val="left"/>
        </w:tabs>
        <w:numPr>
          <w:ilvl w:val="0"/>
          <w:numId w:val="15"/>
        </w:numPr>
        <w:rPr>
          <w:rFonts w:ascii="Arial" w:cs="Arial" w:eastAsia="Arial" w:hAnsi="Arial"/>
          <w:sz w:val="19"/>
          <w:szCs w:val="19"/>
          <w:color w:val="auto"/>
        </w:rPr>
      </w:pPr>
      <w:r>
        <w:rPr>
          <w:rFonts w:ascii="Arial" w:cs="Arial" w:eastAsia="Arial" w:hAnsi="Arial"/>
          <w:sz w:val="19"/>
          <w:szCs w:val="19"/>
          <w:color w:val="auto"/>
        </w:rPr>
        <w:t>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(xi) items relating to unusual or extraordinary corporate transactions, events or developments, (xii) items related to amortization of acquired intangible assets, (xiii) items that are outside the scope of core, on-going business activities, (xiv) items related to acquired in-process research and development, (xv) items relating to changes in tax laws, (xvi) items relating to licensing or partnership arrangements, (xvii) items relating to asset impairment charges, (xviii) items relating to gains or losses for litigation, arbitration and contractual settlements, (xix) items related to fluctuations in currency exchange rates, or (xx) items relating to any other unusual or nonrecurring events or changes in applicable law or business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20"/>
          </w:cols>
          <w:pgMar w:left="1440" w:top="1428" w:right="339" w:bottom="1440" w:gutter="0" w:footer="0" w:header="0"/>
        </w:sectPr>
      </w:pPr>
    </w:p>
    <w:bookmarkStart w:id="57" w:name="page58"/>
    <w:bookmarkEnd w:id="57"/>
    <w:p>
      <w:pPr>
        <w:jc w:val="both"/>
        <w:ind w:left="1300"/>
        <w:spacing w:after="0" w:line="265" w:lineRule="auto"/>
        <w:rPr>
          <w:sz w:val="20"/>
          <w:szCs w:val="20"/>
          <w:color w:val="auto"/>
        </w:rPr>
      </w:pPr>
      <w:r>
        <w:rPr>
          <w:rFonts w:ascii="Arial" w:cs="Arial" w:eastAsia="Arial" w:hAnsi="Arial"/>
          <w:sz w:val="21"/>
          <w:szCs w:val="21"/>
          <w:color w:val="auto"/>
        </w:rPr>
        <w:t>Notwithstanding any other provision herein, the Administrator will have discretion to settle or terminate, as the Administrator may determine in its sole discretion and (in the case of a settlement) in such amount (if any) as the Administrator may determine to be appropriate in its sole discretion, any Award granted hereunder in connection with any merger, reorganization or other corporation transaction.</w:t>
      </w:r>
    </w:p>
    <w:p>
      <w:pPr>
        <w:spacing w:after="0" w:line="216" w:lineRule="exact"/>
        <w:rPr>
          <w:sz w:val="20"/>
          <w:szCs w:val="20"/>
          <w:color w:val="auto"/>
        </w:rPr>
      </w:pPr>
    </w:p>
    <w:p>
      <w:pPr>
        <w:jc w:val="both"/>
        <w:ind w:left="1200" w:hanging="647"/>
        <w:spacing w:after="0" w:line="246" w:lineRule="auto"/>
        <w:tabs>
          <w:tab w:leader="none" w:pos="11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b w:val="1"/>
          <w:bCs w:val="1"/>
          <w:i w:val="1"/>
          <w:iCs w:val="1"/>
          <w:color w:val="auto"/>
        </w:rPr>
        <w:t xml:space="preserve">Administrator Discretion to Determine Incentive Awards. </w:t>
      </w:r>
      <w:r>
        <w:rPr>
          <w:rFonts w:ascii="Arial" w:cs="Arial" w:eastAsia="Arial" w:hAnsi="Arial"/>
          <w:sz w:val="22"/>
          <w:szCs w:val="22"/>
          <w:color w:val="auto"/>
        </w:rPr>
        <w:t>The Administrator has the sole discretion to determine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performance goals and criteria for each Award and whether all or any portion of the amount so calculated will be paid, subject in all cases to the terms, conditions and limits of this Plan. To this same extent, the Administrator may at any time establish additional conditions and terms of an Award or for the payment of Incentive Awards (including but not limited to the achievement of other financial, strategic or individual goals, which may be objective or subjective) as the Administrator may deem desirable and may take into account such other factors as the Administrator deems appropriate.</w:t>
      </w:r>
    </w:p>
    <w:p>
      <w:pPr>
        <w:spacing w:after="0" w:line="237" w:lineRule="exact"/>
        <w:rPr>
          <w:sz w:val="20"/>
          <w:szCs w:val="20"/>
          <w:color w:val="auto"/>
        </w:rPr>
      </w:pPr>
    </w:p>
    <w:p>
      <w:pPr>
        <w:jc w:val="both"/>
        <w:ind w:left="1160" w:hanging="647"/>
        <w:spacing w:after="0" w:line="236" w:lineRule="auto"/>
        <w:tabs>
          <w:tab w:leader="none" w:pos="11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b w:val="1"/>
          <w:bCs w:val="1"/>
          <w:i w:val="1"/>
          <w:iCs w:val="1"/>
          <w:color w:val="auto"/>
        </w:rPr>
        <w:t xml:space="preserve">Form and Time of Payment. </w:t>
      </w:r>
      <w:r>
        <w:rPr>
          <w:rFonts w:ascii="Arial" w:cs="Arial" w:eastAsia="Arial" w:hAnsi="Arial"/>
          <w:sz w:val="22"/>
          <w:szCs w:val="22"/>
          <w:color w:val="auto"/>
        </w:rPr>
        <w:t>Any Incentive Award earned and payable in accordance with this Plan will be paid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cash (subject to tax withholding pursuant to Section 5.4) as soon as reasonably practicable following the determination of such Incentive Award amount pursuant to Section 4.1 of this Plan, but in no event later than (a) March 15 of the calendar year following the calendar year in which the applicable Performance Period ends, or (b) if later, the last day of the period ending on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month following the end of the Company’s fiscal year in which the applicable Performance Period ends, in each case, in accordance with Treasury Regulation Section 1.409A-1(b)(4)(i).</w:t>
      </w:r>
    </w:p>
    <w:p>
      <w:pPr>
        <w:spacing w:after="0" w:line="25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6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 xml:space="preserve">5.1  </w:t>
      </w:r>
      <w:r>
        <w:rPr>
          <w:rFonts w:ascii="Arial" w:cs="Arial" w:eastAsia="Arial" w:hAnsi="Arial"/>
          <w:sz w:val="22"/>
          <w:szCs w:val="22"/>
          <w:b w:val="1"/>
          <w:bCs w:val="1"/>
          <w:i w:val="1"/>
          <w:iCs w:val="1"/>
          <w:color w:val="auto"/>
        </w:rPr>
        <w:t>Rights of Participants.</w:t>
      </w:r>
    </w:p>
    <w:p>
      <w:pPr>
        <w:spacing w:after="0" w:line="260" w:lineRule="exact"/>
        <w:rPr>
          <w:rFonts w:ascii="Arial" w:cs="Arial" w:eastAsia="Arial" w:hAnsi="Arial"/>
          <w:sz w:val="22"/>
          <w:szCs w:val="22"/>
          <w:b w:val="1"/>
          <w:bCs w:val="1"/>
          <w:color w:val="auto"/>
        </w:rPr>
      </w:pPr>
    </w:p>
    <w:p>
      <w:pPr>
        <w:jc w:val="both"/>
        <w:ind w:left="1960" w:hanging="656"/>
        <w:spacing w:after="0" w:line="288" w:lineRule="auto"/>
        <w:tabs>
          <w:tab w:leader="none" w:pos="1957"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No Right to Awards or Continued Employment.</w:t>
      </w:r>
      <w:r>
        <w:rPr>
          <w:rFonts w:ascii="Arial" w:cs="Arial" w:eastAsia="Arial" w:hAnsi="Arial"/>
          <w:sz w:val="19"/>
          <w:szCs w:val="19"/>
          <w:color w:val="auto"/>
        </w:rPr>
        <w:t xml:space="preserve"> Neither the establishment of this Plan, nor the provision for or payment of any amounts hereunder, nor any action of the Company or any of its officers, employees or directors in respect of this Plan will be held or construed to confer upon any person any legal right to receive, an Award, an Incentive Award or any other benefit under the Plan. Nothing contained in this Plan (or in any other documents evidencing any Award under this Plan) will confer upon any employee or Participant any right to continued employment with the Company or any Subsidiary, constitute any contract or agreement of employment or affect an employee’s status as an employee at will, nor will it interfere in any way with the right of the Company or any Subsidiary to change any person’s compensation or other benefits, or to terminate his or her employment, with or without cause. Nothing in this Section 5.1(a), however, is intended to adversely affect any express independent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58" w:name="page59"/>
    <w:bookmarkEnd w:id="58"/>
    <w:p>
      <w:pPr>
        <w:ind w:left="840"/>
        <w:spacing w:after="0"/>
        <w:rPr>
          <w:sz w:val="20"/>
          <w:szCs w:val="20"/>
          <w:color w:val="auto"/>
        </w:rPr>
      </w:pPr>
      <w:r>
        <w:rPr>
          <w:rFonts w:ascii="Arial" w:cs="Arial" w:eastAsia="Arial" w:hAnsi="Arial"/>
          <w:sz w:val="21"/>
          <w:szCs w:val="21"/>
          <w:color w:val="auto"/>
        </w:rPr>
        <w:t>such person under a separate written employment contract with the Company or any Subsidiary.</w:t>
      </w:r>
    </w:p>
    <w:p>
      <w:pPr>
        <w:spacing w:after="0" w:line="272" w:lineRule="exact"/>
        <w:rPr>
          <w:sz w:val="20"/>
          <w:szCs w:val="20"/>
          <w:color w:val="auto"/>
        </w:rPr>
      </w:pPr>
    </w:p>
    <w:p>
      <w:pPr>
        <w:jc w:val="both"/>
        <w:ind w:left="840" w:hanging="656"/>
        <w:spacing w:after="0" w:line="289" w:lineRule="auto"/>
        <w:tabs>
          <w:tab w:leader="none" w:pos="835"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Plan Not Funded.</w:t>
      </w:r>
      <w:r>
        <w:rPr>
          <w:rFonts w:ascii="Arial" w:cs="Arial" w:eastAsia="Arial" w:hAnsi="Arial"/>
          <w:sz w:val="19"/>
          <w:szCs w:val="19"/>
          <w:color w:val="auto"/>
        </w:rPr>
        <w:t xml:space="preserve"> Awards payable under this Plan will be payable from the general assets of the Company, and no special or separate reserve, fund or deposit will be made to assure payment of such Awards. No Participant or other person will have any right, title or interest in any fund or in any specific asset of the Company or any Subsidiary by reason of any Award hereunder. Neither the provisions of this Plan (or of any related documents), nor the creation or adoption of this Plan, nor any action taken pursuant to the provisions of this Plan will create, or be construed to create, a trust of any kind or a fiduciary relationship between the Company or one of its Subsidiaries and any Participant or other person. To the extent that a Participant or other person acquires a right to receive payment pursuant to any Award hereunder, such right will be no greater than the right of any unsecured general creditor of the Company.</w:t>
      </w:r>
    </w:p>
    <w:p>
      <w:pPr>
        <w:spacing w:after="0" w:line="184" w:lineRule="exact"/>
        <w:rPr>
          <w:sz w:val="20"/>
          <w:szCs w:val="20"/>
          <w:color w:val="auto"/>
        </w:rPr>
      </w:pPr>
    </w:p>
    <w:p>
      <w:pPr>
        <w:jc w:val="both"/>
        <w:ind w:left="80" w:hanging="647"/>
        <w:spacing w:after="0" w:line="253" w:lineRule="auto"/>
        <w:tabs>
          <w:tab w:leader="none" w:pos="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b w:val="1"/>
          <w:bCs w:val="1"/>
          <w:i w:val="1"/>
          <w:iCs w:val="1"/>
          <w:color w:val="auto"/>
        </w:rPr>
        <w:t xml:space="preserve">Non-Transferability of Benefits and Interests. </w:t>
      </w:r>
      <w:r>
        <w:rPr>
          <w:rFonts w:ascii="Arial" w:cs="Arial" w:eastAsia="Arial" w:hAnsi="Arial"/>
          <w:sz w:val="22"/>
          <w:szCs w:val="22"/>
          <w:color w:val="auto"/>
        </w:rPr>
        <w:t>Except as expressly provided by the Administrator, all Awards are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non-transferable, and no benefit payable under this Plan will be subject in any manner to sale, transfer, anticipation, alienation, assignment, pledge, encumbrance or charge.</w:t>
      </w:r>
    </w:p>
    <w:p>
      <w:pPr>
        <w:spacing w:after="0" w:line="226" w:lineRule="exact"/>
        <w:rPr>
          <w:sz w:val="20"/>
          <w:szCs w:val="20"/>
          <w:color w:val="auto"/>
        </w:rPr>
      </w:pPr>
    </w:p>
    <w:p>
      <w:pPr>
        <w:jc w:val="both"/>
        <w:ind w:left="180" w:hanging="647"/>
        <w:spacing w:after="0" w:line="247" w:lineRule="auto"/>
        <w:tabs>
          <w:tab w:leader="none" w:pos="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b w:val="1"/>
          <w:bCs w:val="1"/>
          <w:i w:val="1"/>
          <w:iCs w:val="1"/>
          <w:color w:val="auto"/>
        </w:rPr>
        <w:t xml:space="preserve">Governing Law; Severability. </w:t>
      </w:r>
      <w:r>
        <w:rPr>
          <w:rFonts w:ascii="Arial" w:cs="Arial" w:eastAsia="Arial" w:hAnsi="Arial"/>
          <w:sz w:val="22"/>
          <w:szCs w:val="22"/>
          <w:color w:val="auto"/>
        </w:rPr>
        <w:t>This Plan, the Awards, all documents evidencing awards and all other related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documents will be governed by, and construed in accordance with, the laws of the State of Delaware, notwithstanding any Delaware or other conflict of law provision to the contrary. If any provision or provisions of this Plan will be held to be invalid, illegal, or unenforceable, such provision will be enforced to the fullest extent permitted by applicable law and the validity, legality, and enforceability of the remaining provisions will not in any way be affected or impaired.</w:t>
      </w:r>
    </w:p>
    <w:p>
      <w:pPr>
        <w:spacing w:after="0" w:line="247" w:lineRule="exact"/>
        <w:rPr>
          <w:sz w:val="20"/>
          <w:szCs w:val="20"/>
          <w:color w:val="auto"/>
        </w:rPr>
      </w:pPr>
    </w:p>
    <w:p>
      <w:pPr>
        <w:jc w:val="both"/>
        <w:ind w:left="120" w:hanging="647"/>
        <w:spacing w:after="0" w:line="265" w:lineRule="auto"/>
        <w:tabs>
          <w:tab w:leader="none" w:pos="1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b w:val="1"/>
          <w:bCs w:val="1"/>
          <w:i w:val="1"/>
          <w:iCs w:val="1"/>
          <w:color w:val="auto"/>
        </w:rPr>
        <w:t xml:space="preserve">Tax Withholding. </w:t>
      </w:r>
      <w:r>
        <w:rPr>
          <w:rFonts w:ascii="Arial" w:cs="Arial" w:eastAsia="Arial" w:hAnsi="Arial"/>
          <w:sz w:val="21"/>
          <w:szCs w:val="21"/>
          <w:color w:val="auto"/>
        </w:rPr>
        <w:t>In connection with the payment of any Incentive Award, the Company will have the right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deduct from the amount of the Incentive Award, or any other compensation or amounts payable to the Participant, the amount of any federal, state, local or other income, employment or other taxes that the Company or any Subsidiary may be required to withhold with respect to such Incentive Award payment.</w:t>
      </w:r>
    </w:p>
    <w:p>
      <w:pPr>
        <w:spacing w:after="0" w:line="216" w:lineRule="exact"/>
        <w:rPr>
          <w:sz w:val="20"/>
          <w:szCs w:val="20"/>
          <w:color w:val="auto"/>
        </w:rPr>
      </w:pPr>
    </w:p>
    <w:p>
      <w:pPr>
        <w:jc w:val="both"/>
        <w:ind w:left="140" w:hanging="647"/>
        <w:spacing w:after="0" w:line="297" w:lineRule="auto"/>
        <w:tabs>
          <w:tab w:leader="none" w:pos="1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i w:val="1"/>
          <w:iCs w:val="1"/>
          <w:color w:val="auto"/>
        </w:rPr>
        <w:t xml:space="preserve">No Vested Rights; Amendments, Suspension or Termination of Plan. </w:t>
      </w:r>
      <w:r>
        <w:rPr>
          <w:rFonts w:ascii="Arial" w:cs="Arial" w:eastAsia="Arial" w:hAnsi="Arial"/>
          <w:sz w:val="19"/>
          <w:szCs w:val="19"/>
          <w:color w:val="auto"/>
        </w:rPr>
        <w:t>No Participant will have, at any time,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vested right to any benefit under this Plan (other than as to Incentive Award amounts theretofore actually paid, subject to Section 5.10). The Company or the Administrator may at any time terminate, amend, modify or suspend this Plan, in whole or in part and/or with respect to any or all Awards or Participants (other than as to Incentive Award amounts actually paid prior to the date of such action by the Company or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20"/>
          </w:cols>
          <w:pgMar w:left="1440" w:top="1428" w:right="339" w:bottom="1440" w:gutter="0" w:footer="0" w:header="0"/>
        </w:sectPr>
      </w:pPr>
    </w:p>
    <w:bookmarkStart w:id="59" w:name="page60"/>
    <w:bookmarkEnd w:id="59"/>
    <w:p>
      <w:pPr>
        <w:jc w:val="both"/>
        <w:ind w:left="80" w:hanging="647"/>
        <w:spacing w:after="0" w:line="253" w:lineRule="auto"/>
        <w:tabs>
          <w:tab w:leader="none" w:pos="6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b w:val="1"/>
          <w:bCs w:val="1"/>
          <w:i w:val="1"/>
          <w:iCs w:val="1"/>
          <w:color w:val="auto"/>
        </w:rPr>
        <w:t xml:space="preserve">Captions; Construction. </w:t>
      </w:r>
      <w:r>
        <w:rPr>
          <w:rFonts w:ascii="Arial" w:cs="Arial" w:eastAsia="Arial" w:hAnsi="Arial"/>
          <w:sz w:val="22"/>
          <w:szCs w:val="22"/>
          <w:color w:val="auto"/>
        </w:rPr>
        <w:t>Captions and headings are given to the sections and subsections of this Plan solely as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convenience to facilitate reference. Such headings will not be deemed in any way material or relevant to the construction or interpretation of this Plan or any provision thereof.</w:t>
      </w:r>
    </w:p>
    <w:p>
      <w:pPr>
        <w:spacing w:after="0" w:line="226" w:lineRule="exact"/>
        <w:rPr>
          <w:sz w:val="20"/>
          <w:szCs w:val="20"/>
          <w:color w:val="auto"/>
        </w:rPr>
      </w:pPr>
    </w:p>
    <w:p>
      <w:pPr>
        <w:jc w:val="both"/>
        <w:ind w:left="20" w:hanging="647"/>
        <w:spacing w:after="0" w:line="263" w:lineRule="auto"/>
        <w:rPr>
          <w:sz w:val="20"/>
          <w:szCs w:val="20"/>
          <w:color w:val="auto"/>
        </w:rPr>
      </w:pPr>
      <w:r>
        <w:rPr>
          <w:rFonts w:ascii="Arial" w:cs="Arial" w:eastAsia="Arial" w:hAnsi="Arial"/>
          <w:sz w:val="22"/>
          <w:szCs w:val="22"/>
          <w:color w:val="auto"/>
        </w:rPr>
        <w:t>5.7</w:t>
      </w:r>
      <w:r>
        <w:rPr>
          <w:sz w:val="20"/>
          <w:szCs w:val="20"/>
          <w:color w:val="auto"/>
        </w:rPr>
        <w:t xml:space="preserve"> </w:t>
      </w:r>
      <w:r>
        <w:rPr>
          <w:rFonts w:ascii="Arial" w:cs="Arial" w:eastAsia="Arial" w:hAnsi="Arial"/>
          <w:sz w:val="22"/>
          <w:szCs w:val="22"/>
          <w:b w:val="1"/>
          <w:bCs w:val="1"/>
          <w:i w:val="1"/>
          <w:iCs w:val="1"/>
          <w:color w:val="auto"/>
        </w:rPr>
        <w:t xml:space="preserve">Non-Exclusivity of Plan. </w:t>
      </w:r>
      <w:r>
        <w:rPr>
          <w:rFonts w:ascii="Arial" w:cs="Arial" w:eastAsia="Arial" w:hAnsi="Arial"/>
          <w:sz w:val="22"/>
          <w:szCs w:val="22"/>
          <w:color w:val="auto"/>
        </w:rPr>
        <w:t>Nothing in this Plan will limit or be deemed to limit the authority of the Company to grant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awards or authorize any other compensation under any other plan or authority.</w:t>
      </w:r>
    </w:p>
    <w:p>
      <w:pPr>
        <w:spacing w:after="0" w:line="215" w:lineRule="exact"/>
        <w:rPr>
          <w:sz w:val="20"/>
          <w:szCs w:val="20"/>
          <w:color w:val="auto"/>
        </w:rPr>
      </w:pPr>
    </w:p>
    <w:p>
      <w:pPr>
        <w:jc w:val="both"/>
        <w:ind w:left="40" w:hanging="647"/>
        <w:spacing w:after="0" w:line="250" w:lineRule="auto"/>
        <w:tabs>
          <w:tab w:leader="none" w:pos="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b w:val="1"/>
          <w:bCs w:val="1"/>
          <w:i w:val="1"/>
          <w:iCs w:val="1"/>
          <w:color w:val="auto"/>
        </w:rPr>
        <w:t xml:space="preserve">Dispute Resolution: </w:t>
      </w:r>
      <w:r>
        <w:rPr>
          <w:rFonts w:ascii="Arial" w:cs="Arial" w:eastAsia="Arial" w:hAnsi="Arial"/>
          <w:sz w:val="22"/>
          <w:szCs w:val="22"/>
          <w:color w:val="auto"/>
        </w:rPr>
        <w:t>All disputes concerning Plan implementation must be submitted in writing to the next level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management within thirty (30) days of the occurrence of the event triggering a dispute. The Administrator will have the sole responsibility to review and resolve all disputes and will make the final and binding decision with respect thereto.</w:t>
      </w:r>
    </w:p>
    <w:p>
      <w:pPr>
        <w:spacing w:after="0" w:line="242" w:lineRule="exact"/>
        <w:rPr>
          <w:sz w:val="20"/>
          <w:szCs w:val="20"/>
          <w:color w:val="auto"/>
        </w:rPr>
      </w:pPr>
    </w:p>
    <w:p>
      <w:pPr>
        <w:jc w:val="both"/>
        <w:ind w:left="180"/>
        <w:spacing w:after="0" w:line="287" w:lineRule="auto"/>
        <w:rPr>
          <w:sz w:val="20"/>
          <w:szCs w:val="20"/>
          <w:color w:val="auto"/>
        </w:rPr>
      </w:pPr>
      <w:r>
        <w:rPr>
          <w:rFonts w:ascii="Arial" w:cs="Arial" w:eastAsia="Arial" w:hAnsi="Arial"/>
          <w:sz w:val="19"/>
          <w:szCs w:val="19"/>
          <w:color w:val="auto"/>
        </w:rPr>
        <w:t>Furthermore, with respect to each Participant who is employed by the Company or any Subsidiary in the United States: to the fullest extent allowed by law, any dispute regarding the Plan, any claim for wages or compensation or any aspect of this Plan (“</w:t>
      </w:r>
      <w:r>
        <w:rPr>
          <w:rFonts w:ascii="Arial" w:cs="Arial" w:eastAsia="Arial" w:hAnsi="Arial"/>
          <w:sz w:val="19"/>
          <w:szCs w:val="19"/>
          <w:b w:val="1"/>
          <w:bCs w:val="1"/>
          <w:color w:val="auto"/>
        </w:rPr>
        <w:t>Arbitrable Claims</w:t>
      </w:r>
      <w:r>
        <w:rPr>
          <w:rFonts w:ascii="Arial" w:cs="Arial" w:eastAsia="Arial" w:hAnsi="Arial"/>
          <w:sz w:val="19"/>
          <w:szCs w:val="19"/>
          <w:color w:val="auto"/>
        </w:rPr>
        <w:t>”) will be settled by final and binding arbitration before a single arbitrator in the county in which the Participant worked in accordance with the JAMS Employment Arbitration Rules and Procedures (“</w:t>
      </w:r>
      <w:r>
        <w:rPr>
          <w:rFonts w:ascii="Arial" w:cs="Arial" w:eastAsia="Arial" w:hAnsi="Arial"/>
          <w:sz w:val="19"/>
          <w:szCs w:val="19"/>
          <w:b w:val="1"/>
          <w:bCs w:val="1"/>
          <w:color w:val="auto"/>
        </w:rPr>
        <w:t>Rules</w:t>
      </w:r>
      <w:r>
        <w:rPr>
          <w:rFonts w:ascii="Arial" w:cs="Arial" w:eastAsia="Arial" w:hAnsi="Arial"/>
          <w:sz w:val="19"/>
          <w:szCs w:val="19"/>
          <w:color w:val="auto"/>
        </w:rPr>
        <w:t>”), or equivalent rules in effect at the time the arbitration demand is filed, as the exclusive remedy for such dispute, and judgment upon the award rendered by the arbitrator may be entered in any court having jurisdiction thereof. As in any arbitration, the burden of proof will be allocated as provided by applicable law. Both the Participant and the Company will be entitled to file dispositive motions before the arbitrator to the same extent as would be allowed had the dispute been heard in a court of law having jurisdiction over the parties' claims or counterclaims. The arbitrator will have the same authority as a court to award equitable relief, damages, costs, and fees as provided by law or the applicable rules for the particular claims asserted.</w:t>
      </w:r>
    </w:p>
    <w:p>
      <w:pPr>
        <w:spacing w:after="0" w:line="204" w:lineRule="exact"/>
        <w:rPr>
          <w:sz w:val="20"/>
          <w:szCs w:val="20"/>
          <w:color w:val="auto"/>
        </w:rPr>
      </w:pPr>
    </w:p>
    <w:p>
      <w:pPr>
        <w:jc w:val="both"/>
        <w:ind w:left="180"/>
        <w:spacing w:after="0" w:line="260" w:lineRule="auto"/>
        <w:rPr>
          <w:sz w:val="20"/>
          <w:szCs w:val="20"/>
          <w:color w:val="auto"/>
        </w:rPr>
      </w:pPr>
      <w:r>
        <w:rPr>
          <w:rFonts w:ascii="Arial" w:cs="Arial" w:eastAsia="Arial" w:hAnsi="Arial"/>
          <w:sz w:val="21"/>
          <w:szCs w:val="21"/>
          <w:color w:val="auto"/>
        </w:rPr>
        <w:t>The arbitration proceedings do not provide for jury trials, but for a hearing before one independent, neutral arbitrator. Therefore, in agreeing to arbitrate claims, both the Participant and the Company and its affiliates are waiving a trial or hearing before a jury. The participant agrees that any Arbitrable Claims will be resolved on an individual basis and agrees to waive his or her right, to the extent allowed by applicable law to consolidate any Arbitrable Claims with the claims of any other person in a class or collective action. For the avoidance of doubt, the arbitrator may not consolidate more than one person’s or entity’s claims, and may not preside over any form of representative or class proceeding.</w:t>
      </w:r>
    </w:p>
    <w:p>
      <w:pPr>
        <w:spacing w:after="0" w:line="221"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Participants who are employed by the Company or any Subsidiary outside of the United States (other than Participants who are U.S. citizens and/or taxpayers in the United States) agree that any action arising from, or under, the Plan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120"/>
          </w:cols>
          <w:pgMar w:left="1440" w:top="1428" w:right="339" w:bottom="1440" w:gutter="0" w:footer="0" w:header="0"/>
        </w:sectPr>
      </w:pPr>
    </w:p>
    <w:bookmarkStart w:id="60" w:name="page61"/>
    <w:bookmarkEnd w:id="60"/>
    <w:p>
      <w:pPr>
        <w:jc w:val="both"/>
        <w:ind w:left="640"/>
        <w:spacing w:after="0" w:line="265" w:lineRule="auto"/>
        <w:rPr>
          <w:sz w:val="20"/>
          <w:szCs w:val="20"/>
          <w:color w:val="auto"/>
        </w:rPr>
      </w:pPr>
      <w:r>
        <w:rPr>
          <w:rFonts w:ascii="Arial" w:cs="Arial" w:eastAsia="Arial" w:hAnsi="Arial"/>
          <w:sz w:val="21"/>
          <w:szCs w:val="21"/>
          <w:color w:val="auto"/>
        </w:rPr>
        <w:t>brought only in an administrative agency, court, or other applicable adjudicatory body of competent jurisdiction in the country whose laws govern the terms and conditions of such Participant’s employment (including participation in the Plan) with any such action subject to the laws of such country. To the extent permissible under the applicable laws, the parties expressly waive their right to a jury trial.</w:t>
      </w:r>
    </w:p>
    <w:p>
      <w:pPr>
        <w:spacing w:after="0" w:line="216" w:lineRule="exact"/>
        <w:rPr>
          <w:sz w:val="20"/>
          <w:szCs w:val="20"/>
          <w:color w:val="auto"/>
        </w:rPr>
      </w:pPr>
    </w:p>
    <w:p>
      <w:pPr>
        <w:jc w:val="both"/>
        <w:ind w:left="500" w:hanging="647"/>
        <w:spacing w:after="0" w:line="294" w:lineRule="auto"/>
        <w:tabs>
          <w:tab w:leader="none" w:pos="4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b w:val="1"/>
          <w:bCs w:val="1"/>
          <w:i w:val="1"/>
          <w:iCs w:val="1"/>
          <w:color w:val="auto"/>
        </w:rPr>
        <w:t xml:space="preserve">Code Section 409A. </w:t>
      </w:r>
      <w:r>
        <w:rPr>
          <w:rFonts w:ascii="Arial" w:cs="Arial" w:eastAsia="Arial" w:hAnsi="Arial"/>
          <w:sz w:val="19"/>
          <w:szCs w:val="19"/>
          <w:color w:val="auto"/>
        </w:rPr>
        <w:t>The Company’s intent is that any payments and benefits paid under this Plan be exempt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comply with, Section 409A of the Code so as to not result in any tax, penalty or interest thereunder. To the maximum extent permitted, this Plan will be interpreted and administered consistent with such intent. Each payment under this Plan will be construed as a separate identified payment for purposes of Section 409A of the Code, and any payments described in this Plan that are due within the “short term deferral period” as defined in Section 409A of the Code will not be treated as deferred compensation unless applicable law requires otherwise.</w:t>
      </w:r>
    </w:p>
    <w:p>
      <w:pPr>
        <w:spacing w:after="0" w:line="190" w:lineRule="exact"/>
        <w:rPr>
          <w:sz w:val="20"/>
          <w:szCs w:val="20"/>
          <w:color w:val="auto"/>
        </w:rPr>
      </w:pPr>
    </w:p>
    <w:p>
      <w:pPr>
        <w:jc w:val="both"/>
        <w:ind w:left="600" w:hanging="647"/>
        <w:spacing w:after="0" w:line="248" w:lineRule="auto"/>
        <w:tabs>
          <w:tab w:leader="none" w:pos="5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22"/>
          <w:szCs w:val="22"/>
          <w:b w:val="1"/>
          <w:bCs w:val="1"/>
          <w:i w:val="1"/>
          <w:iCs w:val="1"/>
          <w:color w:val="auto"/>
        </w:rPr>
        <w:t xml:space="preserve">Clawback Provisions. </w:t>
      </w:r>
      <w:r>
        <w:rPr>
          <w:rFonts w:ascii="Arial" w:cs="Arial" w:eastAsia="Arial" w:hAnsi="Arial"/>
          <w:sz w:val="22"/>
          <w:szCs w:val="22"/>
          <w:color w:val="auto"/>
        </w:rPr>
        <w:t>All Awards and any Incentive Award paid under this Plan will be subject to the provisions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clawback or similar policy implemented by the Company from time to time, including, without limitation, any clawback or similar policy adopted to comply with the requirements of applicable law, such as the Dodd-Frank Wall Street Reform and Consumer Protection Act and any rules or regulations promulgated thereunder, to the extent set forth in such clawback.</w:t>
      </w: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b w:val="1"/>
          <w:bCs w:val="1"/>
          <w:i w:val="1"/>
          <w:iCs w:val="1"/>
          <w:color w:val="auto"/>
        </w:rPr>
        <w:t xml:space="preserve">Effective Date. </w:t>
      </w:r>
      <w:r>
        <w:rPr>
          <w:rFonts w:ascii="Arial" w:cs="Arial" w:eastAsia="Arial" w:hAnsi="Arial"/>
          <w:sz w:val="19"/>
          <w:szCs w:val="19"/>
          <w:color w:val="auto"/>
        </w:rPr>
        <w:t>This Plan is effective as of February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80"/>
          </w:cols>
          <w:pgMar w:left="980" w:top="142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104"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220" w:firstLine="332"/>
        <w:spacing w:after="0" w:line="263"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200" w:firstLine="656"/>
        <w:spacing w:after="0" w:line="263" w:lineRule="auto"/>
        <w:tabs>
          <w:tab w:leader="none" w:pos="8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40" w:firstLine="656"/>
        <w:spacing w:after="0" w:line="263" w:lineRule="auto"/>
        <w:tabs>
          <w:tab w:leader="none" w:pos="8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720" w:firstLine="656"/>
        <w:spacing w:after="0" w:line="334" w:lineRule="auto"/>
        <w:tabs>
          <w:tab w:leader="none" w:pos="818"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00" w:firstLine="656"/>
        <w:spacing w:after="0" w:line="263" w:lineRule="auto"/>
        <w:tabs>
          <w:tab w:leader="none" w:pos="8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220" w:firstLine="332"/>
        <w:spacing w:after="0" w:line="308"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right="100" w:firstLine="656"/>
        <w:spacing w:after="0" w:line="277" w:lineRule="auto"/>
        <w:tabs>
          <w:tab w:leader="none" w:pos="8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60" w:firstLine="656"/>
        <w:spacing w:after="0" w:line="277" w:lineRule="auto"/>
        <w:tabs>
          <w:tab w:leader="none" w:pos="8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435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David V. Goeckeler</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104" w:lineRule="exact"/>
        <w:rPr>
          <w:sz w:val="20"/>
          <w:szCs w:val="20"/>
          <w:color w:val="auto"/>
        </w:rPr>
      </w:pPr>
    </w:p>
    <w:p>
      <w:pPr>
        <w:ind w:left="520" w:hanging="188"/>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260" w:firstLine="332"/>
        <w:spacing w:after="0" w:line="342" w:lineRule="auto"/>
        <w:tabs>
          <w:tab w:leader="none" w:pos="5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220" w:firstLine="332"/>
        <w:spacing w:after="0" w:line="277"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right="220" w:firstLine="332"/>
        <w:spacing w:after="0" w:line="263" w:lineRule="auto"/>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right="200" w:firstLine="656"/>
        <w:spacing w:after="0" w:line="263" w:lineRule="auto"/>
        <w:tabs>
          <w:tab w:leader="none" w:pos="8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40" w:firstLine="656"/>
        <w:spacing w:after="0" w:line="263" w:lineRule="auto"/>
        <w:tabs>
          <w:tab w:leader="none" w:pos="8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720" w:firstLine="656"/>
        <w:spacing w:after="0" w:line="334" w:lineRule="auto"/>
        <w:tabs>
          <w:tab w:leader="none" w:pos="818"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00" w:firstLine="656"/>
        <w:spacing w:after="0" w:line="263" w:lineRule="auto"/>
        <w:tabs>
          <w:tab w:leader="none" w:pos="8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220" w:firstLine="332"/>
        <w:spacing w:after="0" w:line="308" w:lineRule="auto"/>
        <w:tabs>
          <w:tab w:leader="none" w:pos="5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right="100" w:firstLine="656"/>
        <w:spacing w:after="0" w:line="277" w:lineRule="auto"/>
        <w:tabs>
          <w:tab w:leader="none" w:pos="8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60" w:firstLine="656"/>
        <w:spacing w:after="0" w:line="277" w:lineRule="auto"/>
        <w:tabs>
          <w:tab w:leader="none" w:pos="8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29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Robert K. Eulau</w:t>
      </w:r>
    </w:p>
    <w:p>
      <w:pPr>
        <w:spacing w:after="0" w:line="7"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ectPr>
          <w:pgSz w:w="11900" w:h="16838" w:orient="portrait"/>
          <w:cols w:equalWidth="0" w:num="1">
            <w:col w:w="11240"/>
          </w:cols>
          <w:pgMar w:left="320" w:top="891" w:right="339" w:bottom="1440" w:gutter="0" w:footer="0" w:header="0"/>
        </w:sectPr>
      </w:pPr>
    </w:p>
    <w:bookmarkStart w:id="63" w:name="page64"/>
    <w:bookmarkEnd w:id="63"/>
    <w:p>
      <w:pPr>
        <w:ind w:left="1032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9" w:lineRule="exact"/>
        <w:rPr>
          <w:sz w:val="20"/>
          <w:szCs w:val="20"/>
          <w:color w:val="auto"/>
        </w:rPr>
      </w:pPr>
    </w:p>
    <w:p>
      <w:pPr>
        <w:ind w:right="540" w:firstLine="332"/>
        <w:spacing w:after="0" w:line="308" w:lineRule="auto"/>
        <w:tabs>
          <w:tab w:leader="none" w:pos="5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April 2, 2021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435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David V. Goeckeler</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ectPr>
          <w:pgSz w:w="11900" w:h="16838" w:orient="portrait"/>
          <w:cols w:equalWidth="0" w:num="1">
            <w:col w:w="11240"/>
          </w:cols>
          <w:pgMar w:left="320" w:top="891" w:right="339"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9" w:lineRule="exact"/>
        <w:rPr>
          <w:sz w:val="20"/>
          <w:szCs w:val="20"/>
          <w:color w:val="auto"/>
        </w:rPr>
      </w:pPr>
    </w:p>
    <w:p>
      <w:pPr>
        <w:ind w:right="540" w:firstLine="332"/>
        <w:spacing w:after="0" w:line="308" w:lineRule="auto"/>
        <w:tabs>
          <w:tab w:leader="none" w:pos="5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period ended April 2, 2021 (the “Report”) fully complies with the requirements of Section 13(a) or Section 15(d), as applicable, of the Securities Exchange Act of 1934, as amended; and</w:t>
      </w:r>
    </w:p>
    <w:p>
      <w:pPr>
        <w:spacing w:after="0" w:line="11" w:lineRule="exact"/>
        <w:rPr>
          <w:rFonts w:ascii="Arial" w:cs="Arial" w:eastAsia="Arial" w:hAnsi="Arial"/>
          <w:sz w:val="17"/>
          <w:szCs w:val="17"/>
          <w:color w:val="auto"/>
        </w:rPr>
      </w:pPr>
    </w:p>
    <w:p>
      <w:pPr>
        <w:ind w:left="600" w:hanging="268"/>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0861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Robert K. Eulau</w:t>
      </w:r>
    </w:p>
    <w:p>
      <w:pPr>
        <w:spacing w:after="0" w:line="7"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lowerRoman"/>
      <w:start w:val="2"/>
    </w:lvl>
  </w:abstractNum>
  <w:abstractNum w:abstractNumId="8">
    <w:nsid w:val="1BEFD79F"/>
    <w:multiLevelType w:val="hybridMultilevel"/>
    <w:lvl w:ilvl="0">
      <w:lvlJc w:val="left"/>
      <w:lvlText w:val="(%1)"/>
      <w:numFmt w:val="lowerRoman"/>
      <w:start w:val="4"/>
    </w:lvl>
  </w:abstractNum>
  <w:abstractNum w:abstractNumId="9">
    <w:nsid w:val="41A7C4C9"/>
    <w:multiLevelType w:val="hybridMultilevel"/>
    <w:lvl w:ilvl="0">
      <w:lvlJc w:val="left"/>
      <w:lvlText w:val="†"/>
      <w:numFmt w:val="bullet"/>
      <w:start w:val="1"/>
    </w:lvl>
    <w:lvl w:ilvl="1">
      <w:lvlJc w:val="left"/>
      <w:lvlText w:val="%2"/>
      <w:numFmt w:val="decimal"/>
      <w:start w:val="104"/>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lowerRoman"/>
      <w:start w:val="5"/>
    </w:lvl>
  </w:abstractNum>
  <w:abstractNum w:abstractNumId="14">
    <w:nsid w:val="431BD7B7"/>
    <w:multiLevelType w:val="hybridMultilevel"/>
    <w:lvl w:ilvl="0">
      <w:lvlJc w:val="left"/>
      <w:lvlText w:val="(%1)"/>
      <w:numFmt w:val="lowerRoman"/>
      <w:start w:val="8"/>
    </w:lvl>
  </w:abstractNum>
  <w:abstractNum w:abstractNumId="15">
    <w:nsid w:val="3F2DBA31"/>
    <w:multiLevelType w:val="hybridMultilevel"/>
    <w:lvl w:ilvl="0">
      <w:lvlJc w:val="left"/>
      <w:lvlText w:val="%1."/>
      <w:numFmt w:val="decimal"/>
      <w:start w:val="5"/>
    </w:lvl>
    <w:lvl w:ilvl="1">
      <w:lvlJc w:val="left"/>
      <w:lvlText w:val="(%2)"/>
      <w:numFmt w:val="lowerLetter"/>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71" Type="http://schemas.openxmlformats.org/officeDocument/2006/relationships/hyperlink" Target="http://www.sec.gov/Archives/edgar/data/106040/000095013706001502/a17011exv3w1.htm" TargetMode="External"/><Relationship Id="rId72" Type="http://schemas.openxmlformats.org/officeDocument/2006/relationships/hyperlink" Target="https://www.sec.gov/Archives/edgar/data/106040/000119312521041457/d12820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2021-05-06T16:44:47Z</dcterms:created>
  <dcterms:modified xsi:type="dcterms:W3CDTF">2021-05-06T16:44:47Z</dcterms:modified>
</cp:coreProperties>
</file>