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 2026</w:t>
      </w:r>
    </w:p>
    <w:p>
      <w:pPr>
        <w:spacing w:after="0" w:line="1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390525</wp:posOffset>
            </wp:positionV>
            <wp:extent cx="3180080" cy="1002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0080" cy="1002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ectPr>
          <w:pgSz w:w="11900" w:h="16838" w:orient="portrait"/>
          <w:cols w:equalWidth="0" w:num="1">
            <w:col w:w="11140"/>
          </w:cols>
          <w:pgMar w:left="320" w:top="1037" w:right="43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ind w:left="14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0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0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880"/>
          </w:cols>
          <w:pgMar w:left="320" w:top="1037" w:right="439" w:bottom="1440" w:gutter="0" w:footer="0" w:header="0"/>
          <w:type w:val="continuous"/>
        </w:sectPr>
      </w:pPr>
    </w:p>
    <w:p>
      <w:pPr>
        <w:ind w:left="780"/>
        <w:spacing w:after="0"/>
        <w:tabs>
          <w:tab w:leader="none" w:pos="2800" w:val="left"/>
          <w:tab w:leader="none" w:pos="3640" w:val="left"/>
          <w:tab w:leader="none" w:pos="856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3"/>
          <w:szCs w:val="13"/>
          <w:b w:val="1"/>
          <w:bCs w:val="1"/>
          <w:color w:val="auto"/>
        </w:rPr>
        <w:t>95119</w:t>
      </w:r>
    </w:p>
    <w:p>
      <w:pPr>
        <w:spacing w:after="0" w:line="46" w:lineRule="exact"/>
        <w:rPr>
          <w:sz w:val="24"/>
          <w:szCs w:val="24"/>
          <w:color w:val="auto"/>
        </w:rPr>
      </w:pPr>
    </w:p>
    <w:p>
      <w:pPr>
        <w:ind w:left="1500"/>
        <w:spacing w:after="0"/>
        <w:tabs>
          <w:tab w:leader="none" w:pos="846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7" w:right="439" w:bottom="1440" w:gutter="0" w:footer="0" w:header="0"/>
          <w:type w:val="continuous"/>
        </w:sectPr>
      </w:pPr>
    </w:p>
    <w:bookmarkStart w:id="1" w:name="page2"/>
    <w:bookmarkEnd w:id="1"/>
    <w:p>
      <w:pPr>
        <w:ind w:right="80"/>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80"/>
          </w:cols>
          <w:pgMar w:left="320" w:top="1048" w:right="69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580"/>
          </w:cols>
          <w:pgMar w:left="320" w:top="1048" w:right="69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60"/>
          </w:cols>
          <w:pgMar w:left="320" w:top="1048" w:right="699" w:bottom="1440" w:gutter="0" w:footer="0" w:header="0"/>
          <w:type w:val="continuous"/>
        </w:sectPr>
      </w:pPr>
    </w:p>
    <w:p>
      <w:pPr>
        <w:spacing w:after="0" w:line="106" w:lineRule="exact"/>
        <w:rPr>
          <w:sz w:val="20"/>
          <w:szCs w:val="20"/>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close of business on April 23, 2026, 344,682,131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48" w:right="6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4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98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Financial Statements (unaudited)</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Balance Sheets — As of April 3, 2026 and June 27, 2025</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Operations — Three and Nine Months Ended April 3, 2026 and March 28, 2025</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7</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Comprehensive Income — Three and Nine Months Ended April 3, 2026 and March 28,</w:t>
            </w:r>
          </w:p>
        </w:tc>
        <w:tc>
          <w:tcPr>
            <w:tcW w:w="680" w:type="dxa"/>
            <w:vAlign w:val="bottom"/>
            <w:gridSpan w:val="2"/>
            <w:vMerge w:val="restart"/>
          </w:tcPr>
          <w:p>
            <w:pPr>
              <w:spacing w:after="0"/>
              <w:rPr>
                <w:sz w:val="14"/>
                <w:szCs w:val="14"/>
                <w:color w:val="auto"/>
              </w:rPr>
            </w:pPr>
          </w:p>
        </w:tc>
        <w:tc>
          <w:tcPr>
            <w:tcW w:w="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3635D6"/>
                <w:w w:val="99"/>
              </w:rPr>
              <w:t>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2025</w:t>
            </w:r>
          </w:p>
        </w:tc>
        <w:tc>
          <w:tcPr>
            <w:tcW w:w="6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Cash Flows — Nine Months Ended April 3, 2026 and March 28, 2025</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9</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Convertible Preferred Stock and Shareholders’ Equity — Nine Months Ended April 3,</w:t>
            </w:r>
          </w:p>
        </w:tc>
        <w:tc>
          <w:tcPr>
            <w:tcW w:w="800" w:type="dxa"/>
            <w:vAlign w:val="bottom"/>
            <w:gridSpan w:val="4"/>
            <w:vMerge w:val="restart"/>
          </w:tcPr>
          <w:p>
            <w:pPr>
              <w:jc w:val="center"/>
              <w:ind w:left="559"/>
              <w:spacing w:after="0"/>
              <w:rPr>
                <w:sz w:val="20"/>
                <w:szCs w:val="20"/>
                <w:color w:val="auto"/>
              </w:rPr>
            </w:pPr>
            <w:r>
              <w:rPr>
                <w:rFonts w:ascii="Times New Roman" w:cs="Times New Roman" w:eastAsia="Times New Roman" w:hAnsi="Times New Roman"/>
                <w:sz w:val="16"/>
                <w:szCs w:val="16"/>
                <w:color w:val="3635D6"/>
                <w:w w:val="99"/>
              </w:rPr>
              <w:t>10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2026 and March 28, 2025</w:t>
            </w:r>
          </w:p>
        </w:tc>
        <w:tc>
          <w:tcPr>
            <w:tcW w:w="80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CCEEFF"/>
            </w:tcBorders>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12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37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3.</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50</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4.</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820" w:type="dxa"/>
            <w:vAlign w:val="bottom"/>
          </w:tcPr>
          <w:p>
            <w:pPr>
              <w:spacing w:after="0"/>
              <w:rPr>
                <w:sz w:val="24"/>
                <w:szCs w:val="24"/>
                <w:color w:val="auto"/>
              </w:rPr>
            </w:pPr>
          </w:p>
        </w:tc>
        <w:tc>
          <w:tcPr>
            <w:tcW w:w="898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64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tcBorders>
              <w:bottom w:val="single" w:sz="8" w:color="CCEEFF"/>
            </w:tcBorders>
            <w:shd w:val="clear" w:color="auto" w:fill="CCEEFF"/>
          </w:tcPr>
          <w:p>
            <w:pPr>
              <w:ind w:left="200"/>
              <w:spacing w:after="0" w:line="178" w:lineRule="exact"/>
              <w:rPr>
                <w:sz w:val="20"/>
                <w:szCs w:val="20"/>
                <w:color w:val="auto"/>
              </w:rPr>
            </w:pPr>
            <w:r>
              <w:rPr>
                <w:rFonts w:ascii="Times New Roman" w:cs="Times New Roman" w:eastAsia="Times New Roman" w:hAnsi="Times New Roman"/>
                <w:sz w:val="16"/>
                <w:szCs w:val="16"/>
                <w:color w:val="auto"/>
              </w:rPr>
              <w:t>Legal Proceedings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3635D6"/>
                <w:w w:val="99"/>
              </w:rPr>
              <w:t>51</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1A.</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51</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5.</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Other Information</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6.</w:t>
            </w:r>
          </w:p>
        </w:tc>
        <w:tc>
          <w:tcPr>
            <w:tcW w:w="898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Exhibits</w:t>
            </w:r>
          </w:p>
        </w:tc>
        <w:tc>
          <w:tcPr>
            <w:tcW w:w="800" w:type="dxa"/>
            <w:vAlign w:val="bottom"/>
            <w:gridSpan w:val="4"/>
            <w:shd w:val="clear" w:color="auto" w:fill="CCEEFF"/>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52</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 and “Western Digital” refer to Western Digital Corporation and its subsidiaries, unless we state, or the context indicates, otherwise.</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WD,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Western Digital, the Western Digital logo and WD are registered trademarks or trademarks of Western Digital or its affiliates in the United States (“U.S.”) and other countries. All other trademarks, registered trademarks and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our expectations regarding our retained ownership interest in Sandisk Corporation (“Sandisk”) following the completed separation of our hard disk drive (“HDD”) and our former flash-based products (“Flash”) business units (the “Separation”); the impact of the global macroeconomic environment; expectations regarding demand trends and market conditions for our products; expectations regarding our tax resolutions, effective tax rate and unrecognized tax benefits; expectations regarding the merits of our positions and plans with respect to certain litigation matters; statements regarding our quarterly dividend program; and our beliefs regarding our capital allocation plans and the sufficiency of our available liquidity to meet our working capital, debt and capital expenditure needs.</w:t>
      </w:r>
    </w:p>
    <w:p>
      <w:pPr>
        <w:spacing w:after="0" w:line="212" w:lineRule="exact"/>
        <w:rPr>
          <w:sz w:val="20"/>
          <w:szCs w:val="20"/>
          <w:color w:val="auto"/>
        </w:rPr>
      </w:pPr>
    </w:p>
    <w:p>
      <w:pPr>
        <w:jc w:val="both"/>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spacing w:after="0" w:line="18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global or regional economic and social conditions;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U.S. trade policy and the impact of tariffs or trade restrictions, and our responsive actions thereto;</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the completed Separation of Sandisk, our former Flash business, into an independent public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business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decisions to reduce or discontinue paying cash dividends;</w:t>
      </w:r>
    </w:p>
    <w:p>
      <w:pPr>
        <w:spacing w:after="0" w:line="9" w:lineRule="exact"/>
        <w:rPr>
          <w:rFonts w:ascii="Times New Roman" w:cs="Times New Roman" w:eastAsia="Times New Roman" w:hAnsi="Times New Roman"/>
          <w:sz w:val="18"/>
          <w:szCs w:val="18"/>
          <w:i w:val="1"/>
          <w:iCs w:val="1"/>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our goals relating to sustainability matters, including our ability to meet our greenhouse gas emissions reduction and other sustainability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27, 2025 (our “2025 Annual Report on Form 10-K”), as amended, supplemented or superseded in our other reports filed with the Securities and Exchange Commission (“SEC”),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2025 Annual Report on Form 10-K and any of those made in our other reports filed with the SEC, including under “Risk Factors” in Item 1A of subsequent Annual Reports on Form 10-K and Quarterly Reports on Form 10-Q that may from time to time amend, supplement or supersede the risks and uncertainties disclosed in our 2025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5000" w:type="dxa"/>
            <w:vAlign w:val="bottom"/>
          </w:tcPr>
          <w:p>
            <w:pPr>
              <w:spacing w:after="0"/>
              <w:rPr>
                <w:sz w:val="17"/>
                <w:szCs w:val="17"/>
                <w:color w:val="auto"/>
              </w:rPr>
            </w:pPr>
          </w:p>
        </w:tc>
        <w:tc>
          <w:tcPr>
            <w:tcW w:w="418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50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180" w:type="dxa"/>
            <w:vAlign w:val="bottom"/>
            <w:gridSpan w:val="2"/>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07"/>
        </w:trPr>
        <w:tc>
          <w:tcPr>
            <w:tcW w:w="5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207"/>
        </w:trPr>
        <w:tc>
          <w:tcPr>
            <w:tcW w:w="5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140" w:type="dxa"/>
            <w:vAlign w:val="bottom"/>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15,045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14,002</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14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180" w:type="dxa"/>
            <w:vAlign w:val="bottom"/>
            <w:gridSpan w:val="2"/>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07"/>
        </w:trPr>
        <w:tc>
          <w:tcPr>
            <w:tcW w:w="5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1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12"/>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8 and 14)</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3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7"/>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5,311</w:t>
            </w:r>
          </w:p>
        </w:tc>
      </w:tr>
      <w:tr>
        <w:trPr>
          <w:trHeight w:val="235"/>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3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6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180" w:type="dxa"/>
            <w:vAlign w:val="bottom"/>
          </w:tcPr>
          <w:p>
            <w:pPr>
              <w:spacing w:after="0"/>
              <w:rPr>
                <w:sz w:val="11"/>
                <w:szCs w:val="11"/>
                <w:color w:val="auto"/>
              </w:rPr>
            </w:pPr>
          </w:p>
        </w:tc>
        <w:tc>
          <w:tcPr>
            <w:tcW w:w="9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5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w:t>
            </w: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5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retained interest in Sandisk</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Costs in connection with debt-for-equity exchange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2,169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discontinued operations, net of taxes</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3,205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10"/>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40" w:type="dxa"/>
            <w:vAlign w:val="bottom"/>
          </w:tcPr>
          <w:p>
            <w:pPr>
              <w:spacing w:after="0"/>
              <w:rPr>
                <w:sz w:val="11"/>
                <w:szCs w:val="11"/>
                <w:color w:val="auto"/>
              </w:rPr>
            </w:pPr>
          </w:p>
        </w:tc>
        <w:tc>
          <w:tcPr>
            <w:tcW w:w="1180" w:type="dxa"/>
            <w:vAlign w:val="bottom"/>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3,205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62"/>
        </w:trPr>
        <w:tc>
          <w:tcPr>
            <w:tcW w:w="5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980" w:type="dxa"/>
            <w:vAlign w:val="bottom"/>
          </w:tcPr>
          <w:p>
            <w:pPr>
              <w:spacing w:after="0"/>
              <w:rPr>
                <w:sz w:val="14"/>
                <w:szCs w:val="14"/>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9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3,190</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20" w:type="dxa"/>
            <w:vAlign w:val="bottom"/>
            <w:gridSpan w:val="5"/>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8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16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operations: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on retained interest in Sandisk</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in connection with debt-for-equity exchange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9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7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9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business divestiture</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9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from Flash Ventures</w:t>
            </w:r>
          </w:p>
        </w:tc>
        <w:tc>
          <w:tcPr>
            <w:tcW w:w="9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common shareholders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preferred shareholders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transferred to Sandisk related to Separation</w:t>
            </w:r>
          </w:p>
        </w:tc>
        <w:tc>
          <w:tcPr>
            <w:tcW w:w="9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0" w:type="dxa"/>
            <w:vAlign w:val="bottom"/>
          </w:tcPr>
          <w:p>
            <w:pPr>
              <w:spacing w:after="0"/>
              <w:rPr>
                <w:sz w:val="1"/>
                <w:szCs w:val="1"/>
                <w:color w:val="auto"/>
              </w:rPr>
            </w:pPr>
          </w:p>
        </w:tc>
      </w:tr>
      <w:tr>
        <w:trPr>
          <w:trHeight w:val="202"/>
        </w:trPr>
        <w:tc>
          <w:tcPr>
            <w:tcW w:w="8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740" w:type="dxa"/>
            <w:vAlign w:val="bottom"/>
          </w:tcPr>
          <w:p>
            <w:pPr>
              <w:spacing w:after="0"/>
              <w:rPr>
                <w:sz w:val="18"/>
                <w:szCs w:val="18"/>
                <w:color w:val="auto"/>
              </w:rPr>
            </w:pPr>
          </w:p>
        </w:tc>
        <w:tc>
          <w:tcPr>
            <w:tcW w:w="16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52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8"/>
                <w:szCs w:val="18"/>
                <w:color w:val="auto"/>
              </w:rPr>
            </w:pPr>
          </w:p>
        </w:tc>
        <w:tc>
          <w:tcPr>
            <w:tcW w:w="152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52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8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27,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Repurchases of common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9"/>
        </w:trPr>
        <w:tc>
          <w:tcPr>
            <w:tcW w:w="1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derivative contracts, net of</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3,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17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Repurchases of common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9"/>
        </w:trPr>
        <w:tc>
          <w:tcPr>
            <w:tcW w:w="1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gain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derivative contracts, net of</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 2026</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0" w:type="dxa"/>
            <w:vAlign w:val="bottom"/>
          </w:tcPr>
          <w:p>
            <w:pPr>
              <w:spacing w:after="0"/>
              <w:rPr>
                <w:sz w:val="1"/>
                <w:szCs w:val="1"/>
                <w:color w:val="auto"/>
              </w:rPr>
            </w:pPr>
          </w:p>
        </w:tc>
      </w:tr>
      <w:tr>
        <w:trPr>
          <w:trHeight w:val="230"/>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Conversion of convertible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39"/>
        </w:trPr>
        <w:tc>
          <w:tcPr>
            <w:tcW w:w="1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Repurchases of common</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93"/>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dividends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39"/>
        </w:trPr>
        <w:tc>
          <w:tcPr>
            <w:tcW w:w="17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derivative contracts, net of</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3, 2026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28,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27,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27,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Distribution in connection with the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Separation</w:t>
            </w: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28,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“WD,” or the “Company”) is a leading developer, manufacturer, and provider of data storage devices and solutions based on HDD technologies.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globally through its sales personnel, dealers, distributors, retailers, and subsidiaries. Its extensive portfolio of technology and products addresses the following key end markets: “Cloud,” “Client,” and “Consumer.” Cloud is comprised primarily of products for public or private cloud environments and enterprise customers. Through the Client end market, the Company provides its original equipment manufacturer (“OEM”) and channel customers a broad array of high-performance HDD solutions across desktop and notebooks. The Consumer end market provides a wide range of retail and other end-user products, which capitalize on the strength of the Company’s product brand recognition and vast presence around the world.</w:t>
      </w:r>
    </w:p>
    <w:p>
      <w:pPr>
        <w:spacing w:after="0" w:line="212" w:lineRule="exact"/>
        <w:rPr>
          <w:sz w:val="20"/>
          <w:szCs w:val="20"/>
          <w:color w:val="auto"/>
        </w:rPr>
      </w:pPr>
    </w:p>
    <w:p>
      <w:pPr>
        <w:ind w:right="200"/>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2025 Annual Report on Form 10-K. In the opinion of management, all adjustments necessary to fairly state the Condensed Consolidated Financial Statements prepared in accordance with accounting principles generally accepted in the United States (“U.S. GAAP”) have been made. Such adjustments consist of items of a normal, recurring nature. Certain information and disclosures normally included in the Consolidated Financial Statements have been condensed or omitted pursuant to the rules and regulations of the Securities and Exchange Commission (“SEC”). These Condensed Consolidated Financial Statements should be read in conjunction with the Consolidated Financial Statements and the notes thereto included in the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results of operations for interim periods are not necessarily indicative of results to be expected for the full year.</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Information provided herein for the three and nine months ended March 28, 2025 is presented on a continuing operations basis to reflect the impact of the Separation of the Company’s former Flash business as discussed in further detail in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Company’s fiscal year ends on the Friday nearest to June 30 and typically consists of 52 weeks. Approximately every five to six years, the Company reports a 53-week fiscal year to align the fiscal year with the foregoing policy. Fiscal year 2026, which will end on July 3, 2026, will be comprised of 53 weeks, with the first quarter consisting of 14 weeks and the remaining quarters consisting of 13 weeks each. Fiscal year 2025, which ended on June 27, 2025, was comprised of 52 weeks, with all quarters presented consisting of 13 weeks. Unless otherwise indicated, references herein to specific years and quarters are to fiscal years and fiscal quarters, and references to financial information are on a consolidated continuing operations basis.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 December 2025, the Financial Accounting Standards Board (“FASB”) issued accounting standards update (“ASU”) No. 2025-10, “Government Grants (Topic 832): Accounting for Government Grants Received by Business Entities” (“ASU 2025-10”), which establishes guidance on the recognition, measurement, and presentation of government grants. The standard may be adopted using a full retrospective, modified retrospective, or modified prospective transition method. ASU 2025-10 is effective for the year beginning June 30, 2029, and interim periods within that year, with early adoption permitted. The Company is currently assessing the impact of this guidance on its condensed consolidated financial statements and related disclosures.</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which introduces targeted improvements to better align hedge accounting with entities’ risk management activities. ASU 2025-09 is effective for the year beginning July 3, 2027, and interim periods within that year, with early adoption permitted. The Company is currently assessing the impact of this guidance on its condensed consolidated financial statements and related disclosures.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the year beginning July 3, 2027, and interim periods within that year. Early adoption is permitted and must be applied as of the beginning of the fiscal year that includes the interim period. The Company currently does not expect this standard to have a material impact on its condensed consolidated financial statements and related disclosures.</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(Topic 350): Targeted Improvements to the Accounting for Internal-Use Software” (“ASU 2025-06”). ASU 2025-06 amends existing references to prescriptive and sequential software development stages to better align with current software development methods, such as agile development. Under the new standard, entities will begin to capitalize eligible software costs when (i) management has authorized and committed to funding the software project, and (ii) it is probable that the project will be completed and the software will be used to perform the function intended. ASU 2025-06 is effective for the year beginning July 1, 2028, and interim periods within that year, with early adoption permitted. The Company is currently assessing the impact of this standard on its condensed consolidated financial statements and related disclosures.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with early adoption permitted. The Company is currently compiling the information required for these disclosures and assessing the basis of adoption and expects to adopt the guidance for annual reporting periods in its annual report for the year ending June 30, 2028.</w:t>
      </w:r>
    </w:p>
    <w:p>
      <w:pPr>
        <w:spacing w:after="0" w:line="2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calls for enhanced income tax disclosure requirements surrounding the tabular rate reconciliation and income taxes paid. This standard is effective on either a prospective or retrospective basis. These incremental disclosures will be required beginning with the Company’s financial statements for the year ending July 3, 2026. The Company is currently compiling the information required for these disclosures and expects to provide any required disclosures in its annual report for the year ending July 3, 2026.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Disaggregated Revenue, Geographic Information, Concentrations of Risk, and Segment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4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58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15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1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1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2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 by geography</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1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34"/>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154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-1807845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-1807845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top 10 customers accounted for 71% and 74%, respectively, of its net revenue for the three and nine months ended April 3, 2026, compared to 73% and 68%, respectively, of its net revenue for the three and nine months ended March 28, 2025. For the three months ended April 3, 2026, three customers accounted for 17%, 15%, and 11%, respectively, of the Company’s net revenue, and for the nine months ended April 3, 2026, three customers accounted for 16%, 15%, and 13%, respectively, of the Company’s net revenue. For the three months ended March 28, 2025, three customers accounted for 18%, 16%, and 13%, respectively, of the Company’s net revenue, and for the nine months ended March 28, 2025, two customers accounted for 18% and 11%, respectively, of the Company’s net revenue.</w:t>
      </w:r>
    </w:p>
    <w:p>
      <w:pPr>
        <w:spacing w:after="0" w:line="21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April 3, 2026 and June 27, 2025, net accounts receivable were $1.89 billion and $1.49 billion, respectively, and reserves for potential credit losses were not material. As of April 3, 2026, two customers accounted for 28% and 12%, respectively, of the Company’s net accounts receivable, and as of June 27, 2025, three customers accounted for 20%, 19%, and 12%, respectively, of the Company’s net accounts receivable.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Irving Tan, is the Company’s Chief Operating Decision Maker (“CODM”). The CODM manages the business as a provider of data storage devices and solutions based on HDD technology. The CODM evaluates the performance of the Company and makes decisions regarding the allocation of resources based on the Company’s Net income from continuing operations and Total assets. The Company has therefore, determined that it has one reportable segment: HDD.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measure of segment profit or loss, significant segment expenses and other segment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5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14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14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14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1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Significant expenses and other segment items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2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r>
      <w:tr>
        <w:trPr>
          <w:trHeight w:val="216"/>
        </w:trPr>
        <w:tc>
          <w:tcPr>
            <w:tcW w:w="52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16"/>
        </w:trPr>
        <w:tc>
          <w:tcPr>
            <w:tcW w:w="52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loss on retained interest in Sandisk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Costs in connection with debt-for-equity exchange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52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35"/>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14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-2322195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-2322195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related to stock-based compensation and other segment items which are presented separately in the table above.</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 activity from strategic investments and other charges.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Discontinued Operations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21, 2025, the Company completed the Separation through a pro rata distribution of 80.1% of the outstanding shares of Sandisk to Western Digital stockholders. The Separation is intended to be tax-free for U.S. federal income tax purposes. To reflect the completion of the Separation, the Company recorded a decrease in shareholders’ equity for the net book value of applicable assets and liabilities derecognized in connection with the Separation, net of the Company’s retained ownership interest, which was initially 19.9% and was based on the net book value of the applicable assets and liabilities derecognized. As a result of the Separation, Sandisk became an independent public company and Western Digital no longer consolidates Sandisk into the Company’s financial results. The historical results of operations of Sandisk are now reported in the Company’s Condensed Consolidated Financial Statements as discontinued operations for all periods prior to the Separation on February 21, 2025.</w:t>
      </w:r>
    </w:p>
    <w:p>
      <w:pPr>
        <w:spacing w:after="0" w:line="21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The following table provides a summary of the historical results of Sandisk for the three and nine months ended March 28, 2025, which have been reflected as Net income (loss) from discontinued operations, net of taxes in the Condensed Consolidated Statements of Operations. Business separation costs represent separation and transition costs the Company incurred in connection with the Separation.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from Discontinued Operations, Net of Taxes</w:t>
            </w:r>
          </w:p>
        </w:tc>
        <w:tc>
          <w:tcPr>
            <w:tcW w:w="580" w:type="dxa"/>
            <w:vAlign w:val="bottom"/>
          </w:tcPr>
          <w:p>
            <w:pPr>
              <w:spacing w:after="0"/>
              <w:rPr>
                <w:sz w:val="11"/>
                <w:szCs w:val="11"/>
                <w:color w:val="auto"/>
              </w:rPr>
            </w:pPr>
          </w:p>
        </w:tc>
        <w:tc>
          <w:tcPr>
            <w:tcW w:w="2400" w:type="dxa"/>
            <w:vAlign w:val="bottom"/>
            <w:gridSpan w:val="4"/>
          </w:tcPr>
          <w:p>
            <w:pPr>
              <w:jc w:val="right"/>
              <w:ind w:right="110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4"/>
          </w:tcPr>
          <w:p>
            <w:pPr>
              <w:jc w:val="right"/>
              <w:ind w:right="10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0" w:type="dxa"/>
            <w:vAlign w:val="bottom"/>
          </w:tcPr>
          <w:p>
            <w:pPr>
              <w:spacing w:after="0"/>
              <w:rPr>
                <w:sz w:val="1"/>
                <w:szCs w:val="1"/>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5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5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5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discontinued operations, net of taxes</w:t>
            </w:r>
          </w:p>
        </w:tc>
        <w:tc>
          <w:tcPr>
            <w:tcW w:w="580" w:type="dxa"/>
            <w:vAlign w:val="bottom"/>
            <w:tcBorders>
              <w:bottom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Cash flows related to discontinued operations have not been segregated and are included in the Condensed Consolidated Statements of Cash Flows for all periods presented. The following table provides selected financial information related to cash flows from discontinued operations:</w:t>
      </w:r>
    </w:p>
    <w:tbl>
      <w:tblPr>
        <w:tblLayout w:type="fixed"/>
        <w:tblInd w:w="0" w:type="dxa"/>
        <w:tblCellMar>
          <w:top w:w="0" w:type="dxa"/>
          <w:left w:w="0" w:type="dxa"/>
          <w:bottom w:w="0" w:type="dxa"/>
          <w:right w:w="0" w:type="dxa"/>
        </w:tblCellMar>
      </w:tblPr>
      <w:tr>
        <w:trPr>
          <w:trHeight w:val="190"/>
        </w:trPr>
        <w:tc>
          <w:tcPr>
            <w:tcW w:w="9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Select Cash Flow Information from Discontinued Operations</w:t>
            </w:r>
          </w:p>
        </w:tc>
        <w:tc>
          <w:tcPr>
            <w:tcW w:w="100" w:type="dxa"/>
            <w:vAlign w:val="bottom"/>
          </w:tcPr>
          <w:p>
            <w:pPr>
              <w:spacing w:after="0"/>
              <w:rPr>
                <w:sz w:val="13"/>
                <w:szCs w:val="13"/>
                <w:color w:val="auto"/>
              </w:rPr>
            </w:pPr>
          </w:p>
        </w:tc>
        <w:tc>
          <w:tcPr>
            <w:tcW w:w="1340" w:type="dxa"/>
            <w:vAlign w:val="bottom"/>
          </w:tcPr>
          <w:p>
            <w:pPr>
              <w:jc w:val="center"/>
              <w:ind w:right="4"/>
              <w:spacing w:after="0" w:line="15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200"/>
        </w:trPr>
        <w:tc>
          <w:tcPr>
            <w:tcW w:w="9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3"/>
        </w:trPr>
        <w:tc>
          <w:tcPr>
            <w:tcW w:w="9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Consistent with the Company's original intent to monetize its retained interest in Sandisk, the Company began executing a series of strategic transactions to optimize its capital structure. In June 2025, the Company used 21.3 million shares of Sandisk common stock in a tax-free exchange to retire $800 million principal amount of the Company’s Term Loan A-3 maturing in January 2027 (the “Term Loan A-3”). In February 2026, the Company executed a series of transactions to monetize additional Sandisk shares and further reduce its outstanding debt. Initially, the Company entered into a $1.50 billion Bridge Loan (as defined below), which was utilized to fully redeem all of its Senior Notes (as defined below) and consolidate the broad creditor base to two holders to facilitate a debt-for-equity exchange. Following the redemptions of the Senior Notes, the Company retired the Bridge Loan and its existing Term Loan A-3 through a tax-free exchange for 5.8 million shares of Sandisk common stock.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for further details. As of April 3, 2026, the Company still held 1.7 million shares of Sandisk common stock, which it expects to monetize by the end of 2026 in one or more subsequent exchanges for its outstanding common stock.</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series of transition services agreements to provide transition service support for various periods of time ranging up to 15 months. The amounts involved under these agreements have not been and are not expected to be material.</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 and improvements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9,085</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w:t>
            </w: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Non-current assets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73" w:lineRule="exact"/>
        <w:rPr>
          <w:sz w:val="20"/>
          <w:szCs w:val="20"/>
          <w:color w:val="auto"/>
        </w:rPr>
      </w:pPr>
    </w:p>
    <w:p>
      <w:pPr>
        <w:jc w:val="right"/>
        <w:ind w:right="5760"/>
        <w:spacing w:after="0"/>
        <w:rPr>
          <w:sz w:val="20"/>
          <w:szCs w:val="20"/>
          <w:color w:val="auto"/>
        </w:rPr>
      </w:pPr>
      <w:r>
        <w:rPr>
          <w:rFonts w:ascii="Times New Roman" w:cs="Times New Roman" w:eastAsia="Times New Roman" w:hAnsi="Times New Roman"/>
          <w:sz w:val="16"/>
          <w:szCs w:val="16"/>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19"/>
        </w:trPr>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23"/>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-590550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-316230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-727710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accrual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40" w:type="dxa"/>
            <w:vAlign w:val="bottom"/>
          </w:tcPr>
          <w:p>
            <w:pPr>
              <w:jc w:val="right"/>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Pr>
          <w:p>
            <w:pPr>
              <w:spacing w:after="0"/>
              <w:rPr>
                <w:sz w:val="11"/>
                <w:szCs w:val="11"/>
                <w:color w:val="auto"/>
              </w:rPr>
            </w:pPr>
          </w:p>
        </w:tc>
        <w:tc>
          <w:tcPr>
            <w:tcW w:w="1180" w:type="dxa"/>
            <w:vAlign w:val="bottom"/>
          </w:tcPr>
          <w:p>
            <w:pPr>
              <w:jc w:val="right"/>
              <w:ind w:right="322"/>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520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5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60" w:type="dxa"/>
            <w:vAlign w:val="bottom"/>
          </w:tcPr>
          <w:p>
            <w:pPr>
              <w:spacing w:after="0"/>
              <w:rPr>
                <w:sz w:val="17"/>
                <w:szCs w:val="17"/>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w:t>
            </w: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w:t>
            </w: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warranty accrual</w:t>
            </w: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
        </w:trPr>
        <w:tc>
          <w:tcPr>
            <w:tcW w:w="8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-728345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300" w:type="dxa"/>
            <w:vAlign w:val="bottom"/>
          </w:tcPr>
          <w:p>
            <w:pPr>
              <w:spacing w:after="0"/>
              <w:rPr>
                <w:sz w:val="16"/>
                <w:szCs w:val="16"/>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3"/>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-727710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not amortized. Instead, it is tested for impairment annually as of the beginning of the Company’s fourth quarter, or more frequently if events or</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circumstances indicate that goodwill may be impaired. Management performed goodwill impairment assessments and concluded there were no impairment indicators for either of the three or nine months ended April 3, 2026 and March 28, 2025. The carrying amount of goodwill was $4.32 billion as of both April 3, 2026 and June 27,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5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Accumulated other comprehensive income refers to expenses, gains, and losses that are recorded as an element of shareholders’ equity but are excluded from net income. The components of Accumulated other comprehensive income were as follows:</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2"/>
                <w:szCs w:val="12"/>
                <w:color w:val="auto"/>
              </w:rPr>
            </w:pPr>
          </w:p>
        </w:tc>
        <w:tc>
          <w:tcPr>
            <w:tcW w:w="132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10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27,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April 3,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April 3, 2026, the amounts reclassified from Accumulated other comprehensive income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April 3, 2026, all existing net losses related to cash flow hedges recorded in Accumulated other comprehensive income are expected to be reclassified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Following the Separation, as the Company no longer controls or has the ability to exert significant influence over Sandisk, the Company measures its retained ownership interest in Sandisk common stock at fair value on a recurring basis.</w:t>
      </w:r>
    </w:p>
    <w:p>
      <w:pPr>
        <w:spacing w:after="0" w:line="18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1,187</w:t>
            </w:r>
          </w:p>
        </w:tc>
        <w:tc>
          <w:tcPr>
            <w:tcW w:w="10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1,300</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-3239770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-3239770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-3239770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-1302385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-1302385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-1302385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were categorized as Level 2 for all periods presented, based on the frequency of trading immediately prior to the end of the third quarter of 2026 and the fourth quarter of 2025,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6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A-3 maturing 2027</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-1002030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A-3 maturing 2027</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Subtotal</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09"/>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During the nine months ended April 3, 2026, the Company made scheduled repayments of $63 million under Term Loan A-3. In February 2026, the Company executed a series of transactions to reduce its outstanding debt, including entering into a $1.50 billion bridge loan (the “Bridge Loan”). The Bridge Loan was utilized to consolidate the holders of the 4.75% senior unsecured notes due 2026, the 2.85% senior notes due 2029, and the 3.10% senior notes due 2032 (collectively, the “Senior Notes”) from a broad creditor base into two holders to facilitate a debt-for-equity exchange. The proceeds of the Bridge Loan were used to fully redeem all of the Senior Notes in cash, at par plus accrued interest. In connection with the redemptions, the Company wrote off $6 million of remaining unamortized issuance costs. Following the redemptions, the Company retired the Bridge Loan and its existing Term Loan A-3 through a non-cash, tax-free exchange for 5.8 million shares of Sandisk common stock held by the Company, valued at $3.62 billion on the date of exchange. The exchange resulted in $539 million recorded in Costs in connection with debt-for-equity exchange in the Condensed Consolidated Statement of Operations. This amount primarily reflects a discount on Sandisk shares provided to the counterparties in connection with the exchange. The need for the discount was primarily driven by volatility of the Sandisk stock price in the period of the exchange.</w:t>
      </w:r>
    </w:p>
    <w:p>
      <w:pPr>
        <w:spacing w:after="0" w:line="2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April 3, 2026, the Company had no outstanding standby letters of credit and the available capacity under the revolving credit facility maturing in January 2027 was $1.25 billion.</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loan agreement governing the revolving credit facility (the “Loan Agreement”) requires the Company to comply with a financial leverage ratio covenant. As of April 3, 2026, the Company was in compliance with the financial covenant.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April 3, 2026, the Company had outstanding $1.60 billion aggregate principal amount of convertible senior notes pursuant to an indenture dated as of November 3, 2023 (the “Indenture”), which bear interest at an annual rate of 3.00% and mature on November 15, 2028, unless earlier repurchased, redeemed or converted (the “2028 Convertible Notes”).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2028 Convertible Notes are convertible at the option of any holder beginning August 15, 2028, at a conversion price of approximately $37.72 per share of common stock as of April 3, 2026. Prior to August 15, 2028, if the trading price of the Company’s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calendar quarter ended March 31, 2026, the sale price conditional conversion feature of the 2028 Convertible Notes was triggered, which provides the holders of those notes with the right to convert through June 30, 2026. During the three months ended April 3, 2026, holders tendered for conversion a portion of the 2028 Convertible Notes, aggregating to $32 million in principal amount (the “Tendered Notes”). The Company made an irrevocable election to settle in cash the conversion obligation in excess of the principal amount of the Tendered Notes, as permitted by the Indenture. This election requires bifurcation and separate accounting of the embedded conversion feature as a derivative instrument pursuant to Accounting Standards Codification 815. The derivative is remeasured to fair value at each reporting period, with changes recognized in Other income (expense), net in the Condensed Consolidated Statements of Operations. For the three months ended April 3, 2026, the Company recorded an immaterial gain related to this remeasurement. Settlement is scheduled for June 2026. The Company retains the right to settle any conversion obligation in excess of the principal amount of the remaining 2028 Convertible Notes in cash or shares or a combination thereof, at its election.</w:t>
      </w:r>
    </w:p>
    <w:p>
      <w:pPr>
        <w:spacing w:after="0" w:line="2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holders of the 2028 Convertible Notes have the right to convert through the calendar quarter ending June 30, 2026, the Company classified the 2028 Convertible Notes, including the Tendered Notes, in the Current portion of long-term debt in the Condensed Consolidated Balance Sheet as of April 3, 2026, consistent with each quarter since the quarter ended June 27, 2025. The Company will continue to evaluate the conversion feature quarterly to determine if the 2028 Convertible Notes remain convertible in future periods.</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sale price conditional conversion feature of the 2028 Convertible Notes was also triggered in the calendar quarter ended June 30, 2025, which then provided the holders with the right to convert during the succeeding calendar quarter ended September 30, 2025. Consequently, the Company likewise classified the 2028 Convertible Notes in the Current portion of long-term debt in the Condensed Consolidated Financial Statements as of June 27, 2025.</w:t>
      </w:r>
    </w:p>
    <w:p>
      <w:pPr>
        <w:spacing w:after="0" w:line="20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or after November 15, 2026, the Company may redeem for cash, at par plus accrued interest, all or any portion of the 2028 Convertible Notes, at its option, if the last reported sale price of the Company’s common stock has been at least 130% of the conversion price then in effect for at least 10 trading days during any 20 consecutive trading day period immediately preceding the date of the Company’s redemption notice.</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As of April 3, 2026, the Capped Calls each have a strike price of approximately $37.72 per share and a cap price of approximately $50.41 per share. The Capped Calls are generally intended to reduce or offset the potential dilution to the Company’s common stock upon any conversion of the 2028 Convertible Notes with such reduction or offset, as the case may be, subject to a cap based on the cap price.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shareholders’ equity and are not accounted for as derivatives.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57"/>
        </w:trPr>
        <w:tc>
          <w:tcPr>
            <w:tcW w:w="8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operating lease liabilities (included in Accrued expenses)</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
        </w:trPr>
        <w:tc>
          <w:tcPr>
            <w:tcW w:w="8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20" w:type="dxa"/>
            <w:vAlign w:val="bottom"/>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3"/>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1080" w:type="dxa"/>
            <w:vAlign w:val="bottom"/>
          </w:tcPr>
          <w:p>
            <w:pPr>
              <w:jc w:val="center"/>
              <w:ind w:left="286"/>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1"/>
                <w:szCs w:val="11"/>
                <w:color w:val="auto"/>
              </w:rPr>
            </w:pPr>
          </w:p>
        </w:tc>
        <w:tc>
          <w:tcPr>
            <w:tcW w:w="1160" w:type="dxa"/>
            <w:vAlign w:val="bottom"/>
          </w:tcPr>
          <w:p>
            <w:pPr>
              <w:jc w:val="center"/>
              <w:ind w:left="345"/>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44"/>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20" w:type="dxa"/>
            <w:vAlign w:val="bottom"/>
          </w:tcPr>
          <w:p>
            <w:pPr>
              <w:spacing w:after="0"/>
              <w:rPr>
                <w:sz w:val="11"/>
                <w:szCs w:val="11"/>
                <w:color w:val="auto"/>
              </w:rPr>
            </w:pPr>
          </w:p>
        </w:tc>
        <w:tc>
          <w:tcPr>
            <w:tcW w:w="1180" w:type="dxa"/>
            <w:vAlign w:val="bottom"/>
          </w:tcPr>
          <w:p>
            <w:pPr>
              <w:jc w:val="right"/>
              <w:ind w:right="323"/>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6"/>
        </w:trPr>
        <w:tc>
          <w:tcPr>
            <w:tcW w:w="5200" w:type="dxa"/>
            <w:vAlign w:val="bottom"/>
          </w:tcPr>
          <w:p>
            <w:pPr>
              <w:spacing w:after="0"/>
              <w:rPr>
                <w:sz w:val="17"/>
                <w:szCs w:val="17"/>
                <w:color w:val="auto"/>
              </w:rPr>
            </w:pPr>
          </w:p>
        </w:tc>
        <w:tc>
          <w:tcPr>
            <w:tcW w:w="10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08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0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9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-278765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WESTERN DIGITAL CORPORATION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729"/>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As of April 3, 2026, minimum lease payments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6"/>
        </w:trPr>
        <w:tc>
          <w:tcPr>
            <w:tcW w:w="9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three months of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9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April 3, 2026, the Company had the following minimum long-term commitments: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Remaining three months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Long-Term</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353"/>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2" w:lineRule="exact"/>
        <w:rPr>
          <w:sz w:val="20"/>
          <w:szCs w:val="20"/>
          <w:color w:val="auto"/>
        </w:rPr>
      </w:pPr>
    </w:p>
    <w:p>
      <w:pPr>
        <w:ind w:left="1193" w:hanging="1193"/>
        <w:spacing w:after="0"/>
        <w:tabs>
          <w:tab w:leader="none" w:pos="119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w:t>
      </w:r>
    </w:p>
    <w:p>
      <w:pPr>
        <w:spacing w:after="0" w:line="32" w:lineRule="exact"/>
        <w:rPr>
          <w:rFonts w:ascii="Times New Roman" w:cs="Times New Roman" w:eastAsia="Times New Roman" w:hAnsi="Times New Roman"/>
          <w:sz w:val="16"/>
          <w:szCs w:val="16"/>
          <w:color w:val="auto"/>
        </w:rPr>
      </w:pPr>
    </w:p>
    <w:p>
      <w:pPr>
        <w:ind w:left="11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w:t>
      </w:r>
    </w:p>
    <w:p>
      <w:pPr>
        <w:spacing w:after="0" w:line="46" w:lineRule="exact"/>
        <w:rPr>
          <w:sz w:val="20"/>
          <w:szCs w:val="20"/>
          <w:color w:val="auto"/>
        </w:rPr>
      </w:pPr>
    </w:p>
    <w:p>
      <w:pPr>
        <w:ind w:left="1193" w:hanging="1193"/>
        <w:spacing w:after="0"/>
        <w:tabs>
          <w:tab w:leader="none" w:pos="119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086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Previously, the Tax Cuts and Jobs Act of 2017 (“TCJA”) eliminated the ability to deduct research and development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Foreign-Derived Deduction Eligible Income (“FDDEI”) deduction that will become effective for the Company in 2027.</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among other things, a corporate alternative minimum tax (“CAMT”) of 15% on corporations with three-year average annual adjusted financial statement income (“AFSI”) exceeding $1.0 billion. Although CAMT became effective for the Company beginning with 2024, the Company was not subject to CAMT in 2024 and 2025. The Company does not expect to be subject to CAMT in 2026 as its average annual AFSI did not exceed $1.0 billion for the preceding three-year period.</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the Company is subject to GMT in Malaysia, Thailand, and the Philippines.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(benefit)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2540" w:type="dxa"/>
            <w:vAlign w:val="bottom"/>
            <w:gridSpan w:val="3"/>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right"/>
              <w:ind w:right="384"/>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60" w:type="dxa"/>
            <w:vAlign w:val="bottom"/>
          </w:tcPr>
          <w:p>
            <w:pPr>
              <w:spacing w:after="0"/>
              <w:rPr>
                <w:sz w:val="11"/>
                <w:szCs w:val="11"/>
                <w:color w:val="auto"/>
              </w:rPr>
            </w:pPr>
          </w:p>
        </w:tc>
        <w:tc>
          <w:tcPr>
            <w:tcW w:w="118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ind w:right="404"/>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60" w:type="dxa"/>
            <w:vAlign w:val="bottom"/>
          </w:tcPr>
          <w:p>
            <w:pPr>
              <w:spacing w:after="0"/>
              <w:rPr>
                <w:sz w:val="11"/>
                <w:szCs w:val="11"/>
                <w:color w:val="auto"/>
              </w:rPr>
            </w:pPr>
          </w:p>
        </w:tc>
        <w:tc>
          <w:tcPr>
            <w:tcW w:w="1180" w:type="dxa"/>
            <w:vAlign w:val="bottom"/>
          </w:tcPr>
          <w:p>
            <w:pPr>
              <w:jc w:val="right"/>
              <w:ind w:right="323"/>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3,359</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6,658</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783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154</w:t>
            </w:r>
          </w:p>
        </w:tc>
        <w:tc>
          <w:tcPr>
            <w:tcW w:w="36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429</w:t>
            </w:r>
          </w:p>
        </w:tc>
        <w:tc>
          <w:tcPr>
            <w:tcW w:w="360" w:type="dxa"/>
            <w:vAlign w:val="bottom"/>
          </w:tcPr>
          <w:p>
            <w:pPr>
              <w:spacing w:after="0"/>
              <w:rPr>
                <w:sz w:val="18"/>
                <w:szCs w:val="18"/>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(608)</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-548005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April 3, 2026 and the U.S. Federal statutory rate of 21% are the relative mix of earnings and losses by jurisdiction, the deduction for FDDEI, tax credits, and the gain on the retained interest in Sandisk being tax-free due to the Separation. These resulted in decreases to the Company’s effective tax rate below the U.S. Federal statutory rate for the three and nine months ended April 3, 2026. The Company’s income tax provision for the three and nine months ended April 3, 2026 includes GMT for Malaysia as well as Thailand and the Philippines, countries for which the Company maintains tax holidays.</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March 28, 2025 and the U.S. Federal statutory rate of 21% were the relative mix of earnings and losses by jurisdiction, tax credits, and tax holidays in the Philippines and Thailand that will expire at various dates between 2026 and 2033. These tax holidays resulted in decreases to the Company’s effective tax rate below the U.S. Federal statutory rate for the three and nine months ended March 28, 2025. However, the tax effects of the mandatory capitalization of R&amp;D expenses offset these decreases, resulting in the Company’s effective tax rate being close to the U.S. Federal statutory rate for the three and nine months ended March 28, 2025. In anticipation of operating as a standalone HDD business in a GMT environment, the Company executed an inter-entity asset transfer in conjunction with the Separation. This resulted in the recognition of one-time deferred tax benefits to continuing operations of $711 million for the three and nine months ended March 28, 2025.</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for Uncertain Tax Positions</w:t>
      </w:r>
    </w:p>
    <w:p>
      <w:pPr>
        <w:spacing w:after="0" w:line="2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excluding accrued interest and penalties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2026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as of June 27, 2025</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20"/>
        </w:trPr>
        <w:tc>
          <w:tcPr>
            <w:tcW w:w="9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9"/>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0"/>
        </w:trPr>
        <w:tc>
          <w:tcPr>
            <w:tcW w:w="9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9"/>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as of April 3, 2026</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7"/>
        </w:trPr>
        <w:tc>
          <w:tcPr>
            <w:tcW w:w="9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April 3, 2026 was $123 million. Of the aggregate unrecognized tax benefits, including interest and penalties, approximately $133 million could result in potential cash payments to be made within the next twelve months.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believes that an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Business Realignment Charges</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periodically incurs charges to realign its business operations with anticipated market demand, primarily consisting of organization rationalization designed to streamline its business, reduce its cost structure, and focus its resources. These actions may result in charges for employee termination benefits or charges from the impairment of intangible assets and other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net charges related to these actions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2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80" w:type="dxa"/>
            <w:vAlign w:val="bottom"/>
          </w:tcPr>
          <w:p>
            <w:pPr>
              <w:jc w:val="right"/>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Pr>
          <w:p>
            <w:pPr>
              <w:spacing w:after="0"/>
              <w:rPr>
                <w:sz w:val="11"/>
                <w:szCs w:val="11"/>
                <w:color w:val="auto"/>
              </w:rPr>
            </w:pPr>
          </w:p>
        </w:tc>
        <w:tc>
          <w:tcPr>
            <w:tcW w:w="118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520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5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Cash-based employee termination benefits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employee termination benefits</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business realignment charges</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5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-728345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-728345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-728345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of the above actions, the Company expects to record incremental employee termination costs of approximately $5 million in the remainder of 2026.</w:t>
      </w:r>
    </w:p>
    <w:p>
      <w:pPr>
        <w:spacing w:after="0" w:line="18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(included in Accrued expenses) during the nine months ended April 3, 2026:</w:t>
      </w:r>
    </w:p>
    <w:tbl>
      <w:tblPr>
        <w:tblLayout w:type="fixed"/>
        <w:tblInd w:w="0" w:type="dxa"/>
        <w:tblCellMar>
          <w:top w:w="0" w:type="dxa"/>
          <w:left w:w="0" w:type="dxa"/>
          <w:bottom w:w="0" w:type="dxa"/>
          <w:right w:w="0" w:type="dxa"/>
        </w:tblCellMar>
      </w:tblPr>
      <w:tr>
        <w:trPr>
          <w:trHeight w:val="147"/>
        </w:trPr>
        <w:tc>
          <w:tcPr>
            <w:tcW w:w="6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5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as of June 27, 2025</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95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as of April 3, 2026</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29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Fair value of plan assets at end of period</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liabilities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amount recognized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-591185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costs were immaterial for the three and nine months ended April 3, 2026 and March 28,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items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2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080" w:type="dxa"/>
            <w:vAlign w:val="bottom"/>
          </w:tcPr>
          <w:p>
            <w:pPr>
              <w:jc w:val="center"/>
              <w:ind w:left="284"/>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Pr>
          <w:p>
            <w:pPr>
              <w:spacing w:after="0"/>
              <w:rPr>
                <w:sz w:val="11"/>
                <w:szCs w:val="11"/>
                <w:color w:val="auto"/>
              </w:rPr>
            </w:pPr>
          </w:p>
        </w:tc>
        <w:tc>
          <w:tcPr>
            <w:tcW w:w="1180" w:type="dxa"/>
            <w:vAlign w:val="bottom"/>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5200" w:type="dxa"/>
            <w:vAlign w:val="bottom"/>
          </w:tcPr>
          <w:p>
            <w:pPr>
              <w:spacing w:after="0"/>
              <w:rPr>
                <w:sz w:val="16"/>
                <w:szCs w:val="16"/>
                <w:color w:val="auto"/>
              </w:rPr>
            </w:pPr>
          </w:p>
        </w:tc>
        <w:tc>
          <w:tcPr>
            <w:tcW w:w="108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5"/>
        </w:trPr>
        <w:tc>
          <w:tcPr>
            <w:tcW w:w="5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5200" w:type="dxa"/>
            <w:vAlign w:val="bottom"/>
          </w:tcPr>
          <w:p>
            <w:pPr>
              <w:spacing w:after="0"/>
              <w:rPr>
                <w:sz w:val="24"/>
                <w:szCs w:val="24"/>
                <w:color w:val="auto"/>
              </w:rPr>
            </w:pPr>
          </w:p>
        </w:tc>
        <w:tc>
          <w:tcPr>
            <w:tcW w:w="262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9"/>
        </w:trPr>
        <w:tc>
          <w:tcPr>
            <w:tcW w:w="5200" w:type="dxa"/>
            <w:vAlign w:val="bottom"/>
          </w:tcPr>
          <w:p>
            <w:pPr>
              <w:spacing w:after="0"/>
              <w:rPr>
                <w:sz w:val="11"/>
                <w:szCs w:val="11"/>
                <w:color w:val="auto"/>
              </w:rPr>
            </w:pPr>
          </w:p>
        </w:tc>
        <w:tc>
          <w:tcPr>
            <w:tcW w:w="1080" w:type="dxa"/>
            <w:vAlign w:val="bottom"/>
          </w:tcPr>
          <w:p>
            <w:pPr>
              <w:jc w:val="center"/>
              <w:ind w:left="284"/>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left="264"/>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Pr>
          <w:p>
            <w:pPr>
              <w:spacing w:after="0"/>
              <w:rPr>
                <w:sz w:val="11"/>
                <w:szCs w:val="11"/>
                <w:color w:val="auto"/>
              </w:rPr>
            </w:pPr>
          </w:p>
        </w:tc>
        <w:tc>
          <w:tcPr>
            <w:tcW w:w="1180" w:type="dxa"/>
            <w:vAlign w:val="bottom"/>
          </w:tcPr>
          <w:p>
            <w:pPr>
              <w:jc w:val="center"/>
              <w:ind w:right="162"/>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6"/>
        </w:trPr>
        <w:tc>
          <w:tcPr>
            <w:tcW w:w="5200" w:type="dxa"/>
            <w:vAlign w:val="bottom"/>
          </w:tcPr>
          <w:p>
            <w:pPr>
              <w:spacing w:after="0"/>
              <w:rPr>
                <w:sz w:val="17"/>
                <w:szCs w:val="17"/>
                <w:color w:val="auto"/>
              </w:rPr>
            </w:pPr>
          </w:p>
        </w:tc>
        <w:tc>
          <w:tcPr>
            <w:tcW w:w="108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5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-2305050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-2305050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-1148080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-1148080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excess windfall tax benefits and tax deficiencies for shortfalls related to the vesting and exercise of stock-based awards are recognized as a component of the Company’s Income tax expense (benefit). During the three and nine months ended April 3, 2026, excess windfall tax benefits were $47 million and $76 million, respectively. Excess windfall tax benefits and tax deficiencies for shortfalls were immaterial for the three and nine months ended March 28, 2025.</w:t>
      </w:r>
    </w:p>
    <w:p>
      <w:pPr>
        <w:spacing w:after="0" w:line="207"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April 3, 2026:</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44"/>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22"/>
        </w:trPr>
        <w:tc>
          <w:tcPr>
            <w:tcW w:w="826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0.7</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5"/>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27, 2025</w:t>
            </w:r>
          </w:p>
        </w:tc>
        <w:tc>
          <w:tcPr>
            <w:tcW w:w="1420" w:type="dxa"/>
            <w:vAlign w:val="bottom"/>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w w:val="99"/>
              </w:rPr>
              <w:t>9.7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center"/>
              <w:ind w:left="1022"/>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center"/>
              <w:ind w:left="98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center"/>
              <w:ind w:left="98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April 3, 2026</w:t>
            </w:r>
          </w:p>
        </w:tc>
        <w:tc>
          <w:tcPr>
            <w:tcW w:w="1420" w:type="dxa"/>
            <w:vAlign w:val="bottom"/>
            <w:tcBorders>
              <w:bottom w:val="single" w:sz="8" w:color="auto"/>
            </w:tcBorders>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w w:val="99"/>
              </w:rPr>
              <w:t>7.8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750 million shares of common stock, $0.01 par value per share. As of April 3, 2026 and June 27, 2025, there were 349 million shares issued, and 345 million and 347 million shares outstanding, respectively, which are net of 4 million and 2 million shares of treasury stock held at cost,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5,000,000 authorized but unissued shares of preferred stock and issued the Preferred Shares through a private placement. As of June 27, 2025, 235,000 Preferred Shares were outstanding, with an aggregate liquidation preference of $265 million, including previous dividends paid in-kind.</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Preferred Shares had an initial stated value of $1,000 per share and accrued a cumulative preferred dividend at an annual rate of 6.25% per annum, compounded on a quarterly basis. Through December 27, 2024, the Company paid quarterly dividends on the Preferred Shares in-kind through an increase to the stated value. Subsequently, quarterly dividends on the Preferred Shares were made in cash, including $8 million paid in the nine months ended April 3, 2026. The Preferred Shares also participated in any dividends declared for common shareholders on an as-converted equivalent basis.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17, 2026, the Company converted all remaining outstanding Preferred Shares into 7 million shares of the Company’s common stock pursuant to a mandatory conversion in accordance with the terms of the Company’s Certificate of Designations, Preferences and Rights of the Preferred Shares. Immediately prior to conversion, the Preferred Shares outstanding had an aggregate liquidation preference of $267 million, which included previous dividends paid in-kind of $32 million. On February 24, 2026, the Company filed a Certificate of Elimination with the Secretary of State of the State of Delaware with respect to the Preferred Shares, pursuant to which the Preferred Shares were eliminated and returned to the status of authorized and unissued preferred shares of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9, 2025, the Company’s Board of Directors authorized a share repurchase program for the repurchase of up to $2.00 billion of the Company’s common stock, and on February 2, 2026, the Company’s Board of Directors authorized the repurchase of up to an additional $4.00 billion of the Company's common stock (collectively, the “Share Repurchase Program”). There is no expiration date for the Share Repurchase Program. During the three months ended April 3, 2026, the Company repurchased 2.9 million shares under the Share Repurchase Program for a total cash cost of $752 million plus $5 million for accrued excise taxes. During the nine months ended April 3, 2026, the Company repurchased 13.1 million shares under the Share Repurchase Program for a total cash cost of $1.92 billion plus $13 million for accrued excise taxes. As of April 3, 2026, the Company had $3.93 billion available for repurchases pursuant to the Share Repurchase Program. Repurchases under the Share Repurchase Program may be made in the open market or in privately negotiated transactions and may be made under a Rule 10b5-1 plan. The Company expects shares repurchased under the Share Repurchase Program to be funded principally by operating cash flows. The amount and timing of share repurchases will depend on market conditions and other corporate considerations. The Company may suspend or discontinue the Share Repurchase Program at any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Common Shareholders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29, 2025, the Company’s Board of Directors authorized the adoption of a cash dividend program. Under the cash dividend program, holders of the Company’s common stock will receive dividends when and as declared by the Board of Directors. During the three months ended April 3, 2026, the Company paid cash dividends of $0.125 per share of its outstanding common stock, totaling $43 million. During the nine months ended April 3, 2026, the Company paid aggregate cash dividends of $0.35 per share of its outstanding common stock, totaling $120 million, plus $2 million paid to holders of the Company’s Preferred Shares in accordance with their participation rights.</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Subsequent to quarter-end, on April 29, 2026, the Board of Directors declared a cash dividend of $0.15 per share of the Company’s common stock, which will be paid on June 17, 2026 to shareholders of record as of the close of business on June 5, 2026.</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modify, suspend, or cancel its cash dividend program in any matter and at any time. The amount of future dividends under the Company’s cash dividend program, and the declaration and payment thereof, will be based upon all relevant factors, including the Company’s financial position, results of operations, cash flows, capital requirements and restrictions under the Company’s Loan Agreement and other financing agreements, and shall be in compliance with applicable law.</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04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6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Dividends allocated to preferred shareholders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Income attributable to participating securities</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42"/>
        </w:trPr>
        <w:tc>
          <w:tcPr>
            <w:tcW w:w="5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w:t>
            </w:r>
          </w:p>
        </w:tc>
        <w:tc>
          <w:tcPr>
            <w:tcW w:w="9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3,168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1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2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from discontinued operations, net of taxes, attributable to</w:t>
            </w:r>
          </w:p>
        </w:tc>
        <w:tc>
          <w:tcPr>
            <w:tcW w:w="9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w:t>
            </w:r>
          </w:p>
        </w:tc>
        <w:tc>
          <w:tcPr>
            <w:tcW w:w="9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 - basic</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3,168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2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w:t>
            </w:r>
          </w:p>
        </w:tc>
        <w:tc>
          <w:tcPr>
            <w:tcW w:w="960" w:type="dxa"/>
            <w:vAlign w:val="bottom"/>
            <w:vMerge w:val="restart"/>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3,168</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1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Re-allocation of participating securities considered potentially dilutive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2"/>
        </w:trPr>
        <w:tc>
          <w:tcPr>
            <w:tcW w:w="5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w:t>
            </w: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3,172</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21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2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from discontinued operations, net of taxes, attributable to</w:t>
            </w:r>
          </w:p>
        </w:tc>
        <w:tc>
          <w:tcPr>
            <w:tcW w:w="9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w:t>
            </w:r>
          </w:p>
        </w:tc>
        <w:tc>
          <w:tcPr>
            <w:tcW w:w="9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 - diluted</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RSUs, PSUs, ESPP, and convertible notes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3"/>
        </w:trPr>
        <w:tc>
          <w:tcPr>
            <w:tcW w:w="52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3"/>
        </w:trPr>
        <w:tc>
          <w:tcPr>
            <w:tcW w:w="52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122"/>
        </w:trPr>
        <w:tc>
          <w:tcPr>
            <w:tcW w:w="148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-4602480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-4602480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-4602480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340" w:right="100" w:hanging="332"/>
        <w:spacing w:after="0" w:line="229" w:lineRule="auto"/>
        <w:tabs>
          <w:tab w:leader="none" w:pos="37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Participating securities consisted of Preferred Shares because, prior to their conversion, they participated on a pro rata basis in any dividends declared on shares of common stock.</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(i) net income less (ii) dividends allocated to preferred shareholders less (iii) net income attributable to participating securities divided by (iv) basic weighted average shares outstanding. Diluted net income per common share is computed as (i) basic net income attributable to common shareholders plus (ii) diluted adjustments to income allocable to participating securities divided by (iii) diluted weighted average shares outstanding. The “if-converted” method is used to determine the dilutive impact for the convertible notes and the preferred shares. The treasury stock method is used to determine the dilutive impact of unvested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520" w:right="248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RSUs and PSUs, rights to purchase shares of common stock under the Company’s ESPP, shares issuable in connection with the Company’s convertible notes, and Preferred Shares. For the three and nine months ended April 3, 2026 and March 28, 2025, based on the Company’s average stock price during the period, an insignificant number of common shares subject to outstanding equity awards were anti-dilutive.</w:t>
      </w: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 $237 million and legal costs. On June 16, 2025, the Court ruled on the Company’s post-trial motions, finding that SPEX did not present sufficient evidence on which a damages award could be determined and therefore awarded nominal damages of $1. On June 27, 2025, the Court entered an amended judgment awarding SPEX nominal damages of $1 with no prejudgment interest and no legal costs. The Company has appealed the infringement finding, and SPEX has appealed damages-related issues. Based on available appellate arguments, the Company believes a loss is not probable and has not accrued a liability as a result of the jury verdict or the entry of amended judgment in its financial statements as of April 3, 2026.</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August 2022, MR Technologies, GmbH (“MRT”) filed an action against the Company, alleging infringement of certain patents related to hard disk drive media. Following a jury trial and judgment in favor of the plaintiff, in the fourth quarter of fiscal year 2024, the Company recognized an aggregate liability for this matter of $384 million with $291 million recognized as Operating expenses under Litigation matter for the year ended June 28, 2024 and $93 million recognized as Other non-current assets for the patent licenses, to be amortized over their remaining lives.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2025, the Company reached a global settlement of $130 million for all pending matters with MRT. As a result of the settlement, in the three- and nine-month periods ended March 28, 2025, the Company reversed $201 million and $198 million, respectively, of previously recorded charges in Operating expenses under Litigation matter.</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ability to predict the ultimate outcome of any legal proceeding involves judgments, estimates and inherent uncertainties. The actual outcome of these matters could differ materially from management’s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2025 Annual Report on Form 10-K. See</w:t>
      </w:r>
    </w:p>
    <w:p>
      <w:pPr>
        <w:spacing w:after="0" w:line="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also “Forward-Looking Statements” immediately prior to Part I, Item 1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based on HDD technology. We leverage our capability in the HDD industry primarily for the cloud and hyperscale data center markets. HDDs are critical components in the worldwide data infrastructure market, powering the digital economy. HDDs provide reliable, cost-effective, high-capacity storage needs for a wide range of applications, ranging from cloud data centers, enterprise storage systems, edge computing, smart video, to client and consumer.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broad portfolio of technology and products addresses our customers’ storage needs through multiple end markets: Cloud, Client and Consumer. Cloud is comprised primarily of products for public or private cloud environments and enterprise customers. Through the Client end market, we provide our OEM and channel customers a broad array of high-performance HDD solutions across desktop and notebooks. The Consumer end market provides a broad range of retail and other end-user products, which capitalize on the strength of our product brand recognition and vast points of presence around the world.</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2026, which will end on July 3, 2026, will be comprised of 53 weeks, with the first quarter consisting of 14 weeks and the remaining quarters consisting of 13 weeks each. Fiscal year 2025, which ended on June 27, 2025, was comprised of 52 weeks, with all quarters presented consisting of 13 weeks.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 and Monetization of Sandisk Shares</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February 21, 2025, we completed the Separation to create two independent public companies, with Western Digital continuing our existing HDD business and Sandisk, formerly a wholly-owned subsidiary of the Company, holding the Flash business. We believe the Separation has better positioned us as a pure-play HDD company that can execute innovative technology and product development, capitalize on unique growth opportunities, extend our leadership position, operate more efficiently, and pursue capital allocation strategies to maximize long-term shareholder value. As part of the Separation, we initially retained 28.8 million shares of Sandisk common stock. In June 2025, we used 21.3 million shares of Sandisk in a tax-free exchange to reduce approximately $800 million principal amount of our term loan A-3. In February 2026, we executed a series of transactions to monetize additional Sandisk shares and further reduce our outstanding debt. Initially, we entered into a $1.50 billion Bridge Loan, which was utilized to fully redeem all of our Senior Notes and consolidate the broad creditor base to two holders to facilitate a debt-for-equity exchange. Following the redemptions of the Senior Notes, we retired the Bridge Loan and our existing Term Loan A-3 through a tax-free exchange for 5.8 million shares of Sandisk common stock. As of April 3, 2026, we still held 1.7 million shares of Sandisk common stock, which we expect to monetize by the end of 2026 in one or more subsequent exchanges for our outstanding common stock.</w:t>
      </w:r>
    </w:p>
    <w:p>
      <w:pPr>
        <w:spacing w:after="0" w:line="2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Prior period information provided herein is presented on a continuing operations basis to reflect the impact of the Separation. See Part I, Item 1,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Notes to Condensed Consolidated Financial Statements included 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Separation.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Conversion of Preferred Shares</w:t>
      </w:r>
    </w:p>
    <w:p>
      <w:pPr>
        <w:spacing w:after="0" w:line="24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February 17, 2026, we converted all remaining outstanding Preferred Shares into 7 million shares of our common stock in accordance with the Certificate of Designations, Preferences and Rights of the Preferred Shares.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Macroeconomic Conditions and Outlook</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increasing long-term demand for data storage in the cloud is benefiting our HDD business. The adoption of artificial intelligence (“AI”) and workloads driven by hybrid data is driving additional growth in data storage as well. This creates an accelerated demand for high-capacity drives, resulting in greater manufacturing complexity and longer production lead times. In response, customers are partnering with us earlier to support their future growth requirements and are extending the duration of their commercial arrangements.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Recent changes to U.S. trade policy, in particular with regard to tariffs, have caused substantial market uncertainty and, in certain cases, retaliatory measures by trading partners. Our business and results of operations have not been materially impacted through the third quarter of 2026 as a result of these actions, but we are actively monitoring developments and assessing options to mitigate potential future actions. For additional information, please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2025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Third Quarter and Nine Month Overview</w:t>
      </w:r>
    </w:p>
    <w:p>
      <w:pPr>
        <w:spacing w:after="0" w:line="254"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ind w:left="40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1,043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49.8</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60.2</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279</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764</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201</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334</w:t>
            </w:r>
          </w:p>
        </w:tc>
        <w:tc>
          <w:tcPr>
            <w:tcW w:w="10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4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35.7</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48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33.1</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430</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4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(loss) on retained interest in Sandisk</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81.9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4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(26.4)</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3,340</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Costs in connection with debt-for-equity exchange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(545)</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65.0</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2,855</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4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100.7</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8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3,285</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4,439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852</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4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96.0 %</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2,433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ind w:left="40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62.0</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599</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46.7</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1,658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2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4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198</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110</w:t>
            </w:r>
          </w:p>
        </w:tc>
        <w:tc>
          <w:tcPr>
            <w:tcW w:w="10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422</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4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48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23.9</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1,236</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4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132</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(loss) on retained interest in Sandisk</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4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5,054</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Costs in connection with debt-for-equity exchange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(545)</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4,639</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4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72.6</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48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11.3</w:t>
            </w:r>
          </w:p>
        </w:tc>
        <w:tc>
          <w:tcPr>
            <w:tcW w:w="1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5,875</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1,037</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4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67.9 %</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4,838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154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4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58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15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1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1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2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 by geography</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1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1540" w:type="dxa"/>
            <w:vAlign w:val="bottom"/>
            <w:tcBorders>
              <w:bottom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-1807845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-1807845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540" w:right="4280" w:hanging="5532"/>
        <w:spacing w:after="0" w:line="857" w:lineRule="auto"/>
        <w:tabs>
          <w:tab w:leader="none" w:pos="26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Comparison of Three and Nine Months Ended April 3, 2026 to Three and Nine Months Ended March 28, 2025</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revenue increased by 45% for the three months ended April 3, 2026 from the comparable period in the prior year, driven by a 34% increase in exabytes sold and a 9% increase in average selling price per exabyte, both of which were driven by strong demand across all of our end markets. Net revenue increased by 33% for the nine months ended April 3, 2026 from the comparable period in the prior year, driven by a 26% increase in exabytes sold and a 5% increase in average selling price per exabyte. The increase in exabytes sold and increase in average selling price per exabyte were attributable to the same factors noted for the three-month period above.</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Cloud revenue, representing 89% of total revenue, increased by 48% for the three months ended April 3, 2026 from the comparable period in the prior year, driven by a 36% increase in exabytes sold and a 9% increase in average selling price per exabyte. The increase in exabytes sold was driven by strong demand for our high-capacity enterprise products. The increase in average selling price per exabyte was due to an improved pricing environment. Cloud revenue, representing 89% of total revenue, increased by 36% for the nine months ended April 3, 2026 from the comparable period in the prior year, driven by a 29% increase in exabytes sold and a 5% increase in average selling price per exabyte. The increase in exabytes sold and increase in average selling price per exabyte were attributable to the same factors noted for the three-month period above.</w:t>
      </w:r>
    </w:p>
    <w:p>
      <w:pPr>
        <w:spacing w:after="0" w:line="214"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Client revenue, representing 5% of total revenue, increased by 31% for the three months ended April 3, 2026 from the comparable period in the prior year, driven by a 19% increase in exabytes sold and a 10% increase in average selling price per exabyte. The increase in exabytes sold and average selling price per exabyte are driven by dynamics largely consistent with our other end markets. Client revenue, representing 5% of total revenue, increased by 20% for the nine months ended April 3, 2026 from the comparable period in the prior year, driven by a 4% increase in exabytes sold and a 16% increase in average selling price per exabyte. The increase in exabytes sold and increase in average selling price per exabyte were attributable to the same factors noted for the three-month period above.</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Consumer revenue, representing 6% of total revenue, increased by 24% for the three months ended April 3, 2026 from the comparable period in the prior year, driven by a 6% increase in exabytes sold and a 17% increase in average selling price per exabyte. The increase in exabytes sold and average selling price per exabyte are driven by dynamics largely consistent with our other end markets. Consumer revenue, representing 6% of total revenue, increased by 6% for the nine months ended April 3, 2026 from the comparable period in the prior year, driven by a 1% increase in exabytes sold and a 4% increase in average selling price per exabyte. The increase in exabytes sold and increase in average selling price per exabyte were attributable to the same factors noted for the three-month period above.</w:t>
      </w: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change in mix of net revenue by geography for the three and nine months ended April 3, 2026 from the comparable periods in the prior year reflects larger percentage increases in the Asia and Europe, Middle East and Africa regions as customers are ramping up data center capacity in these regions.</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top 10 customers accounted for 71% and 74%, respectively, of our net revenue for the three and nine months ended April 3, 2026, compared to 73% and 68%, respectively, of our net revenue for the three and nine months ended March 28, 2025. For the three months ended April 3, 2026, three customers accounted for 17%, 15%, and 11%, respectively, of our net revenue, and for the three months ended March 28, 2025, three customers accounted for 18%, 16% and 13%, respectively, of our net revenue. For the nine months ended April 3, 2026, three customers accounted for 16%, 15%, and 13%, respectively, of our net revenue, and for the nine months ended March 28, 2025, two customers accounted for 18% and 11%, respectively, of our net revenue.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profit increased by $764 million for the three months ended April 3, 2026 from the comparable period in the prior year, due to an increased volume of shipments, a lower cost structure on our newer generation products and improved pricing. Gross margin increased by 10 percentage points year over year, primarily due to a lower cost structure on our newer generation products and improved pricing. Gross profit increased by $1.66 billion for the nine months ended April 3, 2026 from the comparable period in the prior year and gross margin increased by 9 percentage points during the same year-over-year period, primarily due to the same factors noted for the three-month period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 increased by $49 million for the three months ended April 3, 2026 from the comparable period in the prior year. The increase was attributable to $25 million of incremental product development related costs as we continue to execute on our innovative technology and product roadmap along with $20 million higher compensation-related costs aligned with the improved financial performance during the current year. R&amp;D expense increased by $145 million for the nine months ended April 3, 2026 from the comparable period in the prior year. The increase was attributable to $95 million of higher compensation-related costs and $50 million of higher incremental product development related costs, driven by the same factors noted for the three-month period above.</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 increased by $39 million for the three months ended April 3, 2026 from the comparable period in the prior year. The increase was primarily attributable to higher compensation-related expense, as a result of our improved financial performance. SG&amp;A expense decreased by $31 million for the nine months ended April 3, 2026 from the comparable period in the prior year, as that period included substantial costs associated with the final planning and execution of the Separation, including duplicative personnel costs and higher outside service fees.</w:t>
      </w:r>
    </w:p>
    <w:p>
      <w:pPr>
        <w:spacing w:after="0" w:line="20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litigation matters,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185" w:lineRule="exact"/>
        <w:rPr>
          <w:sz w:val="20"/>
          <w:szCs w:val="20"/>
          <w:color w:val="auto"/>
        </w:rPr>
      </w:pPr>
    </w:p>
    <w:p>
      <w:pPr>
        <w:ind w:right="86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Business realignment charges, see Part I, Item 1, Note 10, </w:t>
      </w:r>
      <w:r>
        <w:rPr>
          <w:rFonts w:ascii="Times New Roman" w:cs="Times New Roman" w:eastAsia="Times New Roman" w:hAnsi="Times New Roman"/>
          <w:sz w:val="18"/>
          <w:szCs w:val="18"/>
          <w:i w:val="1"/>
          <w:iCs w:val="1"/>
          <w:color w:val="auto"/>
        </w:rPr>
        <w:t>Business Realignment Charges,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Total interest and other income (expense), changed by $2.86 billion for the three months ended April 3, 2026 from the comparable period in the prior year. The change reflects a gain of $2.73 billion on our retained interest in Sandisk in the current period based on the mark-to-market value as of April 3, 2026, compared to a loss of $606 million in the prior year, and lower interest expense of $53 million, which reflects the reduction in our debt. These changes were partially offset by $545 million of costs incurred in connection with our debt-for-equity exchange, which reflects the discount provided on the monetization of Sandisk shares. Total interest and other income (expense), changed by $4.64 billion for the nine months ended April 3, 2026 from the comparable period in the prior year. The change primarily reflects an unrealized gain of $4.45 billion on our retained interest in Sandisk in the current period based on the mark-to-market value as of April 3, 2026, compared to a loss of $606 million in the prior year, and lower interest expense of $132 million, which reflects the reduction in our debt. These changes were partially offset by $545 million of costs incurred in connection with the debt-for-equity exchange as described above.</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Previously, the Tax Cuts and Jobs Act of 2017 (“TCJA”) eliminated the ability to deduct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Foreign-Derived Deduction Eligible Income (“FDDEI”) deduction that will become effective for us in 2027.</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among other things, a corporate alternative minimum tax (“CAMT”) of 15% on corporations with three-year average annual adjusted financial statement income (“AFSI”) exceeding $1.0 billion. Although CAMT became effective for us beginning with 2024, we were not subject to CAMT for 2024 or 2025. We do not expect to be subject to CAMT in 2026 as our annual average AFSI did not exceed $1.0 billion for the preceding three-year period.</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we are subject to GMT in Malaysia, Thailand, and the Philippines.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Income tax expense (benefit)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2540" w:type="dxa"/>
            <w:vAlign w:val="bottom"/>
            <w:gridSpan w:val="3"/>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right"/>
              <w:ind w:right="384"/>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60" w:type="dxa"/>
            <w:vAlign w:val="bottom"/>
          </w:tcPr>
          <w:p>
            <w:pPr>
              <w:spacing w:after="0"/>
              <w:rPr>
                <w:sz w:val="11"/>
                <w:szCs w:val="11"/>
                <w:color w:val="auto"/>
              </w:rPr>
            </w:pPr>
          </w:p>
        </w:tc>
        <w:tc>
          <w:tcPr>
            <w:tcW w:w="1180" w:type="dxa"/>
            <w:vAlign w:val="bottom"/>
          </w:tcPr>
          <w:p>
            <w:pPr>
              <w:jc w:val="right"/>
              <w:ind w:right="324"/>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ind w:right="404"/>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60" w:type="dxa"/>
            <w:vAlign w:val="bottom"/>
          </w:tcPr>
          <w:p>
            <w:pPr>
              <w:spacing w:after="0"/>
              <w:rPr>
                <w:sz w:val="11"/>
                <w:szCs w:val="11"/>
                <w:color w:val="auto"/>
              </w:rPr>
            </w:pPr>
          </w:p>
        </w:tc>
        <w:tc>
          <w:tcPr>
            <w:tcW w:w="1180" w:type="dxa"/>
            <w:vAlign w:val="bottom"/>
          </w:tcPr>
          <w:p>
            <w:pPr>
              <w:jc w:val="right"/>
              <w:ind w:right="323"/>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6"/>
        </w:trPr>
        <w:tc>
          <w:tcPr>
            <w:tcW w:w="5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3,359</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6,658</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783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154</w:t>
            </w:r>
          </w:p>
        </w:tc>
        <w:tc>
          <w:tcPr>
            <w:tcW w:w="36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429</w:t>
            </w:r>
          </w:p>
        </w:tc>
        <w:tc>
          <w:tcPr>
            <w:tcW w:w="360" w:type="dxa"/>
            <w:vAlign w:val="bottom"/>
          </w:tcPr>
          <w:p>
            <w:pPr>
              <w:spacing w:after="0"/>
              <w:rPr>
                <w:sz w:val="18"/>
                <w:szCs w:val="18"/>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(608)</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-548005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April 3, 2026 and the U.S. Federal statutory rate of 21% are the relative mix of earnings and losses by jurisdiction, the deduction for FDDEI, tax credits, and the gain on the retained interest in Sandisk being tax-free due to the Separation. These resulted in decreases to our effective tax rate below the U.S. Federal statutory rate for the three and nine months ended April 3, 2026. Our income tax provision for the three and nine months ended April 3, 2026 includes GMT for Malaysia as well as Thailand and the Philippines, countries for which we maintain tax holidays.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March 28, 2025 and the U.S. Federal statutory rate of 21% were the relative mix of earnings and losses by jurisdiction, credits, and tax holidays in the Philippines and Thailand that will expire at various dates between 2026 and 2033. These tax holidays resulted in decreases to our effective tax rate below the U.S. Federal statutory rate for the three and nine months ended March 28, 2025. However, the tax effects of the mandatory capitalization of R&amp;D expenses offset these decreases, resulting in our effective tax rate being close to the U.S. Federal statutory rate for the three and nine months ended March 28, 2025. In anticipation of us operating as a standalone HDD business in a GMT environment, we executed an inter-entity asset transfer in conjunction with the Separation. This resulted in the recognition of one-time deferred tax benefits to continuing operations of $711 million for the three and nine months ended March 28,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The following table summarizes our statements of cash flows. Cash flows for the prior year period are presented on a consolidated basis and activity related to discontinued operations has not been segregated. See Part I, Item 1,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Notes to Condensed Consolidated Financial Statements included in this Quarterly Report on Form 10-Q for additional cash flow information related to our discontinued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360" w:type="dxa"/>
            <w:vAlign w:val="bottom"/>
          </w:tcPr>
          <w:p>
            <w:pPr>
              <w:spacing w:after="0"/>
              <w:rPr>
                <w:sz w:val="11"/>
                <w:szCs w:val="11"/>
                <w:color w:val="auto"/>
              </w:rPr>
            </w:pPr>
          </w:p>
        </w:tc>
        <w:tc>
          <w:tcPr>
            <w:tcW w:w="1080" w:type="dxa"/>
            <w:vAlign w:val="bottom"/>
          </w:tcPr>
          <w:p>
            <w:pPr>
              <w:jc w:val="right"/>
              <w:ind w:right="322"/>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capital expenditures generally to be approximately 4% to 6% of our net revenue.</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believe our cash and cash equivalents and our available 2027 Revolving Credit Facility (as defined below) will be sufficient to meet our working capital, debt, dividend and capital expenditure needs for at least the next twelve months and for the foreseeable future thereafter. We believe we can also access the various debt and equity capital markets to further supplement our liquidity position if necessary. Our ability to sustain our working capital position is subject to a number of risks that we 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our 2025 Annual Report on Form 10-K.</w:t>
      </w:r>
    </w:p>
    <w:p>
      <w:pPr>
        <w:spacing w:after="0" w:line="21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total of $1.31 billion and $984 million of our cash and cash equivalents was held by our foreign subsidiaries as of April 3, 2026 and June 27, 2025, respectively. There are no material tax consequences that were not previously accrued for on the repatriation of this cash.</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primarily consists of net income, adjusted for non-cash charges, plus or minus changes in operating assets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Net cash used for changes in operating assets and liabilities was $368 million for the nine months ended April 3, 2026, compared to $1.15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March 28, 2025. The year over year improvement largely reflects a $365 million reduction in inventory as a result of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shipments to customers, a $345 million improvement from accrued expenses resulting from a significant reduction in our derivative hedging activities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Separation, a $225 million improvement from accrued compensation resulting from amount and timing of payment of variable compensation,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$883 million improvement in other assets and liabilities driven by the timing of recognition and realization of income taxes receivable. These were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 $504 million increase in accounts receivable driven by the growth in our business volume and a $518 million increase in cash used driven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recognition and payment of income taxes.</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April 3, 2026 primarily consisted of $310 million in capital expenditures. Net cash provided by investing activities for the nine months ended March 28, 2025 primarily consisted of $401 million in net proceeds from our sale of a majority interest in one of our subsidiaries and $148 million in net proceeds from activity related to Flash Ventures, partially offset by $336 million in capital expenditures, net of proceeds from disposals of assets.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April 3, 2026 primarily consisted of $1.92 billion for share repurchases, $1.56 billion for repayments of our debt, $197 million for taxes paid on vested stock awards under employee stock plans, and $130 million for dividends on our common stock and Preferred Shares. These uses were partially offset by $1.50 billion of net proceeds from a bridge loan and $32 million of proceeds from the issuance of stock under employee stock plans. Net cash provided by financing activities for the nine months ended March 28, 2025 primarily consisted of $2.15 billion of proceeds from drawing on the Sandisk credit facilities in connection with the Separation as well as the 2027 Revolving Credit Facility and $69 million of proceeds from the issuance of stock under employee stock plans, partially offset by $1.37 billion of cash transferred to Sandisk in connection with the Separation, $257 million for repayment of amounts borrowed under the 2027 Revolving Credit Facility and scheduled repayments on the Term Loan A-3 and prior Term Loan A-2, $92 million for taxes paid on vested stock awards under employee stock plans, and $74 million paid for debt issuance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Other than certain indemnification provisions (see “Short- and Long-term Liquidity –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variable interest entities.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5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following is a summary of our known material cash requirements as of April 3, 2026. In addition, see the discussions further below related to liability for unrecognized tax benefits, litigation matters, cash dividend program, global minimum tax, foreign exchange contracts and indemnifications.</w:t>
      </w: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(2027-</w:t>
            </w:r>
          </w:p>
        </w:tc>
        <w:tc>
          <w:tcPr>
            <w:tcW w:w="12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(2029-</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(Beyond 2030)</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including interest</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1,876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-728345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-728345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-728345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-728345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for Unrecognized Tax Benefits</w:t>
      </w:r>
    </w:p>
    <w:p>
      <w:pPr>
        <w:spacing w:after="0" w:line="2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April 3, 2026, the liability for unrecognized tax benefits (excluding accrued interest and penalties) was $603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April 3, 2026 was $123 million. Of these amounts, approximately $133 million could result in potential cash payments to be made within the next twelve months.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5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litigation matters,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 Program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2025, our Board of Directors authorized the adoption of a cash dividend program. Under the cash dividend program, holders of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will receive dividends when and as declared by our Board of Directors. During the three months ended April 3, 2026, we paid cash dividends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$0.125 per share of our outstanding common stock, totaling $43 million. During the nine months ended April 3, 2026, we paid aggregate cash dividends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$0.350 per share of our outstanding common stock, totaling $120 million, plus $2 million paid to holders of our Preferred Shares in accordance with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rights.</w:t>
      </w:r>
    </w:p>
    <w:p>
      <w:pPr>
        <w:spacing w:after="0" w:line="2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Subsequent to quarter-end, on April 29, 2026, our Board of Directors declared a cash dividend of $0.15 per share of our common stock, which will be paid on June 17, 2026 to our shareholders of record as of the close of business on June 5, 2026.</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modify, suspend, or cancel our cash dividend program in any manner and at any time. The amount of future dividends under our cash dividend program, and the declaration and payment thereof, will be based upon all relevant factors, including our financial position, results of operations, cash flows, capital requirements and restrictions under our Loan Agreement and other financing agreements, and shall be in compliance with applicable law.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we issued $1.60 billion aggregate principal amount of convertible senior notes in November 2023, which bear interest at an annual rate of 3.00% and mature on November 15, 2028 (the “2028 Convertible Notes”). The 2028 Convertible Notes are convertible at the option of any holder beginning August 15, 2028 at a conversion price of approximately $37.72 per share of common stock as of April 3, 2026. Prior to August 15, 2028,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 On or after November 15, 2026, we may redeem for cash, at par plus accrued interest, all or any portion of the 2028 Convertible Notes, at our option, if the last reported sale price of our common stock has been at least 130% of the conversion price then in effect for at least 10 trading days during any 20 consecutive trading day period immediately preceding the date of our redemption notice.</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 2026, holders of $32 million aggregate principal amount of the 2028 Convertible Notes tendered them for conversion (the “Tendered Notes”). We made an irrevocable election to settle in cash the conversion obligation in excess of the principal amount of the Tendered Notes, as permitted by the Indenture. Settlement is scheduled for June 2026. We still retain the right to settle any conversion obligation in excess of the principal amount of the remaining 2028 Convertible Notes in cash or shares or a combination thereof, at its election.</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sale price conditional conversion feature of the 2028 Convertible Notes was triggered during the calendar quarter ended March 31, 2026 and, accordingly, the holders of the 2028 Convertible Notes have the right to convert the notes during the succeeding calendar quarter ending June 30, 2026. As a result, the 2028 Convertible Notes have been classified in Current portion of long-term debt in the Condensed Consolidated Financial Statements as of April 3, 2026. We will continue to evaluate the conversion feature quarterly to determine if the 2028 Convertible Notes remain convertible in future periods.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our outstanding debt, as of April 3, 2026, we had $1.25 billion available for borrowing under our revolving credit facility maturing in January 2027 (the “2027 Revolving Credit Facility”),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During the three months ended April 3, 2026, the Company obtained investment grade ratings from two rating agencies and therefore, pursuant to the terms of the Loan Agreement, the guarantees and collateral on the 2027 Revolving Credit Facility were released. The Loan Agreement requires us to comply with a financial leverage ratio covenant. As of April 3, 2026, we were in compliance with the financial covenant. Additional information regarding our indebtedness, including information about availability under our 2027 Revolving Credit Facility and the principal repayment terms, interest rates, covenants, collateral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included in our 2025 Annual Report on Form 10-K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Part I, Item 1 of this Quarterly Report on Form 10-Q.</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of the Obligor Group include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80" w:type="dxa"/>
            <w:vAlign w:val="bottom"/>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80" w:type="dxa"/>
            <w:vAlign w:val="bottom"/>
          </w:tcPr>
          <w:p>
            <w:pPr>
              <w:spacing w:after="0"/>
              <w:rPr>
                <w:sz w:val="16"/>
                <w:szCs w:val="16"/>
                <w:color w:val="auto"/>
              </w:rPr>
            </w:pP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3,509</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2,992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980" w:type="dxa"/>
            <w:vAlign w:val="bottom"/>
          </w:tcPr>
          <w:p>
            <w:pPr>
              <w:spacing w:after="0"/>
              <w:rPr>
                <w:sz w:val="18"/>
                <w:szCs w:val="18"/>
                <w:color w:val="auto"/>
              </w:rPr>
            </w:pP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4,465</w:t>
            </w:r>
          </w:p>
        </w:tc>
        <w:tc>
          <w:tcPr>
            <w:tcW w:w="440" w:type="dxa"/>
            <w:vAlign w:val="bottom"/>
          </w:tcPr>
          <w:p>
            <w:pPr>
              <w:spacing w:after="0"/>
              <w:rPr>
                <w:sz w:val="18"/>
                <w:szCs w:val="18"/>
                <w:color w:val="auto"/>
              </w:rPr>
            </w:pPr>
          </w:p>
        </w:tc>
        <w:tc>
          <w:tcPr>
            <w:tcW w:w="104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4,553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intercompany payables to non-guarantor subsidiaries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(783)</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rPr>
              <w:t>(1,543)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80" w:type="dxa"/>
            <w:vAlign w:val="bottom"/>
          </w:tcPr>
          <w:p>
            <w:pPr>
              <w:spacing w:after="0"/>
              <w:rPr>
                <w:sz w:val="18"/>
                <w:szCs w:val="18"/>
                <w:color w:val="auto"/>
              </w:rPr>
            </w:pP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2,714</w:t>
            </w:r>
          </w:p>
        </w:tc>
        <w:tc>
          <w:tcPr>
            <w:tcW w:w="440" w:type="dxa"/>
            <w:vAlign w:val="bottom"/>
          </w:tcPr>
          <w:p>
            <w:pPr>
              <w:spacing w:after="0"/>
              <w:rPr>
                <w:sz w:val="18"/>
                <w:szCs w:val="18"/>
                <w:color w:val="auto"/>
              </w:rPr>
            </w:pPr>
          </w:p>
        </w:tc>
        <w:tc>
          <w:tcPr>
            <w:tcW w:w="104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3,800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432</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2,873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-822325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Obligor Group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6"/>
                <w:szCs w:val="16"/>
                <w:color w:val="auto"/>
              </w:rPr>
            </w:pPr>
          </w:p>
        </w:tc>
        <w:tc>
          <w:tcPr>
            <w:tcW w:w="1100" w:type="dxa"/>
            <w:vAlign w:val="bottom"/>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8"/>
        </w:trPr>
        <w:tc>
          <w:tcPr>
            <w:tcW w:w="8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44"/>
              <w:spacing w:after="0" w:line="15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400" w:type="dxa"/>
            <w:vAlign w:val="bottom"/>
          </w:tcPr>
          <w:p>
            <w:pPr>
              <w:spacing w:after="0"/>
              <w:rPr>
                <w:sz w:val="13"/>
                <w:szCs w:val="13"/>
                <w:color w:val="auto"/>
              </w:rPr>
            </w:pPr>
          </w:p>
        </w:tc>
        <w:tc>
          <w:tcPr>
            <w:tcW w:w="1100" w:type="dxa"/>
            <w:vAlign w:val="bottom"/>
          </w:tcPr>
          <w:p>
            <w:pPr>
              <w:jc w:val="center"/>
              <w:ind w:right="263"/>
              <w:spacing w:after="0" w:line="159" w:lineRule="exact"/>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7"/>
                <w:szCs w:val="17"/>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3,949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1,658</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575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4,041</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-681355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Obligor Group include the following transactions with non-guarantor subsidiaries: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6"/>
                <w:szCs w:val="16"/>
                <w:color w:val="auto"/>
              </w:rPr>
            </w:pPr>
          </w:p>
        </w:tc>
        <w:tc>
          <w:tcPr>
            <w:tcW w:w="11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1"/>
        </w:trPr>
        <w:tc>
          <w:tcPr>
            <w:tcW w:w="8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380" w:type="dxa"/>
            <w:vAlign w:val="bottom"/>
          </w:tcPr>
          <w:p>
            <w:pPr>
              <w:spacing w:after="0"/>
              <w:rPr>
                <w:sz w:val="13"/>
                <w:szCs w:val="13"/>
                <w:color w:val="auto"/>
              </w:rPr>
            </w:pPr>
          </w:p>
        </w:tc>
        <w:tc>
          <w:tcPr>
            <w:tcW w:w="11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5"/>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5,491</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intercompany interest income (expense)</w:t>
            </w:r>
          </w:p>
        </w:tc>
        <w:tc>
          <w:tcPr>
            <w:tcW w:w="10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dividend income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-548005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 2026, we have accrued GMT liabilities of $62 million that are not expected to be paid until the second quarter of 2028.</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Please refer to Part II, Item 7 of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 discussion of our critical accounting policies and estimates.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Other than changes to our interest rate risk as a result of the disposal of our variable-rate debt, there have been no material changes to our market risk exposure during the nine months ended April 3, 2026 from those disclosed in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our 2025 Annual Report on Form 10-K.</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as of April 3, 2026,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April 3, 2026. The sensitivity analyses indicated that a hypothetical 10% adverse movement in foreign currency exchange rates relative to the U.S. dollar would result in a foreign exchange fair value loss of $72 million at April 3, 2026.</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While we have historically held a balance of fixed and variable rate debt, as of April 3, 2026, our only outstanding debt was $1.60 billion principal amount of our fixed-rate 3.00% convertible notes due 2028.</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April 3, 2026,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for disclosures regarding certain legal proceedings, which are incorporated by reference herein.</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2025 Annual Report on Form 10-K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Part I, Item 1A of our 2025 Annual Report on Form 10-K.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following table provides information about repurchases by us of shares of our common stock during the quarter ended </w:t>
      </w:r>
      <w:r>
        <w:rPr>
          <w:rFonts w:ascii="Times New Roman" w:cs="Times New Roman" w:eastAsia="Times New Roman" w:hAnsi="Times New Roman"/>
          <w:sz w:val="18"/>
          <w:szCs w:val="18"/>
          <w:color w:val="000000"/>
        </w:rPr>
        <w:t>April 3,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average price paid per share)</w:t>
            </w: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9"/>
                <w:szCs w:val="9"/>
                <w:b w:val="1"/>
                <w:bCs w:val="1"/>
                <w:color w:val="auto"/>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43"/>
              <w:spacing w:after="0" w:line="202" w:lineRule="exact"/>
              <w:rPr>
                <w:sz w:val="20"/>
                <w:szCs w:val="20"/>
                <w:color w:val="auto"/>
              </w:rPr>
            </w:pPr>
            <w:r>
              <w:rPr>
                <w:rFonts w:ascii="Times New Roman" w:cs="Times New Roman" w:eastAsia="Times New Roman" w:hAnsi="Times New Roman"/>
                <w:sz w:val="14"/>
                <w:szCs w:val="14"/>
                <w:b w:val="1"/>
                <w:bCs w:val="1"/>
                <w:color w:val="auto"/>
                <w:w w:val="97"/>
              </w:rPr>
              <w:t>the Program</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 3, 2026 - Jan. 30, 2026</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 31, 2026 - Feb. 27,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 28, 2026 - Apr. 3,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0" w:type="dxa"/>
            <w:vAlign w:val="bottom"/>
          </w:tcPr>
          <w:p>
            <w:pPr>
              <w:spacing w:after="0"/>
              <w:rPr>
                <w:sz w:val="1"/>
                <w:szCs w:val="1"/>
                <w:color w:val="auto"/>
              </w:rPr>
            </w:pPr>
          </w:p>
        </w:tc>
      </w:tr>
      <w:tr>
        <w:trPr>
          <w:trHeight w:val="20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for the quarter ended Apr. 3, 2026</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22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commissions.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39" w:lineRule="auto"/>
        <w:tabs>
          <w:tab w:leader="none" w:pos="332"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May 9, 2025, our Board of Directors authorized a share repurchase program for the repurchase of up to $2.00 billion of our common stock, and on February 2, 2026, our Board of Directors authorized the repurchase of up to an additional $4.00 billion of the Company’s common stock. There is no expiration date for the share repurchase program. Repurchases under the share repurchase program may be made in the open market or in privately negotiated transactions and may be made under a Rule 10b5-1 plan. We expect share repurchases to be funded principally by operating cash flows. The amount and timing of share repurchases will depend on market conditions and other corporate considerations. We may suspend or discontinue the share repurchase program at any time.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April 3, 2026, the following director and officers (as defined in Rule 16a-1(f) of the Exchange Act) adopted a trading arrangement for the purchase or sale of securities of Western Digital that is intended to satisfy the affirmative defense conditions of Rule 10b5-1(c) of the Exchange Act (“Rule 10b5-1 Plan”):</w:t>
      </w:r>
    </w:p>
    <w:p>
      <w:pPr>
        <w:spacing w:after="0" w:line="203" w:lineRule="exact"/>
        <w:rPr>
          <w:sz w:val="20"/>
          <w:szCs w:val="20"/>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I. Cole, a director of the Company, adopted a Rule 10b5-1 Plan on March 5, 2026. Under this plan, up to an aggregate of 12,000 shares of the Company’s common stock may be sold before the plan expires on October 31, 2026.</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Irving Tan, Chief Executive Officer of the Company, adopted a Rule 10b5-1 Plan on February 5, 2026. Under this plan, up to an aggregate of 80,000 shares of the Company’s common stock may be sold before the plan expires on May 31, 2027.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Cynthia Tregillis, Executive Vice President, Chief Legal Officer and Secretary of the Company, adopted a Rule 10b5-1 Plan on March 6, 2026. Under this plan, up to an aggregate of 27,765 shares of the Company’s common stock may be sold before the plan expires on December 31, 2027.</w:t>
      </w:r>
    </w:p>
    <w:p>
      <w:pPr>
        <w:spacing w:after="0" w:line="1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exhibits listed in the Exhibit Index below are filed or furnished with, or incorporated by reference in, this Quarterly Report on Form 10-Q, as specified in the Exhibit List.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1000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Number</w:t>
            </w:r>
          </w:p>
        </w:tc>
        <w:tc>
          <w:tcPr>
            <w:tcW w:w="10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60" w:type="dxa"/>
            <w:vAlign w:val="bottom"/>
            <w:tcBorders>
              <w:top w:val="single" w:sz="8" w:color="auto"/>
            </w:tcBorders>
            <w:gridSpan w:val="3"/>
            <w:shd w:val="clear" w:color="auto" w:fill="CCEEFF"/>
          </w:tcPr>
          <w:p>
            <w:pPr>
              <w:jc w:val="center"/>
              <w:ind w:left="379"/>
              <w:spacing w:after="0" w:line="172" w:lineRule="exact"/>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2.</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Separation and Distribution Agreement, dated as of February 21, 2025, by and between Western Digital Corporation and Sandisk Corporation</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(incorporated by reference to Exhibit 2.1 of the Current Report on Form 8-K filed by the Company on February 24, 2025)#</w:t>
            </w:r>
          </w:p>
        </w:tc>
        <w:tc>
          <w:tcPr>
            <w:tcW w:w="0" w:type="dxa"/>
            <w:vAlign w:val="bottom"/>
          </w:tcPr>
          <w:p>
            <w:pPr>
              <w:spacing w:after="0"/>
              <w:rPr>
                <w:sz w:val="1"/>
                <w:szCs w:val="1"/>
                <w:color w:val="auto"/>
              </w:rPr>
            </w:pPr>
          </w:p>
        </w:tc>
      </w:tr>
      <w:tr>
        <w:trPr>
          <w:trHeight w:val="175"/>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Certificate of Incorporation of Western Digital Corporation, as amended to date (incorporated by reference to Exhibit 3.1 to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Annual Report on Form 10-K filed by the Company on August 20, 2024)</w:t>
            </w:r>
          </w:p>
        </w:tc>
        <w:tc>
          <w:tcPr>
            <w:tcW w:w="0" w:type="dxa"/>
            <w:vAlign w:val="bottom"/>
          </w:tcPr>
          <w:p>
            <w:pPr>
              <w:spacing w:after="0"/>
              <w:rPr>
                <w:sz w:val="1"/>
                <w:szCs w:val="1"/>
                <w:color w:val="auto"/>
              </w:rPr>
            </w:pPr>
          </w:p>
        </w:tc>
      </w:tr>
      <w:tr>
        <w:trPr>
          <w:trHeight w:val="176"/>
        </w:trPr>
        <w:tc>
          <w:tcPr>
            <w:tcW w:w="660" w:type="dxa"/>
            <w:vAlign w:val="bottom"/>
            <w:gridSpan w:val="3"/>
            <w:shd w:val="clear" w:color="auto" w:fill="CCEEFF"/>
          </w:tcPr>
          <w:p>
            <w:pPr>
              <w:jc w:val="center"/>
              <w:ind w:left="379"/>
              <w:spacing w:after="0" w:line="175"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Certificate of Designations, Preferences and Rights of Series A Convertible Perpetual Preferred Stock (incorporated by reference to Exhibit 3.1 to the</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by the Company on February 1, 2023)</w:t>
            </w:r>
          </w:p>
        </w:tc>
        <w:tc>
          <w:tcPr>
            <w:tcW w:w="0" w:type="dxa"/>
            <w:vAlign w:val="bottom"/>
          </w:tcPr>
          <w:p>
            <w:pPr>
              <w:spacing w:after="0"/>
              <w:rPr>
                <w:sz w:val="1"/>
                <w:szCs w:val="1"/>
                <w:color w:val="auto"/>
              </w:rPr>
            </w:pPr>
          </w:p>
        </w:tc>
      </w:tr>
      <w:tr>
        <w:trPr>
          <w:trHeight w:val="176"/>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Bylaws of Western Digital Corporation, as amended effective as of March 13, 2025 (incorporated by reference to Exhibit 3.1 to</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the Current Report on Form 8-K filed by the Company on March 13, 2025)</w:t>
            </w:r>
          </w:p>
        </w:tc>
        <w:tc>
          <w:tcPr>
            <w:tcW w:w="0" w:type="dxa"/>
            <w:vAlign w:val="bottom"/>
          </w:tcPr>
          <w:p>
            <w:pPr>
              <w:spacing w:after="0"/>
              <w:rPr>
                <w:sz w:val="1"/>
                <w:szCs w:val="1"/>
                <w:color w:val="auto"/>
              </w:rPr>
            </w:pPr>
          </w:p>
        </w:tc>
      </w:tr>
      <w:tr>
        <w:trPr>
          <w:trHeight w:val="176"/>
        </w:trPr>
        <w:tc>
          <w:tcPr>
            <w:tcW w:w="660" w:type="dxa"/>
            <w:vAlign w:val="bottom"/>
            <w:gridSpan w:val="3"/>
            <w:shd w:val="clear" w:color="auto" w:fill="CCEEFF"/>
          </w:tcPr>
          <w:p>
            <w:pPr>
              <w:jc w:val="center"/>
              <w:ind w:left="379"/>
              <w:spacing w:after="0" w:line="175" w:lineRule="exact"/>
              <w:rPr>
                <w:rFonts w:ascii="Times New Roman" w:cs="Times New Roman" w:eastAsia="Times New Roman" w:hAnsi="Times New Roman"/>
                <w:sz w:val="16"/>
                <w:szCs w:val="16"/>
                <w:color w:val="0000FF"/>
                <w:w w:val="99"/>
              </w:rPr>
            </w:pPr>
            <w:hyperlink r:id="rId13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Certificate of Elimination of Series A Convertible Perpetual Preferred Stock of Western Digital Corporation (incorporated by reference to Exhibit 3.1 to</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the Current Report on Form 8-K filed by the Company on February 24, 2026)</w:t>
            </w:r>
          </w:p>
        </w:tc>
        <w:tc>
          <w:tcPr>
            <w:tcW w:w="0" w:type="dxa"/>
            <w:vAlign w:val="bottom"/>
          </w:tcPr>
          <w:p>
            <w:pPr>
              <w:spacing w:after="0"/>
              <w:rPr>
                <w:sz w:val="1"/>
                <w:szCs w:val="1"/>
                <w:color w:val="auto"/>
              </w:rPr>
            </w:pPr>
          </w:p>
        </w:tc>
      </w:tr>
      <w:tr>
        <w:trPr>
          <w:trHeight w:val="176"/>
        </w:trPr>
        <w:tc>
          <w:tcPr>
            <w:tcW w:w="11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Amendment No. 6, dated as of February 5, 2026, to the Amended and Restated Loan Agreement, dated as of January 7, 2022, by and among Western</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Digital Corporation, JPMorgan Chase Bank, N.A., as administrative agent and the lenders party thereto†</w:t>
            </w:r>
          </w:p>
        </w:tc>
        <w:tc>
          <w:tcPr>
            <w:tcW w:w="0" w:type="dxa"/>
            <w:vAlign w:val="bottom"/>
          </w:tcPr>
          <w:p>
            <w:pPr>
              <w:spacing w:after="0"/>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40" w:type="dxa"/>
            <w:vAlign w:val="bottom"/>
            <w:gridSpan w:val="6"/>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0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0"/>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260" w:hanging="813"/>
        <w:spacing w:after="0"/>
        <w:tabs>
          <w:tab w:leader="none" w:pos="12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329" w:lineRule="exact"/>
        <w:rPr>
          <w:rFonts w:ascii="Times New Roman" w:cs="Times New Roman" w:eastAsia="Times New Roman" w:hAnsi="Times New Roman"/>
          <w:sz w:val="16"/>
          <w:szCs w:val="16"/>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968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with this report.</w:t>
      </w:r>
    </w:p>
    <w:p>
      <w:pPr>
        <w:spacing w:after="0" w:line="26" w:lineRule="exact"/>
        <w:rPr>
          <w:sz w:val="20"/>
          <w:szCs w:val="20"/>
          <w:color w:val="auto"/>
        </w:rPr>
      </w:pPr>
    </w:p>
    <w:p>
      <w:pPr>
        <w:ind w:right="160" w:firstLine="8"/>
        <w:spacing w:after="0" w:line="288" w:lineRule="auto"/>
        <w:tabs>
          <w:tab w:leader="none" w:pos="12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WESTERN DIGITAL CORPORATION</w:t>
      </w:r>
    </w:p>
    <w:p>
      <w:pPr>
        <w:spacing w:after="0" w:line="194"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6"/>
          <w:szCs w:val="16"/>
          <w:color w:val="auto"/>
        </w:rPr>
        <w:t>By:</w:t>
        <w:tab/>
        <w:t>/s/ Brad Feller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20320</wp:posOffset>
            </wp:positionV>
            <wp:extent cx="2743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Brad Feller</w:t>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i w:val="1"/>
          <w:iCs w:val="1"/>
          <w:color w:val="auto"/>
        </w:rPr>
        <w:t>Senior Vice President and Chief Accounting Officer</w:t>
      </w:r>
    </w:p>
    <w:p>
      <w:pPr>
        <w:spacing w:after="0" w:line="3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pacing w:after="0" w:line="200" w:lineRule="exact"/>
        <w:rPr>
          <w:sz w:val="20"/>
          <w:szCs w:val="20"/>
          <w:color w:val="auto"/>
        </w:rPr>
      </w:pPr>
    </w:p>
    <w:p>
      <w:pPr>
        <w:spacing w:after="0" w:line="36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60"/>
          </w:cols>
          <w:pgMar w:left="320" w:top="121" w:right="8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24"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AMENDMENT NO. 6, dated as of February 5, 2026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Amended and Restated Loan Agreement dated as of January 7, 2022 (as amended by that certain Amendment No. 1, dated as of December 23, 2022, as amended by that certain Amendment No. 2, dated as of June 20, 2023, as amended by that certain Amendment No. 3, dated as of June 11, 2024, as amended by that certain Amendment No. 4, dated as of February 20, 2025, as amended by that certain Amendment No. 5, dated as of May 21, 2025 and as further amended, supplemented, amended and restated or otherwise modified from time to time prior to the date hereof,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among WESTERN DIGITAL CORPORATION, a Delaware corporation (the “</w:t>
      </w:r>
      <w:r>
        <w:rPr>
          <w:rFonts w:ascii="Times New Roman" w:cs="Times New Roman" w:eastAsia="Times New Roman" w:hAnsi="Times New Roman"/>
          <w:sz w:val="22"/>
          <w:szCs w:val="22"/>
          <w:u w:val="single" w:color="auto"/>
          <w:color w:val="auto"/>
        </w:rPr>
        <w:t>Lead Borrower</w:t>
      </w:r>
      <w:r>
        <w:rPr>
          <w:rFonts w:ascii="Times New Roman" w:cs="Times New Roman" w:eastAsia="Times New Roman" w:hAnsi="Times New Roman"/>
          <w:sz w:val="22"/>
          <w:szCs w:val="22"/>
          <w:color w:val="auto"/>
        </w:rPr>
        <w:t>”), each lender from time to time party thereto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JPMORGAN CHASE BANK, N.A.,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the other parties thereto. Capitalized terms used and not otherwise defined herein shall have the meanings assigned to them in the Loan Agreement.</w:t>
      </w:r>
    </w:p>
    <w:p>
      <w:pPr>
        <w:spacing w:after="0" w:line="183"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WHEREAS, pursuant to Section 10.11 of the Loan Agreement, the Lead Borrower has requested certain amendments to the Loan Agreement, and the Lenders party hereto constitute the Lenders required pursuant to Section 10.11 of the Loan Agreement with respect to the amendments provided for in Section 2 below;</w:t>
      </w:r>
    </w:p>
    <w:p>
      <w:pPr>
        <w:spacing w:after="0" w:line="186" w:lineRule="exact"/>
        <w:rPr>
          <w:sz w:val="20"/>
          <w:szCs w:val="20"/>
          <w:color w:val="auto"/>
        </w:rPr>
      </w:pPr>
    </w:p>
    <w:p>
      <w:pPr>
        <w:ind w:right="180"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4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u w:val="single" w:color="auto"/>
          <w:color w:val="auto"/>
        </w:rPr>
        <w:t>Defined Terms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20" w:firstLine="1296"/>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assigned to such terms in the Amended Loan Agreement (as defined below).</w:t>
      </w:r>
    </w:p>
    <w:p>
      <w:pPr>
        <w:spacing w:after="0" w:line="14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Effective as of the Amendment No. 6 Effective Date (as defined below), the Loan Agreement is hereby amended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169" w:lineRule="exact"/>
        <w:rPr>
          <w:sz w:val="20"/>
          <w:szCs w:val="20"/>
          <w:color w:val="auto"/>
        </w:rPr>
      </w:pPr>
    </w:p>
    <w:p>
      <w:pPr>
        <w:ind w:right="260" w:firstLine="1304"/>
        <w:spacing w:after="0" w:line="220"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Loan Agreement is hereby amended by deleting “Unsecured” in the defined terms and definitions of “2029 Senior Unsecured Notes” and “2032 Senior Unsecured Notes” and each reference to “2029 Senior Unsecured Notes” and “2032 Senior Unsecured Notes” in the Loan Agreement is hereby amended by deleting “Unsecured” accordingly.</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6.15(I) of the Loan Agreement is hereby amended by adding the following after clause (kk)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provision:</w:t>
      </w:r>
    </w:p>
    <w:p>
      <w:pPr>
        <w:spacing w:after="0" w:line="182"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22"/>
          <w:szCs w:val="22"/>
          <w:color w:val="auto"/>
        </w:rPr>
        <w:t>“(ll) (i) unsecured Indebtedness incurred by the Lead Borrower, the proceeds of which are used to redeem the 2026 Senior Unsecured Notes, 2029 Senior Notes and/or 2032 Senior Notes and (ii) guarantees by the Guarantors of such unsecured Indebtedness pursuant to clause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0" w:right="339" w:bottom="1440" w:gutter="0" w:footer="0" w:header="0"/>
        </w:sectPr>
      </w:pPr>
    </w:p>
    <w:bookmarkStart w:id="55" w:name="page56"/>
    <w:bookmarkEnd w:id="55"/>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Lead Borrower represents and warrants as of the Amendment No. 6 Effective Date that:</w:t>
      </w:r>
    </w:p>
    <w:p>
      <w:pPr>
        <w:spacing w:after="0" w:line="193" w:lineRule="exact"/>
        <w:rPr>
          <w:sz w:val="20"/>
          <w:szCs w:val="20"/>
          <w:color w:val="auto"/>
        </w:rPr>
      </w:pPr>
    </w:p>
    <w:p>
      <w:pPr>
        <w:ind w:right="140" w:firstLine="1304"/>
        <w:spacing w:after="0" w:line="217"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giving effect to this Amendment, each of the representations and warranties set forth in the Amended Loan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said time, except to the extent the same expressly relate to an earlier date.</w:t>
      </w:r>
    </w:p>
    <w:p>
      <w:pPr>
        <w:spacing w:after="0" w:line="152" w:lineRule="exact"/>
        <w:rPr>
          <w:rFonts w:ascii="Times New Roman" w:cs="Times New Roman" w:eastAsia="Times New Roman" w:hAnsi="Times New Roman"/>
          <w:sz w:val="22"/>
          <w:szCs w:val="22"/>
          <w:color w:val="auto"/>
        </w:rPr>
      </w:pPr>
    </w:p>
    <w:p>
      <w:pPr>
        <w:ind w:right="740" w:firstLine="1304"/>
        <w:spacing w:after="0" w:line="236"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after giving effect to this Amendment, no Default or Event of Default shall have occurred and be continuing.</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Conditions to Effectiveness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20" w:firstLine="1296"/>
        <w:spacing w:after="0" w:line="256" w:lineRule="auto"/>
        <w:rPr>
          <w:sz w:val="20"/>
          <w:szCs w:val="20"/>
          <w:color w:val="auto"/>
        </w:rPr>
      </w:pPr>
      <w:r>
        <w:rPr>
          <w:rFonts w:ascii="Times New Roman" w:cs="Times New Roman" w:eastAsia="Times New Roman" w:hAnsi="Times New Roman"/>
          <w:sz w:val="22"/>
          <w:szCs w:val="22"/>
          <w:color w:val="auto"/>
        </w:rPr>
        <w:t>This Amendment shall become effective on the date (the “</w:t>
      </w:r>
      <w:r>
        <w:rPr>
          <w:rFonts w:ascii="Times New Roman" w:cs="Times New Roman" w:eastAsia="Times New Roman" w:hAnsi="Times New Roman"/>
          <w:sz w:val="22"/>
          <w:szCs w:val="22"/>
          <w:u w:val="single" w:color="auto"/>
          <w:color w:val="auto"/>
        </w:rPr>
        <w:t>Amendment No. 6 Effective Date</w:t>
      </w:r>
      <w:r>
        <w:rPr>
          <w:rFonts w:ascii="Times New Roman" w:cs="Times New Roman" w:eastAsia="Times New Roman" w:hAnsi="Times New Roman"/>
          <w:sz w:val="22"/>
          <w:szCs w:val="22"/>
          <w:color w:val="auto"/>
        </w:rPr>
        <w:t>”) on which the Administrative Agent receives counterparts of this Amendment executed by the Lead Borrower and the Lenders who constitute the Required Lenders, each of which shall be originals or facsimiles or electronic copies (and, to the extent requested by the Administrative Agent, followed promptly by originals).</w:t>
      </w:r>
    </w:p>
    <w:p>
      <w:pPr>
        <w:spacing w:after="0" w:line="17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Lead Borrower and the Lenders of the Amendment No. 6 Effective Date and such notice shall be conclusive and binding.</w:t>
      </w:r>
    </w:p>
    <w:p>
      <w:pPr>
        <w:spacing w:after="0" w:line="12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auto"/>
        </w:rPr>
        <w:t>This Amendment,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and the Loan Agreement 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Amendment shall not constitute a novation of the Loan Agreement or any of the Loan Documents. Upon and after the execution of this Amendment by each of the parties hereto, each reference in the Loan Agreement to “this Agreement”, “hereunder”, “hereof” or words of like import referring to the Loan Agreement, and each reference in the other Loan Documents to “the Loan Agreement”, “thereunder”, “thereof” or words of like import referring to the Loan Agreement, shall mean and be a reference to the Loan Agreement as modified hereby. It is understood and agreed that this Amendment is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56" w:name="page57"/>
    <w:bookmarkEnd w:id="56"/>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u w:val="single" w:color="auto"/>
          <w:color w:val="auto"/>
        </w:rPr>
        <w:t>Amendment, Modification and Waiver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Amendment may not be amended, modified or waived except pursuant to a writing signed by each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hereto.</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60" w:firstLine="1296"/>
        <w:spacing w:after="0" w:line="263" w:lineRule="auto"/>
        <w:rPr>
          <w:sz w:val="20"/>
          <w:szCs w:val="20"/>
          <w:color w:val="auto"/>
        </w:rPr>
      </w:pPr>
      <w:r>
        <w:rPr>
          <w:rFonts w:ascii="Times New Roman" w:cs="Times New Roman" w:eastAsia="Times New Roman" w:hAnsi="Times New Roman"/>
          <w:sz w:val="22"/>
          <w:szCs w:val="22"/>
          <w:color w:val="auto"/>
        </w:rPr>
        <w:t>The Lead Borrower agrees to reimburse the Administrative Agent for its reasonable and documented out-of-pocket expenses incurred by them in connection with this Amendment, including the reasonable and documented fees, charges and disbursements of Cahill Gordon &amp; Reindel LLP, counsel for the Administrative Agent.</w:t>
      </w:r>
    </w:p>
    <w:p>
      <w:pPr>
        <w:spacing w:after="0" w:line="13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80" w:firstLine="1296"/>
        <w:spacing w:after="0" w:line="249" w:lineRule="auto"/>
        <w:rPr>
          <w:sz w:val="20"/>
          <w:szCs w:val="20"/>
          <w:color w:val="auto"/>
        </w:rPr>
      </w:pPr>
      <w:r>
        <w:rPr>
          <w:rFonts w:ascii="Times New Roman" w:cs="Times New Roman" w:eastAsia="Times New Roman" w:hAnsi="Times New Roman"/>
          <w:sz w:val="22"/>
          <w:szCs w:val="22"/>
          <w:color w:val="auto"/>
        </w:rPr>
        <w:t>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or electronic transmission shall be effective as delivery of a manually executed counterpart hereof. The words “execution,” “signed,” “signature,” “delivery,” and words of like import in or relating to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u w:val="single" w:color="auto"/>
          <w:color w:val="auto"/>
        </w:rPr>
        <w:t>Governing Law and Waiver of Right to Trial by Jury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40" w:firstLine="1296"/>
        <w:spacing w:after="0" w:line="269" w:lineRule="auto"/>
        <w:rPr>
          <w:sz w:val="20"/>
          <w:szCs w:val="20"/>
          <w:color w:val="auto"/>
        </w:rPr>
      </w:pPr>
      <w:r>
        <w:rPr>
          <w:rFonts w:ascii="Times New Roman" w:cs="Times New Roman" w:eastAsia="Times New Roman" w:hAnsi="Times New Roman"/>
          <w:sz w:val="21"/>
          <w:szCs w:val="21"/>
          <w:b w:val="1"/>
          <w:bCs w:val="1"/>
          <w:color w:val="auto"/>
        </w:rPr>
        <w:t>THIS AMENDMENT AND ANY CLAIM, CONTROVERSY OR DISPUTE ARISING UNDER OR RELATED TO THIS AMENDMENT AND THE RIGHTS AND OBLIGATIONS OF THE PARTIES UNDER THIS AMENDMENT SHALL BE GOVERNED BY, AND CONSTRUED AND INTERPRETED IN ACCORDANCE WITH, THE LAW OF THE STATE OF NEW YORK. SECTION 10.22 OF THE LOAN AGREEMENT IS HEREBY INCORPORATED BY REFERENCE INTO THIS AMENDMENT AND SHALL APPLY HERETO.</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60" w:firstLine="1296"/>
        <w:spacing w:after="0" w:line="284" w:lineRule="auto"/>
        <w:rPr>
          <w:sz w:val="20"/>
          <w:szCs w:val="20"/>
          <w:color w:val="auto"/>
        </w:rPr>
      </w:pPr>
      <w:r>
        <w:rPr>
          <w:rFonts w:ascii="Times New Roman" w:cs="Times New Roman" w:eastAsia="Times New Roman" w:hAnsi="Times New Roman"/>
          <w:sz w:val="22"/>
          <w:szCs w:val="22"/>
          <w:color w:val="auto"/>
        </w:rPr>
        <w:t>The headings of this Amendment are for purposes of reference only and shall not limit or otherwise affect the meaning hereof.</w:t>
      </w:r>
    </w:p>
    <w:p>
      <w:pPr>
        <w:spacing w:after="0" w:line="113"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u w:val="single" w:color="auto"/>
          <w:color w:val="auto"/>
        </w:rPr>
        <w:t>Effect of Amendment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Except as expressly set forth herein, this Amendment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 the Loan Agreement or any other provision of the Loan Agreement or any other Loan Document, all of which are ratified and affirmed in all respects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91" w:right="359" w:bottom="1440" w:gutter="0" w:footer="0" w:header="0"/>
        </w:sectPr>
      </w:pPr>
    </w:p>
    <w:bookmarkStart w:id="57" w:name="page58"/>
    <w:bookmarkEnd w:id="57"/>
    <w:p>
      <w:pPr>
        <w:spacing w:after="0" w:line="271" w:lineRule="auto"/>
        <w:rPr>
          <w:sz w:val="20"/>
          <w:szCs w:val="20"/>
          <w:color w:val="auto"/>
        </w:rPr>
      </w:pPr>
      <w:r>
        <w:rPr>
          <w:rFonts w:ascii="Times New Roman" w:cs="Times New Roman" w:eastAsia="Times New Roman" w:hAnsi="Times New Roman"/>
          <w:sz w:val="22"/>
          <w:szCs w:val="22"/>
          <w:color w:val="auto"/>
        </w:rPr>
        <w:t>shall continue in full force and effect. Additionally, the Lenders party hereto (such Lenders constituting the Required Lenders) hereby consent to the terms of this Amendment.</w:t>
      </w:r>
    </w:p>
    <w:p>
      <w:pPr>
        <w:spacing w:after="0" w:line="1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20"/>
          </w:cols>
          <w:pgMar w:left="320" w:top="1422" w:right="6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first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WESTERN DIGITAL CORPORATION</w:t>
      </w:r>
    </w:p>
    <w:p>
      <w:pPr>
        <w:spacing w:after="0" w:line="200" w:lineRule="exact"/>
        <w:rPr>
          <w:sz w:val="20"/>
          <w:szCs w:val="20"/>
          <w:color w:val="auto"/>
        </w:rPr>
      </w:pPr>
    </w:p>
    <w:p>
      <w:pPr>
        <w:spacing w:after="0" w:line="24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8528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8" w:lineRule="exact"/>
        <w:rPr>
          <w:sz w:val="20"/>
          <w:szCs w:val="20"/>
          <w:color w:val="auto"/>
        </w:rPr>
      </w:pPr>
    </w:p>
    <w:p>
      <w:pPr>
        <w:ind w:left="3680"/>
        <w:spacing w:after="0"/>
        <w:tabs>
          <w:tab w:leader="none" w:pos="44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Grace Lin</w:t>
      </w:r>
    </w:p>
    <w:p>
      <w:pPr>
        <w:spacing w:after="0" w:line="4" w:lineRule="exact"/>
        <w:rPr>
          <w:sz w:val="20"/>
          <w:szCs w:val="20"/>
          <w:color w:val="auto"/>
        </w:rPr>
      </w:pPr>
    </w:p>
    <w:p>
      <w:pPr>
        <w:ind w:left="3680"/>
        <w:spacing w:after="0"/>
        <w:tabs>
          <w:tab w:leader="none" w:pos="4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[Signature Page to Amendment No. 6 to A&amp;R Loan Agreement]</w:t>
      </w:r>
    </w:p>
    <w:p>
      <w:pPr>
        <w:sectPr>
          <w:pgSz w:w="11900" w:h="16838" w:orient="portrait"/>
          <w:cols w:equalWidth="0" w:num="1">
            <w:col w:w="11140"/>
          </w:cols>
          <w:pgMar w:left="320" w:top="1422" w:right="439" w:bottom="1440" w:gutter="0" w:footer="0" w:header="0"/>
        </w:sectPr>
      </w:pPr>
    </w:p>
    <w:bookmarkStart w:id="59" w:name="page60"/>
    <w:bookmarkEnd w:id="59"/>
    <w:p>
      <w:pPr>
        <w:ind w:left="2780" w:right="239"/>
        <w:spacing w:after="0" w:line="476" w:lineRule="auto"/>
        <w:rPr>
          <w:sz w:val="20"/>
          <w:szCs w:val="20"/>
          <w:color w:val="auto"/>
        </w:rPr>
      </w:pPr>
      <w:r>
        <w:rPr>
          <w:rFonts w:ascii="Times New Roman" w:cs="Times New Roman" w:eastAsia="Times New Roman" w:hAnsi="Times New Roman"/>
          <w:sz w:val="22"/>
          <w:szCs w:val="22"/>
          <w:u w:val="single" w:color="auto"/>
          <w:color w:val="auto"/>
        </w:rPr>
        <w:t xml:space="preserve">With respect to only Sections 6 through 8 and Sections 10 through 13 </w:t>
      </w:r>
      <w:r>
        <w:rPr>
          <w:rFonts w:ascii="Times New Roman" w:cs="Times New Roman" w:eastAsia="Times New Roman" w:hAnsi="Times New Roman"/>
          <w:sz w:val="22"/>
          <w:szCs w:val="22"/>
          <w:color w:val="auto"/>
        </w:rPr>
        <w:t>WESTERN DIGITAL TECHNOLOGIES, INC.</w:t>
      </w:r>
    </w:p>
    <w:p>
      <w:pPr>
        <w:spacing w:after="0" w:line="1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8528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9"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Grace Lin</w:t>
      </w:r>
    </w:p>
    <w:p>
      <w:pPr>
        <w:spacing w:after="0" w:line="15"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Treasury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0" w:name="page61"/>
    <w:bookmarkEnd w:id="60"/>
    <w:p>
      <w:pPr>
        <w:jc w:val="right"/>
        <w:ind w:right="899"/>
        <w:spacing w:after="0"/>
        <w:rPr>
          <w:sz w:val="20"/>
          <w:szCs w:val="20"/>
          <w:color w:val="auto"/>
        </w:rPr>
      </w:pPr>
      <w:r>
        <w:rPr>
          <w:rFonts w:ascii="Times New Roman" w:cs="Times New Roman" w:eastAsia="Times New Roman" w:hAnsi="Times New Roman"/>
          <w:sz w:val="22"/>
          <w:szCs w:val="22"/>
          <w:color w:val="auto"/>
        </w:rPr>
        <w:t>JPMORGAN CHASE BANK, N.A., as Administrative Agent</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083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Lee</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1" w:name="page62"/>
    <w:bookmarkEnd w:id="61"/>
    <w:p>
      <w:pPr>
        <w:ind w:left="2780"/>
        <w:spacing w:after="0"/>
        <w:rPr>
          <w:sz w:val="20"/>
          <w:szCs w:val="20"/>
          <w:color w:val="auto"/>
        </w:rPr>
      </w:pPr>
      <w:r>
        <w:rPr>
          <w:rFonts w:ascii="Times New Roman" w:cs="Times New Roman" w:eastAsia="Times New Roman" w:hAnsi="Times New Roman"/>
          <w:sz w:val="22"/>
          <w:szCs w:val="22"/>
          <w:color w:val="auto"/>
        </w:rPr>
        <w:t>JPMORGAN CHASE BANK, N.A.,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-13970</wp:posOffset>
            </wp:positionV>
            <wp:extent cx="970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Lee</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2" w:name="page63"/>
    <w:bookmarkEnd w:id="62"/>
    <w:p>
      <w:pPr>
        <w:jc w:val="right"/>
        <w:ind w:right="1699"/>
        <w:spacing w:after="0"/>
        <w:rPr>
          <w:sz w:val="20"/>
          <w:szCs w:val="20"/>
          <w:color w:val="auto"/>
        </w:rPr>
      </w:pPr>
      <w:r>
        <w:rPr>
          <w:rFonts w:ascii="Times New Roman" w:cs="Times New Roman" w:eastAsia="Times New Roman" w:hAnsi="Times New Roman"/>
          <w:sz w:val="22"/>
          <w:szCs w:val="22"/>
          <w:color w:val="auto"/>
        </w:rPr>
        <w:t>JPMORGAN CHASE FUNDING INC.,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Ferraiolo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11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Joseph Ferraiolo</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3" w:name="page64"/>
    <w:bookmarkEnd w:id="63"/>
    <w:p>
      <w:pPr>
        <w:ind w:left="2780"/>
        <w:spacing w:after="0"/>
        <w:rPr>
          <w:sz w:val="20"/>
          <w:szCs w:val="20"/>
          <w:color w:val="auto"/>
        </w:rPr>
      </w:pPr>
      <w:r>
        <w:rPr>
          <w:rFonts w:ascii="Times New Roman" w:cs="Times New Roman" w:eastAsia="Times New Roman" w:hAnsi="Times New Roman"/>
          <w:sz w:val="22"/>
          <w:szCs w:val="22"/>
          <w:color w:val="auto"/>
        </w:rPr>
        <w:t>Bank of America, N.A.,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Puneet Lakhotia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963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Puneet Lakhotia</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4" w:name="page65"/>
    <w:bookmarkEnd w:id="64"/>
    <w:p>
      <w:pPr>
        <w:jc w:val="right"/>
        <w:ind w:right="1659"/>
        <w:spacing w:after="0"/>
        <w:rPr>
          <w:sz w:val="20"/>
          <w:szCs w:val="20"/>
          <w:color w:val="auto"/>
        </w:rPr>
      </w:pPr>
      <w:r>
        <w:rPr>
          <w:rFonts w:ascii="Times New Roman" w:cs="Times New Roman" w:eastAsia="Times New Roman" w:hAnsi="Times New Roman"/>
          <w:sz w:val="22"/>
          <w:szCs w:val="22"/>
          <w:color w:val="auto"/>
        </w:rPr>
        <w:t>Wells Fargo Bank, National Association,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Daniel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134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1013460" cy="8890"/>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Daniel Kurtz</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5" w:name="page66"/>
    <w:bookmarkEnd w:id="65"/>
    <w:p>
      <w:pPr>
        <w:jc w:val="right"/>
        <w:ind w:right="1479"/>
        <w:spacing w:after="0"/>
        <w:rPr>
          <w:sz w:val="20"/>
          <w:szCs w:val="20"/>
          <w:color w:val="auto"/>
        </w:rPr>
      </w:pPr>
      <w:r>
        <w:rPr>
          <w:rFonts w:ascii="Times New Roman" w:cs="Times New Roman" w:eastAsia="Times New Roman" w:hAnsi="Times New Roman"/>
          <w:sz w:val="22"/>
          <w:szCs w:val="22"/>
          <w:color w:val="auto"/>
        </w:rPr>
        <w:t>U.S. BANK NATIONAL ASSOCIATION,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Brian Seipke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134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1013460" cy="8890"/>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Brian Seipke</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6" w:name="page67"/>
    <w:bookmarkEnd w:id="66"/>
    <w:p>
      <w:pPr>
        <w:jc w:val="center"/>
        <w:ind w:right="259"/>
        <w:spacing w:after="0"/>
        <w:rPr>
          <w:sz w:val="20"/>
          <w:szCs w:val="20"/>
          <w:color w:val="auto"/>
        </w:rPr>
      </w:pPr>
      <w:r>
        <w:rPr>
          <w:rFonts w:ascii="Times New Roman" w:cs="Times New Roman" w:eastAsia="Times New Roman" w:hAnsi="Times New Roman"/>
          <w:sz w:val="22"/>
          <w:szCs w:val="22"/>
          <w:color w:val="auto"/>
        </w:rPr>
        <w:t>MIZUHO BANK, LTD.,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9398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Tracy Rahn</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7" w:name="page68"/>
    <w:bookmarkEnd w:id="67"/>
    <w:p>
      <w:pPr>
        <w:ind w:left="2780"/>
        <w:spacing w:after="0"/>
        <w:rPr>
          <w:sz w:val="20"/>
          <w:szCs w:val="20"/>
          <w:color w:val="auto"/>
        </w:rPr>
      </w:pPr>
      <w:r>
        <w:rPr>
          <w:rFonts w:ascii="Times New Roman" w:cs="Times New Roman" w:eastAsia="Times New Roman" w:hAnsi="Times New Roman"/>
          <w:sz w:val="22"/>
          <w:szCs w:val="22"/>
          <w:color w:val="auto"/>
        </w:rPr>
        <w:t>ROYAL BANK OF CANADA,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Harsh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661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Harsh Grewal</w:t>
      </w:r>
    </w:p>
    <w:p>
      <w:pPr>
        <w:spacing w:after="0" w:line="5"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68" w:name="page69"/>
    <w:bookmarkEnd w:id="68"/>
    <w:p>
      <w:pPr>
        <w:ind w:left="2780"/>
        <w:spacing w:after="0" w:line="271" w:lineRule="auto"/>
        <w:rPr>
          <w:sz w:val="20"/>
          <w:szCs w:val="20"/>
          <w:color w:val="auto"/>
        </w:rPr>
      </w:pPr>
      <w:r>
        <w:rPr>
          <w:rFonts w:ascii="Times New Roman" w:cs="Times New Roman" w:eastAsia="Times New Roman" w:hAnsi="Times New Roman"/>
          <w:sz w:val="22"/>
          <w:szCs w:val="22"/>
          <w:color w:val="auto"/>
        </w:rPr>
        <w:t>BANCO BILBAO VIZCAYA ARGENTARIA, S.A. NEW YORK BRANCH, as a Lender</w:t>
      </w:r>
    </w:p>
    <w:p>
      <w:pPr>
        <w:spacing w:after="0" w:line="37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60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9" w:lineRule="exact"/>
        <w:rPr>
          <w:sz w:val="20"/>
          <w:szCs w:val="20"/>
          <w:color w:val="auto"/>
        </w:rPr>
      </w:pPr>
    </w:p>
    <w:p>
      <w:pPr>
        <w:ind w:left="3360"/>
        <w:spacing w:after="0"/>
        <w:tabs>
          <w:tab w:leader="none" w:pos="41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19"/>
          <w:szCs w:val="19"/>
          <w:color w:val="auto"/>
        </w:rPr>
        <w:t>Cara Younger</w:t>
      </w:r>
    </w:p>
    <w:p>
      <w:pPr>
        <w:spacing w:after="0" w:line="15" w:lineRule="exact"/>
        <w:rPr>
          <w:sz w:val="20"/>
          <w:szCs w:val="20"/>
          <w:color w:val="auto"/>
        </w:rPr>
      </w:pPr>
    </w:p>
    <w:p>
      <w:pPr>
        <w:ind w:left="3360"/>
        <w:spacing w:after="0"/>
        <w:tabs>
          <w:tab w:leader="none" w:pos="40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268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Armen Semizian</w:t>
      </w:r>
    </w:p>
    <w:p>
      <w:pPr>
        <w:spacing w:after="0" w:line="4"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[Signature Page to Amendment No. 6 to A&amp;R Loan Agreement]</w:t>
      </w:r>
    </w:p>
    <w:p>
      <w:pPr>
        <w:sectPr>
          <w:pgSz w:w="11900" w:h="16838" w:orient="portrait"/>
          <w:cols w:equalWidth="0" w:num="1">
            <w:col w:w="9900"/>
          </w:cols>
          <w:pgMar w:left="1440" w:top="1422" w:right="559" w:bottom="1440" w:gutter="0" w:footer="0" w:header="0"/>
        </w:sectPr>
      </w:pPr>
    </w:p>
    <w:bookmarkStart w:id="69" w:name="page70"/>
    <w:bookmarkEnd w:id="69"/>
    <w:p>
      <w:pPr>
        <w:jc w:val="center"/>
        <w:ind w:right="159"/>
        <w:spacing w:after="0"/>
        <w:rPr>
          <w:sz w:val="20"/>
          <w:szCs w:val="20"/>
          <w:color w:val="auto"/>
        </w:rPr>
      </w:pPr>
      <w:r>
        <w:rPr>
          <w:rFonts w:ascii="Times New Roman" w:cs="Times New Roman" w:eastAsia="Times New Roman" w:hAnsi="Times New Roman"/>
          <w:sz w:val="22"/>
          <w:szCs w:val="22"/>
          <w:color w:val="auto"/>
        </w:rPr>
        <w:t>The Bank of Nova Scotia,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Yvonne Bai</w:t>
      </w:r>
    </w:p>
    <w:p>
      <w:pPr>
        <w:spacing w:after="0" w:line="2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Yvonne Bai</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0" w:name="page71"/>
    <w:bookmarkEnd w:id="70"/>
    <w:p>
      <w:pPr>
        <w:jc w:val="right"/>
        <w:ind w:right="1379"/>
        <w:spacing w:after="0"/>
        <w:rPr>
          <w:sz w:val="20"/>
          <w:szCs w:val="20"/>
          <w:color w:val="auto"/>
        </w:rPr>
      </w:pPr>
      <w:r>
        <w:rPr>
          <w:rFonts w:ascii="Times New Roman" w:cs="Times New Roman" w:eastAsia="Times New Roman" w:hAnsi="Times New Roman"/>
          <w:sz w:val="22"/>
          <w:szCs w:val="22"/>
          <w:color w:val="auto"/>
        </w:rPr>
        <w:t>PNC BANK, NATIONAL ASSOCIATION,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Kentaro Umezono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10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Kentaro Umezono</w:t>
      </w:r>
    </w:p>
    <w:p>
      <w:pPr>
        <w:spacing w:after="0" w:line="5"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1" w:name="page72"/>
    <w:bookmarkEnd w:id="71"/>
    <w:p>
      <w:pPr>
        <w:ind w:left="2780"/>
        <w:spacing w:after="0"/>
        <w:rPr>
          <w:sz w:val="20"/>
          <w:szCs w:val="20"/>
          <w:color w:val="auto"/>
        </w:rPr>
      </w:pPr>
      <w:r>
        <w:rPr>
          <w:rFonts w:ascii="Times New Roman" w:cs="Times New Roman" w:eastAsia="Times New Roman" w:hAnsi="Times New Roman"/>
          <w:sz w:val="21"/>
          <w:szCs w:val="21"/>
          <w:color w:val="auto"/>
        </w:rPr>
        <w:t>Sumitomo Mitsui Banking Corporation, as a Lender</w:t>
      </w:r>
    </w:p>
    <w:p>
      <w:pPr>
        <w:spacing w:after="0" w:line="200" w:lineRule="exact"/>
        <w:rPr>
          <w:sz w:val="20"/>
          <w:szCs w:val="20"/>
          <w:color w:val="auto"/>
        </w:rPr>
      </w:pP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9982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Nabeel Shah</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color w:val="auto"/>
        </w:rPr>
        <w:t>THE TORONTO-DOMINION BANK, NEW YORK BRANCH,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7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Perlman</w:t>
      </w:r>
    </w:p>
    <w:p>
      <w:pPr>
        <w:spacing w:after="0" w:line="5"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[Signature Page to Amendment No. 6 to A&amp;R Loan Agreement]</w:t>
      </w:r>
    </w:p>
    <w:p>
      <w:pPr>
        <w:sectPr>
          <w:pgSz w:w="11900" w:h="16838" w:orient="portrait"/>
          <w:cols w:equalWidth="0" w:num="1">
            <w:col w:w="9460"/>
          </w:cols>
          <w:pgMar w:left="1440" w:top="1422" w:right="999" w:bottom="1440" w:gutter="0" w:footer="0" w:header="0"/>
        </w:sectPr>
      </w:pPr>
    </w:p>
    <w:bookmarkStart w:id="73" w:name="page74"/>
    <w:bookmarkEnd w:id="73"/>
    <w:p>
      <w:pPr>
        <w:ind w:left="2780"/>
        <w:spacing w:after="0"/>
        <w:rPr>
          <w:sz w:val="20"/>
          <w:szCs w:val="20"/>
          <w:color w:val="auto"/>
        </w:rPr>
      </w:pPr>
      <w:r>
        <w:rPr>
          <w:rFonts w:ascii="Times New Roman" w:cs="Times New Roman" w:eastAsia="Times New Roman" w:hAnsi="Times New Roman"/>
          <w:sz w:val="22"/>
          <w:szCs w:val="22"/>
          <w:color w:val="auto"/>
        </w:rPr>
        <w:t>Truist Bank,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Alfonso Brigham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57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Alfonso Brigham</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4" w:name="page75"/>
    <w:bookmarkEnd w:id="74"/>
    <w:p>
      <w:pPr>
        <w:ind w:left="2780"/>
        <w:spacing w:after="0"/>
        <w:rPr>
          <w:sz w:val="20"/>
          <w:szCs w:val="20"/>
          <w:color w:val="auto"/>
        </w:rPr>
      </w:pPr>
      <w:r>
        <w:rPr>
          <w:rFonts w:ascii="Times New Roman" w:cs="Times New Roman" w:eastAsia="Times New Roman" w:hAnsi="Times New Roman"/>
          <w:sz w:val="22"/>
          <w:szCs w:val="22"/>
          <w:color w:val="auto"/>
        </w:rPr>
        <w:t>MUFG BANK, LTD.,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Thomas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51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Thomas Lane</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5" w:name="page76"/>
    <w:bookmarkEnd w:id="75"/>
    <w:p>
      <w:pPr>
        <w:jc w:val="right"/>
        <w:ind w:right="1659"/>
        <w:spacing w:after="0"/>
        <w:rPr>
          <w:sz w:val="20"/>
          <w:szCs w:val="20"/>
          <w:color w:val="auto"/>
        </w:rPr>
      </w:pPr>
      <w:r>
        <w:rPr>
          <w:rFonts w:ascii="Times New Roman" w:cs="Times New Roman" w:eastAsia="Times New Roman" w:hAnsi="Times New Roman"/>
          <w:sz w:val="22"/>
          <w:szCs w:val="22"/>
          <w:color w:val="auto"/>
        </w:rPr>
        <w:t>HSBC Bank USA, National Association,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Jillian Clemons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58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Jillian Clemons</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6" w:name="page77"/>
    <w:bookmarkEnd w:id="76"/>
    <w:p>
      <w:pPr>
        <w:ind w:left="2780"/>
        <w:spacing w:after="0"/>
        <w:rPr>
          <w:sz w:val="20"/>
          <w:szCs w:val="20"/>
          <w:color w:val="auto"/>
        </w:rPr>
      </w:pPr>
      <w:r>
        <w:rPr>
          <w:rFonts w:ascii="Times New Roman" w:cs="Times New Roman" w:eastAsia="Times New Roman" w:hAnsi="Times New Roman"/>
          <w:sz w:val="22"/>
          <w:szCs w:val="22"/>
          <w:color w:val="auto"/>
        </w:rPr>
        <w:t>DBS Bank Ltd.,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Goh Soo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54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Goh Soo Ching</w:t>
      </w:r>
    </w:p>
    <w:p>
      <w:pPr>
        <w:spacing w:after="0" w:line="5"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7" w:name="page78"/>
    <w:bookmarkEnd w:id="77"/>
    <w:p>
      <w:pPr>
        <w:ind w:left="2780"/>
        <w:spacing w:after="0"/>
        <w:rPr>
          <w:sz w:val="20"/>
          <w:szCs w:val="20"/>
          <w:color w:val="auto"/>
        </w:rPr>
      </w:pPr>
      <w:r>
        <w:rPr>
          <w:rFonts w:ascii="Times New Roman" w:cs="Times New Roman" w:eastAsia="Times New Roman" w:hAnsi="Times New Roman"/>
          <w:sz w:val="22"/>
          <w:szCs w:val="22"/>
          <w:color w:val="auto"/>
        </w:rPr>
        <w:t>CITIBANK, N.A.,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Carmen-Christina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7900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Carmen-Christina Kelleher</w:t>
      </w:r>
    </w:p>
    <w:p>
      <w:pPr>
        <w:spacing w:after="0" w:line="5"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8" w:name="page79"/>
    <w:bookmarkEnd w:id="78"/>
    <w:p>
      <w:pPr>
        <w:ind w:left="2780"/>
        <w:spacing w:after="0"/>
        <w:rPr>
          <w:sz w:val="20"/>
          <w:szCs w:val="20"/>
          <w:color w:val="auto"/>
        </w:rPr>
      </w:pPr>
      <w:r>
        <w:rPr>
          <w:rFonts w:ascii="Times New Roman" w:cs="Times New Roman" w:eastAsia="Times New Roman" w:hAnsi="Times New Roman"/>
          <w:sz w:val="22"/>
          <w:szCs w:val="22"/>
          <w:color w:val="auto"/>
        </w:rPr>
        <w:t>BNP PARIBAS,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41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8" w:lineRule="exact"/>
        <w:rPr>
          <w:sz w:val="20"/>
          <w:szCs w:val="20"/>
          <w:color w:val="auto"/>
        </w:rPr>
      </w:pPr>
    </w:p>
    <w:p>
      <w:pPr>
        <w:ind w:left="3360"/>
        <w:spacing w:after="0"/>
        <w:tabs>
          <w:tab w:leader="none" w:pos="41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Berger</w:t>
      </w:r>
    </w:p>
    <w:p>
      <w:pPr>
        <w:spacing w:after="0" w:line="5" w:lineRule="exact"/>
        <w:rPr>
          <w:sz w:val="20"/>
          <w:szCs w:val="20"/>
          <w:color w:val="auto"/>
        </w:rPr>
      </w:pPr>
    </w:p>
    <w:p>
      <w:pPr>
        <w:jc w:val="center"/>
        <w:ind w:right="-2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Isaac Radnitzer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499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Isaac Radnitzer</w:t>
      </w:r>
    </w:p>
    <w:p>
      <w:pPr>
        <w:spacing w:after="0" w:line="4" w:lineRule="exact"/>
        <w:rPr>
          <w:sz w:val="20"/>
          <w:szCs w:val="20"/>
          <w:color w:val="auto"/>
        </w:rPr>
      </w:pPr>
    </w:p>
    <w:p>
      <w:pPr>
        <w:ind w:left="2560"/>
        <w:spacing w:after="0"/>
        <w:tabs>
          <w:tab w:leader="none" w:pos="3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Vice-President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79" w:name="page80"/>
    <w:bookmarkEnd w:id="79"/>
    <w:p>
      <w:pPr>
        <w:ind w:left="2780"/>
        <w:spacing w:after="0"/>
        <w:rPr>
          <w:sz w:val="20"/>
          <w:szCs w:val="20"/>
          <w:color w:val="auto"/>
        </w:rPr>
      </w:pPr>
      <w:r>
        <w:rPr>
          <w:rFonts w:ascii="Times New Roman" w:cs="Times New Roman" w:eastAsia="Times New Roman" w:hAnsi="Times New Roman"/>
          <w:sz w:val="22"/>
          <w:szCs w:val="22"/>
          <w:color w:val="auto"/>
        </w:rPr>
        <w:t>BMO BANK N.A., as a Lender</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Cecile Segovia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7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2560"/>
        <w:spacing w:after="0"/>
        <w:tabs>
          <w:tab w:leader="none" w:pos="3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Cecile Segovia</w:t>
      </w:r>
    </w:p>
    <w:p>
      <w:pPr>
        <w:spacing w:after="0" w:line="5" w:lineRule="exact"/>
        <w:rPr>
          <w:sz w:val="20"/>
          <w:szCs w:val="20"/>
          <w:color w:val="auto"/>
        </w:rPr>
      </w:pPr>
    </w:p>
    <w:p>
      <w:pPr>
        <w:ind w:left="2560"/>
        <w:spacing w:after="0"/>
        <w:tabs>
          <w:tab w:leader="none" w:pos="3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Amendment No. 6 to A&amp;R Loan Agreement]</w:t>
      </w:r>
    </w:p>
    <w:p>
      <w:pPr>
        <w:sectPr>
          <w:pgSz w:w="11900" w:h="16838" w:orient="portrait"/>
          <w:cols w:equalWidth="0" w:num="1">
            <w:col w:w="9019"/>
          </w:cols>
          <w:pgMar w:left="1440" w:top="1422" w:right="1440" w:bottom="1440" w:gutter="0" w:footer="0" w:header="0"/>
        </w:sectPr>
      </w:pPr>
    </w:p>
    <w:bookmarkStart w:id="80" w:name="page81"/>
    <w:bookmarkEnd w:id="80"/>
    <w:p>
      <w:pPr>
        <w:ind w:left="2780"/>
        <w:spacing w:after="0" w:line="271" w:lineRule="auto"/>
        <w:rPr>
          <w:sz w:val="20"/>
          <w:szCs w:val="20"/>
          <w:color w:val="auto"/>
        </w:rPr>
      </w:pPr>
      <w:r>
        <w:rPr>
          <w:rFonts w:ascii="Times New Roman" w:cs="Times New Roman" w:eastAsia="Times New Roman" w:hAnsi="Times New Roman"/>
          <w:sz w:val="22"/>
          <w:szCs w:val="22"/>
          <w:color w:val="auto"/>
        </w:rPr>
        <w:t>OVERSEA-CHINESE BANKING CORPORATION LIMITED, NEW YORK AGENCY, as a Lender</w:t>
      </w:r>
    </w:p>
    <w:p>
      <w:pPr>
        <w:spacing w:after="0" w:line="37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Grace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876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9" w:lineRule="exact"/>
        <w:rPr>
          <w:sz w:val="20"/>
          <w:szCs w:val="20"/>
          <w:color w:val="auto"/>
        </w:rPr>
      </w:pPr>
    </w:p>
    <w:p>
      <w:pPr>
        <w:ind w:left="3360"/>
        <w:spacing w:after="0"/>
        <w:tabs>
          <w:tab w:leader="none" w:pos="41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Grace Sun</w:t>
      </w:r>
    </w:p>
    <w:p>
      <w:pPr>
        <w:spacing w:after="0" w:line="15" w:lineRule="exact"/>
        <w:rPr>
          <w:sz w:val="20"/>
          <w:szCs w:val="20"/>
          <w:color w:val="auto"/>
        </w:rPr>
      </w:pPr>
    </w:p>
    <w:p>
      <w:pPr>
        <w:ind w:left="3360"/>
        <w:spacing w:after="0"/>
        <w:tabs>
          <w:tab w:leader="none" w:pos="40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[Signature Page to Amendment No. 6 to A&amp;R Loan Agreement]</w:t>
      </w:r>
    </w:p>
    <w:p>
      <w:pPr>
        <w:sectPr>
          <w:pgSz w:w="11900" w:h="16838" w:orient="portrait"/>
          <w:cols w:equalWidth="0" w:num="1">
            <w:col w:w="9580"/>
          </w:cols>
          <w:pgMar w:left="1440" w:top="1422" w:right="8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Irving Tan, certify that:</w:t>
      </w:r>
    </w:p>
    <w:p>
      <w:pPr>
        <w:spacing w:after="0" w:line="104"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Irving Tan</w:t>
      </w:r>
    </w:p>
    <w:p>
      <w:pPr>
        <w:spacing w:after="0" w:line="1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04"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Kris Sennesael</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ectPr>
          <w:pgSz w:w="11900" w:h="16838" w:orient="portrait"/>
          <w:cols w:equalWidth="0" w:num="1">
            <w:col w:w="11240"/>
          </w:cols>
          <w:pgMar w:left="320" w:top="887" w:right="339" w:bottom="1440" w:gutter="0" w:footer="0" w:header="0"/>
        </w:sectPr>
      </w:pPr>
    </w:p>
    <w:bookmarkStart w:id="83" w:name="page84"/>
    <w:bookmarkEnd w:id="8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860" w:firstLine="8"/>
        <w:spacing w:after="0" w:line="282"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April 3, 2026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Irving Tan</w:t>
      </w:r>
    </w:p>
    <w:p>
      <w:pPr>
        <w:spacing w:after="0" w:line="1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ectPr>
          <w:pgSz w:w="11900" w:h="16838" w:orient="portrait"/>
          <w:cols w:equalWidth="0" w:num="1">
            <w:col w:w="11240"/>
          </w:cols>
          <w:pgMar w:left="320" w:top="887" w:right="339" w:bottom="1440" w:gutter="0" w:footer="0" w:header="0"/>
        </w:sectPr>
      </w:pPr>
    </w:p>
    <w:bookmarkStart w:id="84" w:name="page85"/>
    <w:bookmarkEnd w:id="84"/>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860" w:firstLine="8"/>
        <w:spacing w:after="0" w:line="282"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April 3, 2026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Kris Sennesael</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lvl w:ilvl="1">
      <w:lvlJc w:val="left"/>
      <w:lvlText w:val="%2"/>
      <w:numFmt w:val="decimal"/>
      <w:start w:val="104"/>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29" Type="http://schemas.openxmlformats.org/officeDocument/2006/relationships/hyperlink" Target="https://www.sec.gov/Archives/edgar/data/106040/000119312525033383/d847507dex21.htm" TargetMode="External"/><Relationship Id="rId130" Type="http://schemas.openxmlformats.org/officeDocument/2006/relationships/hyperlink" Target="https://www.sec.gov/Archives/edgar/data/106040/000010604024000031/wdc-2024q4ex31.htm" TargetMode="External"/><Relationship Id="rId131" Type="http://schemas.openxmlformats.org/officeDocument/2006/relationships/hyperlink" Target="https://www.sec.gov/Archives/edgar/data/106040/000119312523020502/d425756dex31.htm" TargetMode="External"/><Relationship Id="rId132" Type="http://schemas.openxmlformats.org/officeDocument/2006/relationships/hyperlink" Target="https://www.sec.gov/Archives/edgar/data/106040/000119312525054005/d939696dex31.htm" TargetMode="External"/><Relationship Id="rId133" Type="http://schemas.openxmlformats.org/officeDocument/2006/relationships/hyperlink" Target="https://www.sec.gov/Archives/edgar/data/0000106040/000119312526067035/d4163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2026-05-01T08:43:45Z</dcterms:created>
  <dcterms:modified xsi:type="dcterms:W3CDTF">2026-05-01T08:43:45Z</dcterms:modified>
</cp:coreProperties>
</file>