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51435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52705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5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 the quarterly period ended October 3, 2025</w:t>
      </w:r>
    </w:p>
    <w:p>
      <w:pPr>
        <w:spacing w:after="0" w:line="18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75"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167640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390525</wp:posOffset>
            </wp:positionV>
            <wp:extent cx="2957195" cy="99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7195" cy="994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2"/>
          <w:szCs w:val="42"/>
          <w:b w:val="1"/>
          <w:bCs w:val="1"/>
          <w:color w:val="auto"/>
        </w:rPr>
        <w:t>WESTERN DIGITAL CORPORATION</w:t>
      </w:r>
    </w:p>
    <w:p>
      <w:pPr>
        <w:sectPr>
          <w:pgSz w:w="11900" w:h="16838" w:orient="portrait"/>
          <w:cols w:equalWidth="0" w:num="1">
            <w:col w:w="11140"/>
          </w:cols>
          <w:pgMar w:left="320" w:top="1037" w:right="439" w:bottom="1440" w:gutter="0" w:footer="0" w:header="0"/>
        </w:sectPr>
      </w:pPr>
    </w:p>
    <w:p>
      <w:pPr>
        <w:spacing w:after="0" w:line="200" w:lineRule="exact"/>
        <w:rPr>
          <w:sz w:val="24"/>
          <w:szCs w:val="24"/>
          <w:color w:val="auto"/>
        </w:rPr>
      </w:pPr>
    </w:p>
    <w:p>
      <w:pPr>
        <w:spacing w:after="0" w:line="230" w:lineRule="exact"/>
        <w:rPr>
          <w:sz w:val="24"/>
          <w:szCs w:val="24"/>
          <w:color w:val="auto"/>
        </w:rPr>
      </w:pPr>
    </w:p>
    <w:p>
      <w:pPr>
        <w:jc w:val="center"/>
        <w:ind w:left="14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2"/>
          <w:szCs w:val="12"/>
          <w:i w:val="1"/>
          <w:iCs w:val="1"/>
          <w:color w:val="auto"/>
        </w:rPr>
        <w:t>(State or other jurisdiction of</w:t>
      </w:r>
    </w:p>
    <w:p>
      <w:pPr>
        <w:ind w:left="170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wp:posOffset>
            </wp:positionH>
            <wp:positionV relativeFrom="paragraph">
              <wp:posOffset>53340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97" w:lineRule="exact"/>
        <w:rPr>
          <w:sz w:val="24"/>
          <w:szCs w:val="24"/>
          <w:color w:val="auto"/>
        </w:rPr>
      </w:pPr>
    </w:p>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33-0956711</w:t>
      </w:r>
    </w:p>
    <w:p>
      <w:pPr>
        <w:spacing w:after="0" w:line="163" w:lineRule="exact"/>
        <w:rPr>
          <w:sz w:val="24"/>
          <w:szCs w:val="24"/>
          <w:color w:val="auto"/>
        </w:rPr>
      </w:pPr>
    </w:p>
    <w:p>
      <w:pPr>
        <w:jc w:val="right"/>
        <w:ind w:right="1500"/>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p>
      <w:pPr>
        <w:spacing w:after="0" w:line="76" w:lineRule="exact"/>
        <w:rPr>
          <w:sz w:val="24"/>
          <w:szCs w:val="24"/>
          <w:color w:val="auto"/>
        </w:rPr>
      </w:pPr>
    </w:p>
    <w:p>
      <w:pPr>
        <w:sectPr>
          <w:pgSz w:w="11900" w:h="16838" w:orient="portrait"/>
          <w:cols w:equalWidth="0" w:num="2">
            <w:col w:w="3540" w:space="720"/>
            <w:col w:w="6880"/>
          </w:cols>
          <w:pgMar w:left="320" w:top="1037" w:right="439" w:bottom="1440" w:gutter="0" w:footer="0" w:header="0"/>
          <w:type w:val="continuous"/>
        </w:sectPr>
      </w:pPr>
    </w:p>
    <w:p>
      <w:pPr>
        <w:ind w:left="780"/>
        <w:spacing w:after="0"/>
        <w:tabs>
          <w:tab w:leader="none" w:pos="2800" w:val="left"/>
          <w:tab w:leader="none" w:pos="3640" w:val="left"/>
          <w:tab w:leader="none" w:pos="8560" w:val="left"/>
        </w:tabs>
        <w:rPr>
          <w:sz w:val="20"/>
          <w:szCs w:val="20"/>
          <w:color w:val="auto"/>
        </w:rPr>
      </w:pPr>
      <w:r>
        <w:rPr>
          <w:rFonts w:ascii="Times New Roman" w:cs="Times New Roman" w:eastAsia="Times New Roman" w:hAnsi="Times New Roman"/>
          <w:sz w:val="14"/>
          <w:szCs w:val="14"/>
          <w:b w:val="1"/>
          <w:bCs w:val="1"/>
          <w:color w:val="auto"/>
        </w:rPr>
        <w:t>5601 Great Oaks Parkway,</w:t>
      </w:r>
      <w:r>
        <w:rPr>
          <w:sz w:val="20"/>
          <w:szCs w:val="20"/>
          <w:color w:val="auto"/>
        </w:rPr>
        <w:tab/>
      </w:r>
      <w:r>
        <w:rPr>
          <w:rFonts w:ascii="Times New Roman" w:cs="Times New Roman" w:eastAsia="Times New Roman" w:hAnsi="Times New Roman"/>
          <w:sz w:val="14"/>
          <w:szCs w:val="14"/>
          <w:b w:val="1"/>
          <w:bCs w:val="1"/>
          <w:color w:val="auto"/>
        </w:rPr>
        <w:t>San Jose,</w:t>
      </w:r>
      <w:r>
        <w:rPr>
          <w:sz w:val="20"/>
          <w:szCs w:val="20"/>
          <w:color w:val="auto"/>
        </w:rPr>
        <w:tab/>
      </w:r>
      <w:r>
        <w:rPr>
          <w:rFonts w:ascii="Times New Roman" w:cs="Times New Roman" w:eastAsia="Times New Roman" w:hAnsi="Times New Roman"/>
          <w:sz w:val="14"/>
          <w:szCs w:val="14"/>
          <w:b w:val="1"/>
          <w:bCs w:val="1"/>
          <w:color w:val="auto"/>
        </w:rPr>
        <w:t>California</w:t>
      </w:r>
      <w:r>
        <w:rPr>
          <w:sz w:val="20"/>
          <w:szCs w:val="20"/>
          <w:color w:val="auto"/>
        </w:rPr>
        <w:tab/>
      </w:r>
      <w:r>
        <w:rPr>
          <w:rFonts w:ascii="Times New Roman" w:cs="Times New Roman" w:eastAsia="Times New Roman" w:hAnsi="Times New Roman"/>
          <w:sz w:val="13"/>
          <w:szCs w:val="13"/>
          <w:b w:val="1"/>
          <w:bCs w:val="1"/>
          <w:color w:val="auto"/>
        </w:rPr>
        <w:t>95119</w:t>
      </w:r>
    </w:p>
    <w:p>
      <w:pPr>
        <w:spacing w:after="0" w:line="46" w:lineRule="exact"/>
        <w:rPr>
          <w:sz w:val="24"/>
          <w:szCs w:val="24"/>
          <w:color w:val="auto"/>
        </w:rPr>
      </w:pPr>
    </w:p>
    <w:p>
      <w:pPr>
        <w:ind w:left="1500"/>
        <w:spacing w:after="0"/>
        <w:tabs>
          <w:tab w:leader="none" w:pos="8460" w:val="left"/>
        </w:tabs>
        <w:rPr>
          <w:sz w:val="20"/>
          <w:szCs w:val="20"/>
          <w:color w:val="auto"/>
        </w:rPr>
      </w:pPr>
      <w:r>
        <w:rPr>
          <w:rFonts w:ascii="Times New Roman" w:cs="Times New Roman" w:eastAsia="Times New Roman" w:hAnsi="Times New Roman"/>
          <w:sz w:val="13"/>
          <w:szCs w:val="13"/>
          <w:i w:val="1"/>
          <w:iCs w:val="1"/>
          <w:color w:val="auto"/>
        </w:rPr>
        <w:t>(Address of principal executive offices)</w:t>
      </w:r>
      <w:r>
        <w:rPr>
          <w:sz w:val="20"/>
          <w:szCs w:val="20"/>
          <w:color w:val="auto"/>
        </w:rPr>
        <w:tab/>
      </w:r>
      <w:r>
        <w:rPr>
          <w:rFonts w:ascii="Times New Roman" w:cs="Times New Roman" w:eastAsia="Times New Roman" w:hAnsi="Times New Roman"/>
          <w:sz w:val="12"/>
          <w:szCs w:val="12"/>
          <w:i w:val="1"/>
          <w:iCs w:val="1"/>
          <w:color w:val="auto"/>
        </w:rPr>
        <w:t>(Zip Code)</w:t>
      </w:r>
    </w:p>
    <w:p>
      <w:pPr>
        <w:spacing w:after="0" w:line="2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195"/>
        </w:trPr>
        <w:tc>
          <w:tcPr>
            <w:tcW w:w="1520" w:type="dxa"/>
            <w:vAlign w:val="bottom"/>
          </w:tcPr>
          <w:p>
            <w:pPr>
              <w:spacing w:after="0"/>
              <w:rPr>
                <w:sz w:val="16"/>
                <w:szCs w:val="16"/>
                <w:color w:val="auto"/>
              </w:rPr>
            </w:pPr>
          </w:p>
        </w:tc>
        <w:tc>
          <w:tcPr>
            <w:tcW w:w="3460" w:type="dxa"/>
            <w:vAlign w:val="bottom"/>
            <w:gridSpan w:val="3"/>
          </w:tcPr>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60" w:type="dxa"/>
            <w:vAlign w:val="bottom"/>
            <w:gridSpan w:val="3"/>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00"/>
        </w:trPr>
        <w:tc>
          <w:tcPr>
            <w:tcW w:w="498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WDC</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99"/>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Pr>
          <w:p>
            <w:pPr>
              <w:spacing w:after="0"/>
              <w:rPr>
                <w:sz w:val="17"/>
                <w:szCs w:val="17"/>
                <w:color w:val="auto"/>
              </w:rPr>
            </w:pPr>
          </w:p>
        </w:tc>
      </w:tr>
    </w:tbl>
    <w:p>
      <w:pPr>
        <w:spacing w:after="0" w:line="234" w:lineRule="exact"/>
        <w:rPr>
          <w:sz w:val="24"/>
          <w:szCs w:val="24"/>
          <w:color w:val="auto"/>
        </w:rPr>
      </w:pPr>
    </w:p>
    <w:p>
      <w:pPr>
        <w:ind w:right="8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7" w:right="439" w:bottom="1440" w:gutter="0" w:footer="0" w:header="0"/>
          <w:type w:val="continuous"/>
        </w:sectPr>
      </w:pPr>
    </w:p>
    <w:bookmarkStart w:id="1" w:name="page2"/>
    <w:bookmarkEnd w:id="1"/>
    <w:p>
      <w:pPr>
        <w:ind w:right="80"/>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880"/>
          </w:cols>
          <w:pgMar w:left="320" w:top="1048" w:right="699" w:bottom="1440" w:gutter="0" w:footer="0" w:header="0"/>
        </w:sectPr>
      </w:pP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7" w:lineRule="exact"/>
        <w:rPr>
          <w:sz w:val="20"/>
          <w:szCs w:val="20"/>
          <w:color w:val="auto"/>
        </w:rPr>
      </w:pPr>
    </w:p>
    <w:p>
      <w:pPr>
        <w:sectPr>
          <w:pgSz w:w="11900" w:h="16838" w:orient="portrait"/>
          <w:cols w:equalWidth="0" w:num="5">
            <w:col w:w="2140" w:space="720"/>
            <w:col w:w="1400" w:space="720"/>
            <w:col w:w="1340" w:space="720"/>
            <w:col w:w="1580" w:space="680"/>
            <w:col w:w="1580"/>
          </w:cols>
          <w:pgMar w:left="320" w:top="1048" w:right="699" w:bottom="1440" w:gutter="0" w:footer="0" w:header="0"/>
          <w:type w:val="continuous"/>
        </w:sect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560" w:space="720"/>
            <w:col w:w="1520" w:space="720"/>
            <w:col w:w="1520" w:space="720"/>
            <w:col w:w="1540" w:space="720"/>
            <w:col w:w="860"/>
          </w:cols>
          <w:pgMar w:left="320" w:top="1048" w:right="699" w:bottom="1440" w:gutter="0" w:footer="0" w:header="0"/>
          <w:type w:val="continuous"/>
        </w:sectPr>
      </w:pPr>
    </w:p>
    <w:p>
      <w:pPr>
        <w:spacing w:after="0" w:line="106" w:lineRule="exact"/>
        <w:rPr>
          <w:sz w:val="20"/>
          <w:szCs w:val="20"/>
          <w:color w:val="auto"/>
        </w:rPr>
      </w:pPr>
    </w:p>
    <w:p>
      <w:pPr>
        <w:ind w:right="20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0" w:lineRule="exact"/>
        <w:rPr>
          <w:sz w:val="20"/>
          <w:szCs w:val="20"/>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close of business on October 23, 2025, 341,899,281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48" w:right="6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4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980" w:type="dxa"/>
            <w:vAlign w:val="bottom"/>
          </w:tcPr>
          <w:p>
            <w:pPr>
              <w:ind w:left="342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Financial Statements (unaudited)</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Balance Sheets — As of October 3, 2025 and June 27, 2025</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rPr>
                <w:sz w:val="15"/>
                <w:szCs w:val="15"/>
                <w:color w:val="auto"/>
              </w:rPr>
            </w:pPr>
          </w:p>
        </w:tc>
        <w:tc>
          <w:tcPr>
            <w:tcW w:w="8980" w:type="dxa"/>
            <w:vAlign w:val="bottom"/>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Operations — Three Months Ended October 3, 2025 and September 27, 2024</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7</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Comprehensive Income — Three Months Ended October 3, 2025 and September 27, 2024</w:t>
            </w:r>
          </w:p>
        </w:tc>
        <w:tc>
          <w:tcPr>
            <w:tcW w:w="680" w:type="dxa"/>
            <w:vAlign w:val="bottom"/>
            <w:gridSpan w:val="2"/>
          </w:tcPr>
          <w:p>
            <w:pPr>
              <w:spacing w:after="0"/>
              <w:rPr>
                <w:sz w:val="15"/>
                <w:szCs w:val="15"/>
                <w:color w:val="auto"/>
              </w:rPr>
            </w:pPr>
          </w:p>
        </w:tc>
        <w:tc>
          <w:tcPr>
            <w:tcW w:w="120" w:type="dxa"/>
            <w:vAlign w:val="bottom"/>
            <w:gridSpan w:val="2"/>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8</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shd w:val="clear" w:color="auto" w:fill="CCEEFF"/>
          </w:tcPr>
          <w:p>
            <w:pPr>
              <w:spacing w:after="0"/>
              <w:rPr>
                <w:sz w:val="15"/>
                <w:szCs w:val="15"/>
                <w:color w:val="auto"/>
              </w:rPr>
            </w:pPr>
          </w:p>
        </w:tc>
        <w:tc>
          <w:tcPr>
            <w:tcW w:w="8980" w:type="dxa"/>
            <w:vAlign w:val="bottom"/>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Cash Flows — Three Months Ended October 3, 2025 and September 27, 2024</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9</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Pr>
          <w:p>
            <w:pPr>
              <w:spacing w:after="0"/>
              <w:rPr>
                <w:sz w:val="14"/>
                <w:szCs w:val="14"/>
                <w:color w:val="auto"/>
              </w:rPr>
            </w:pPr>
          </w:p>
        </w:tc>
        <w:tc>
          <w:tcPr>
            <w:tcW w:w="89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Condensed Consolidated Statements of Convertible Preferred Stock and Shareholders’ Equity — Three Months Ended October 3,</w:t>
            </w:r>
          </w:p>
        </w:tc>
        <w:tc>
          <w:tcPr>
            <w:tcW w:w="800" w:type="dxa"/>
            <w:vAlign w:val="bottom"/>
            <w:gridSpan w:val="4"/>
            <w:vMerge w:val="restart"/>
          </w:tcPr>
          <w:p>
            <w:pPr>
              <w:jc w:val="center"/>
              <w:ind w:left="559"/>
              <w:spacing w:after="0"/>
              <w:rPr>
                <w:sz w:val="20"/>
                <w:szCs w:val="20"/>
                <w:color w:val="auto"/>
              </w:rPr>
            </w:pPr>
            <w:r>
              <w:rPr>
                <w:rFonts w:ascii="Times New Roman" w:cs="Times New Roman" w:eastAsia="Times New Roman" w:hAnsi="Times New Roman"/>
                <w:sz w:val="16"/>
                <w:szCs w:val="16"/>
                <w:color w:val="3635D6"/>
                <w:w w:val="99"/>
              </w:rPr>
              <w:t>10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2025 and September 27, 2024</w:t>
            </w:r>
          </w:p>
        </w:tc>
        <w:tc>
          <w:tcPr>
            <w:tcW w:w="80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CCEEFF"/>
            </w:tcBorders>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Notes to Condensed Consolidated Financial Statements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12</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2.</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36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3.</w:t>
            </w:r>
          </w:p>
        </w:tc>
        <w:tc>
          <w:tcPr>
            <w:tcW w:w="898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47</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4.</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Controls and Procedures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47</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4"/>
        </w:trPr>
        <w:tc>
          <w:tcPr>
            <w:tcW w:w="820" w:type="dxa"/>
            <w:vAlign w:val="bottom"/>
          </w:tcPr>
          <w:p>
            <w:pPr>
              <w:spacing w:after="0"/>
              <w:rPr>
                <w:sz w:val="24"/>
                <w:szCs w:val="24"/>
                <w:color w:val="auto"/>
              </w:rPr>
            </w:pPr>
          </w:p>
        </w:tc>
        <w:tc>
          <w:tcPr>
            <w:tcW w:w="8980" w:type="dxa"/>
            <w:vAlign w:val="bottom"/>
          </w:tcPr>
          <w:p>
            <w:pPr>
              <w:ind w:left="3560"/>
              <w:spacing w:after="0"/>
              <w:rPr>
                <w:sz w:val="20"/>
                <w:szCs w:val="20"/>
                <w:color w:val="auto"/>
              </w:rPr>
            </w:pPr>
            <w:r>
              <w:rPr>
                <w:rFonts w:ascii="Times New Roman" w:cs="Times New Roman" w:eastAsia="Times New Roman" w:hAnsi="Times New Roman"/>
                <w:sz w:val="16"/>
                <w:szCs w:val="16"/>
                <w:b w:val="1"/>
                <w:bCs w:val="1"/>
                <w:color w:val="auto"/>
              </w:rPr>
              <w:t>PART II. OTHER INFORMATION</w:t>
            </w:r>
          </w:p>
        </w:tc>
        <w:tc>
          <w:tcPr>
            <w:tcW w:w="640" w:type="dxa"/>
            <w:vAlign w:val="bottom"/>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Item 1.</w:t>
            </w:r>
          </w:p>
        </w:tc>
        <w:tc>
          <w:tcPr>
            <w:tcW w:w="8980" w:type="dxa"/>
            <w:vAlign w:val="bottom"/>
            <w:tcBorders>
              <w:bottom w:val="single" w:sz="8" w:color="CCEEFF"/>
            </w:tcBorders>
            <w:shd w:val="clear" w:color="auto" w:fill="CCEEFF"/>
          </w:tcPr>
          <w:p>
            <w:pPr>
              <w:ind w:left="200"/>
              <w:spacing w:after="0" w:line="178" w:lineRule="exact"/>
              <w:rPr>
                <w:sz w:val="20"/>
                <w:szCs w:val="20"/>
                <w:color w:val="auto"/>
              </w:rPr>
            </w:pPr>
            <w:r>
              <w:rPr>
                <w:rFonts w:ascii="Times New Roman" w:cs="Times New Roman" w:eastAsia="Times New Roman" w:hAnsi="Times New Roman"/>
                <w:sz w:val="16"/>
                <w:szCs w:val="16"/>
                <w:color w:val="auto"/>
              </w:rPr>
              <w:t>Legal Proceedings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3635D6"/>
                <w:w w:val="99"/>
              </w:rPr>
              <w:t>48</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1A.</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Risk Factors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48</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2.</w:t>
            </w:r>
          </w:p>
        </w:tc>
        <w:tc>
          <w:tcPr>
            <w:tcW w:w="898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48</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5.</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Other Information</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48</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6.</w:t>
            </w:r>
          </w:p>
        </w:tc>
        <w:tc>
          <w:tcPr>
            <w:tcW w:w="898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Exhibits</w:t>
            </w:r>
          </w:p>
        </w:tc>
        <w:tc>
          <w:tcPr>
            <w:tcW w:w="800" w:type="dxa"/>
            <w:vAlign w:val="bottom"/>
            <w:gridSpan w:val="4"/>
            <w:shd w:val="clear" w:color="auto" w:fill="CCEEFF"/>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49</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635D6"/>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3635D6"/>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Western Digital, the Western Digital logo and WD are registered trademarks or trademarks of Western Digital or its affiliates in the United States and other countries. All other trademarks, registered trademarks and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our expectations regarding the completed separation of our hard disk drives (“HDD”) and flash-based products (“Flash”) business units (the “Separation”); the impact of the global macroeconomic environment, including tariffs; expectations regarding demand trends and market conditions for our products; expectations regarding our tax resolutions, effective tax rate and unrecognized tax benefits; expectations regarding the merits of our positions and plans with respect to certain litigation matters; statements regarding our quarterly dividend program; and our beliefs regarding our capital allocation plans and the sufficiency of our available liquidity to meet our working capital, debt and capital expenditure needs.</w:t>
      </w:r>
    </w:p>
    <w:p>
      <w:pPr>
        <w:spacing w:after="0" w:line="212" w:lineRule="exact"/>
        <w:rPr>
          <w:sz w:val="20"/>
          <w:szCs w:val="20"/>
          <w:color w:val="auto"/>
        </w:rPr>
      </w:pPr>
    </w:p>
    <w:p>
      <w:pPr>
        <w:jc w:val="both"/>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on management’s current expectations, represent the most current information available to us as of the date of this Quarterly Report on Form 10-Q and are subject to a number of risks, uncertainties and other factors that could cause actual results or performance to differ materially from those expressed or implied in the forward-looking statements. These risks and uncertainties include, but are not limited to:</w:t>
      </w:r>
    </w:p>
    <w:p>
      <w:pPr>
        <w:spacing w:after="0" w:line="18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global or regional economic and social conditions;</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U.S. trade policy and the impact of tariffs or trade restrictions, and our responsive actions thereto;</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dependence on a limited number of suppliers or disruptions in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the Separation of Sandisk, our former Flash business, into an independent public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business and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damage or disruption to our operations or to those of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hiring and retention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compromise, damage or interruption from cybersecurity incidents or other data or system 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defects;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strategic relationships with key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competitive environment, including actions by our competitors, and the impact of competitive products and 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development and introduction of products based on new technologies and expansion into new data storage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cost saving initiatives, restructurings, acquisitions, divestitures, mergers, joint ventures and our strategic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our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respond to market and other changes in our distribution channel and retail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level of debt and other financial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laws or unanticipated tax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currency exchange rates in connection with our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compliance with changing legal and regulatory requirements and the outcome of legal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decisions to reduce or discontinue paying cash dividends;</w:t>
      </w:r>
    </w:p>
    <w:p>
      <w:pPr>
        <w:spacing w:after="0" w:line="9" w:lineRule="exact"/>
        <w:rPr>
          <w:rFonts w:ascii="Times New Roman" w:cs="Times New Roman" w:eastAsia="Times New Roman" w:hAnsi="Times New Roman"/>
          <w:sz w:val="18"/>
          <w:szCs w:val="18"/>
          <w:i w:val="1"/>
          <w:iCs w:val="1"/>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our goals relating to sustainability matters, including our ability to meet our greenhouse gas emissions reduction and other sustainability goals;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intellectual property and other proprietary information; and</w:t>
      </w:r>
    </w:p>
    <w:p>
      <w:pPr>
        <w:spacing w:after="0" w:line="9"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other risks and uncertainties disclosed in Part I, Item 1A of our Annual Report on Form 10-K for the year ended June 27, 2025 (our “2025 Annual Report on Form 10-K”), as amended, supplemented or superseded in our other reports filed with the Securities and Exchange Commission (“SEC”), including under “Risk Factors” in Item 1A of our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2025 Annual Report on Form 10-K and any of those made in our other reports filed with the SEC, including under “Risk Factors” in Item 1A of subsequent Annual Reports on Form 10-K and Quarterly Reports on Form 10-Q that may from time to time amend, supplement or supersede the risks and uncertainties disclosed in our 2025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280" w:type="dxa"/>
            <w:vAlign w:val="bottom"/>
          </w:tcPr>
          <w:p>
            <w:pPr>
              <w:spacing w:after="0"/>
              <w:rPr>
                <w:sz w:val="13"/>
                <w:szCs w:val="13"/>
                <w:color w:val="auto"/>
              </w:rPr>
            </w:pP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interest in Sandisk</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07"/>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0" w:type="dxa"/>
            <w:vAlign w:val="bottom"/>
          </w:tcPr>
          <w:p>
            <w:pPr>
              <w:spacing w:after="0"/>
              <w:rPr>
                <w:sz w:val="1"/>
                <w:szCs w:val="1"/>
                <w:color w:val="auto"/>
              </w:rPr>
            </w:pPr>
          </w:p>
        </w:tc>
      </w:tr>
      <w:tr>
        <w:trPr>
          <w:trHeight w:val="207"/>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14,002</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6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SHAREHOLDERS’</w:t>
            </w:r>
          </w:p>
        </w:tc>
        <w:tc>
          <w:tcPr>
            <w:tcW w:w="1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0" w:type="dxa"/>
            <w:vAlign w:val="bottom"/>
          </w:tcPr>
          <w:p>
            <w:pPr>
              <w:spacing w:after="0"/>
              <w:rPr>
                <w:sz w:val="1"/>
                <w:szCs w:val="1"/>
                <w:color w:val="auto"/>
              </w:rPr>
            </w:pPr>
          </w:p>
        </w:tc>
      </w:tr>
      <w:tr>
        <w:trPr>
          <w:trHeight w:val="207"/>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8 and 14)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Convertible preferred stock, $0.01 par value; authorized — 5 shares; issued and outstanding — 0.2 shares as of both October</w:t>
            </w: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 2025 and June 27, 2025; aggregate liquidation preference of $265 as of both October 3, 2025 and June 27, 2025</w:t>
            </w: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authorized — 750 shares; issued — 349 shares as of both October 3, 2025 and June 27,</w:t>
            </w: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issued and outstanding — 342 shares and 347 shares as of October 3, 2025 and June 27, 2025, respectively</w:t>
            </w: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 common shares at cost; 7 shares and 2 shares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7"/>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5,311</w:t>
            </w: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convertible preferred stock and shareholders’ equity</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80" w:type="dxa"/>
            <w:vAlign w:val="bottom"/>
          </w:tcPr>
          <w:p>
            <w:pPr>
              <w:spacing w:after="0"/>
              <w:rPr>
                <w:sz w:val="11"/>
                <w:szCs w:val="11"/>
                <w:color w:val="auto"/>
              </w:rPr>
            </w:pPr>
          </w:p>
        </w:tc>
        <w:tc>
          <w:tcPr>
            <w:tcW w:w="1240" w:type="dxa"/>
            <w:vAlign w:val="bottom"/>
          </w:tcPr>
          <w:p>
            <w:pPr>
              <w:jc w:val="right"/>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r>
      <w:tr>
        <w:trPr>
          <w:trHeight w:val="212"/>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retained interest in Sandisk</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discontinued operations, net of taxes</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37"/>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r>
      <w:tr>
        <w:trPr>
          <w:trHeight w:val="213"/>
        </w:trPr>
        <w:tc>
          <w:tcPr>
            <w:tcW w:w="8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19"/>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r>
      <w:tr>
        <w:trPr>
          <w:trHeight w:val="213"/>
        </w:trPr>
        <w:tc>
          <w:tcPr>
            <w:tcW w:w="8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r>
      <w:tr>
        <w:trPr>
          <w:trHeight w:val="219"/>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80" w:type="dxa"/>
            <w:vAlign w:val="bottom"/>
          </w:tcPr>
          <w:p>
            <w:pPr>
              <w:spacing w:after="0"/>
              <w:rPr>
                <w:sz w:val="11"/>
                <w:szCs w:val="11"/>
                <w:color w:val="auto"/>
              </w:rPr>
            </w:pPr>
          </w:p>
        </w:tc>
        <w:tc>
          <w:tcPr>
            <w:tcW w:w="124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493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unrealized gain (loss) on derivative contracts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243</w:t>
            </w:r>
          </w:p>
        </w:tc>
      </w:tr>
      <w:tr>
        <w:trPr>
          <w:trHeight w:val="212"/>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364</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 before tax</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(52)</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312</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805</w:t>
            </w:r>
          </w:p>
        </w:tc>
      </w:tr>
      <w:tr>
        <w:trPr>
          <w:trHeight w:val="23"/>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82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1,182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operations:</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retained interest in Sandisk</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to related parties</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8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3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10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10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to common shareholders</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to preferred shareholders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debt</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9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debt</w:t>
            </w:r>
          </w:p>
        </w:tc>
        <w:tc>
          <w:tcPr>
            <w:tcW w:w="10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02"/>
        </w:trPr>
        <w:tc>
          <w:tcPr>
            <w:tcW w:w="8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reclassified to assets held for sale</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0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2,114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2,048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1720" w:type="dxa"/>
            <w:vAlign w:val="bottom"/>
          </w:tcPr>
          <w:p>
            <w:pPr>
              <w:spacing w:after="0"/>
              <w:rPr>
                <w:sz w:val="18"/>
                <w:szCs w:val="18"/>
                <w:color w:val="auto"/>
              </w:rPr>
            </w:pPr>
          </w:p>
        </w:tc>
        <w:tc>
          <w:tcPr>
            <w:tcW w:w="162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520" w:type="dxa"/>
            <w:vAlign w:val="bottom"/>
            <w:gridSpan w:val="4"/>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8"/>
                <w:szCs w:val="18"/>
                <w:color w:val="auto"/>
              </w:rPr>
            </w:pPr>
          </w:p>
        </w:tc>
        <w:tc>
          <w:tcPr>
            <w:tcW w:w="152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1520" w:type="dxa"/>
            <w:vAlign w:val="bottom"/>
            <w:gridSpan w:val="4"/>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right w:val="single" w:sz="8" w:color="auto"/>
            </w:tcBorders>
            <w:vMerge w:val="restart"/>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720" w:type="dxa"/>
            <w:vAlign w:val="bottom"/>
          </w:tcPr>
          <w:p>
            <w:pPr>
              <w:spacing w:after="0"/>
              <w:rPr>
                <w:sz w:val="11"/>
                <w:szCs w:val="11"/>
                <w:color w:val="auto"/>
              </w:rPr>
            </w:pPr>
          </w:p>
        </w:tc>
        <w:tc>
          <w:tcPr>
            <w:tcW w:w="152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5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126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88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060" w:type="dxa"/>
            <w:vAlign w:val="bottom"/>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1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27,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w:t>
            </w:r>
          </w:p>
        </w:tc>
        <w:tc>
          <w:tcPr>
            <w:tcW w:w="0" w:type="dxa"/>
            <w:vAlign w:val="bottom"/>
          </w:tcPr>
          <w:p>
            <w:pPr>
              <w:spacing w:after="0"/>
              <w:rPr>
                <w:sz w:val="1"/>
                <w:szCs w:val="1"/>
                <w:color w:val="auto"/>
              </w:rPr>
            </w:pPr>
          </w:p>
        </w:tc>
      </w:tr>
      <w:tr>
        <w:trPr>
          <w:trHeight w:val="195"/>
        </w:trPr>
        <w:tc>
          <w:tcPr>
            <w:tcW w:w="1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5"/>
        </w:trPr>
        <w:tc>
          <w:tcPr>
            <w:tcW w:w="1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Repurchases of common</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dividends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39"/>
        </w:trPr>
        <w:tc>
          <w:tcPr>
            <w:tcW w:w="17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loss 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derivative contracts, net of</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80" w:type="dxa"/>
            <w:vAlign w:val="bottom"/>
            <w:vMerge w:val="restart"/>
          </w:tcPr>
          <w:p>
            <w:pPr>
              <w:ind w:left="98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6"/>
        </w:trPr>
        <w:tc>
          <w:tcPr>
            <w:tcW w:w="1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w:t>
            </w: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October 3,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74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100" w:type="dxa"/>
            <w:vAlign w:val="bottom"/>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28,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39"/>
        </w:trPr>
        <w:tc>
          <w:tcPr>
            <w:tcW w:w="26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3"/>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27,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Organization and Basis of Presentation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Western Digital Corporation (“Western Digital” or the “Company”) is a leading developer, manufacturer, and provider of data storage devices and solutions based on hard disk drives (“HDD”) technologies.</w:t>
      </w:r>
    </w:p>
    <w:p>
      <w:pPr>
        <w:spacing w:after="0" w:line="18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The Company manufactures, markets, and sells data storage devices and solutions in the United States (“U.S.”) and in foreign countries through its sales personnel, dealers, distributors, retailers, and subsidiaries. Its broad portfolio of technology and products addresses the following key end markets: Cloud, Client, and Consumer. Cloud is comprised primarily of products for public or private cloud environments and enterprise customers. Through the Client end market, the Company provides its OEM and channel customers a broad array of high-performance HDD solutions across desktop and notebooks. The Consumer end market provides a broad range of retail and other end-user products, which capitalize on the strength of the Company’s product brand recognition and vast presence around the world.</w:t>
      </w:r>
    </w:p>
    <w:p>
      <w:pPr>
        <w:spacing w:after="0" w:line="20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Consolidated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27, 2025 (the “2025 Annual Report on Form 10-K”). In the opinion of management, all adjustments necessary to fairly state the Condensed Consolidated Financial Statements have been made. Such adjustments consist of items of a normal, recurring nature. Certain information and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results of operations for interim periods are not necessarily indicative of results to be expected for the full year.</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Information provided herein for the three months ended September 27, 2024 is presented on a continuing operations basis to reflect the impact of the Separation of the Company’s Flash business as discussed in further detail in Note 4,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5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The Company’s fiscal year ends on the Friday nearest to June 30 and typically consists of 52 weeks. Approximately every five to six years, the Company reports a 53-week fiscal year to align the fiscal year with the foregoing policy. Fiscal year 2026, which will end on July 3, 2026, will be comprised of 53 weeks, with the first quarter consisting of 14 weeks and the remaining quarters consisting of 13 weeks each. Fiscal year 2025, which ended on June 27, 2025, was comprised of 52 weeks, with all quarters presented consisting of 13 weeks. Unless otherwise indicated, references herein to specific years and quarters are to fiscal years and fiscal quarters, and references to financial information are on a consolidated continuing operations basis.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is the Company’s Chief Operating Decision Maker (“CODM”). The CODM manages the business as a provider of data storage devices based on HDD technology. The CODM evaluates the performance of the Company and makes decisions regarding the allocation of resources based on the Company’s Net income from continuing operations and Total assets. The Company has, therefore, determined that it has one reportable segment.</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80" w:right="262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Recent Accounting Pronouncements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accounting standards update (“ASU”) No. 2025-07, “Derivatives and Hedging (Topic 815) and Revenue from Contracts with Customers (Topic 606): Derivatives Scope Refinements and Scope Clarification for Share-Based Noncash Consideration from a Customer in a Revenue Contract. (“ASU 2025-07”) which (i) expands the scope exception of Topic 815 to exclude certain contracts with a variable that is based on operations or activities specific to one of the parties to the contract and (ii) clarifies the scope of share-based payments from a customer in a revenue contract. ASU 2025-07 is effective for the year beginning July 3, 2027, and interim periods within that year. Early adoption is permitted and must be applied as of the beginning of the fiscal year that includes the interim period. The Company currently does not expect this standard to have a material impact on its condensed consolidated financial statements and related disclosures.</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(Topic 350): Targeted Improvements to the Accounting for Internal-Use Software” (“ASU 2025-06”). ASU 2025-06 amends existing references to prescriptive and sequential software development stages to better align with current software development methods, such as agile development. Under the new standard, entities will begin to capitalize eligible software costs when (i) management has authorized and committed to funding the software project, and (ii) it is probable that the project will be completed and the software will be used to perform the function intended. ASU 2025-06 is effective for the year beginning July 1, 2028, and interim periods within that year, with early adoption permitted. The Company is currently assessing the impact of this standard on its condensed consolidated financial statements and related disclosures.</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which is intended to improve disclosures about the expenses of public entities. The new guidance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standard is effective on either a prospective or retrospective basis with early adoption permitted. The Company is currently compiling the information required for these disclosures and assessing the basis of adoption and expects to adopt the guidance for annual reporting periods in its annual report for the year ending June 30, 2028.</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ASU 2023-09 calls for enhanced income tax disclosure requirements surrounding the tabular rate reconciliation and income taxes paid. This standard is effective on either a prospective or retrospective basis. These incremental disclosures will be required beginning with the Company’s financial statements for the year ending July 3, 2026. The Company is currently compiling the information required for these disclosures and expects to provide any required disclosures in its annual report for the year ending July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Disaggregated Revenue, Geographic Information, Concentrations of Risk, and Segment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15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154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00" w:type="dxa"/>
            <w:vAlign w:val="bottom"/>
          </w:tcPr>
          <w:p>
            <w:pPr>
              <w:spacing w:after="0"/>
              <w:rPr>
                <w:sz w:val="11"/>
                <w:szCs w:val="11"/>
                <w:color w:val="auto"/>
              </w:rPr>
            </w:pPr>
          </w:p>
        </w:tc>
        <w:tc>
          <w:tcPr>
            <w:tcW w:w="1240" w:type="dxa"/>
            <w:vAlign w:val="bottom"/>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15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15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1061"/>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37"/>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54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Revenue by geography</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3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1540" w:type="dxa"/>
            <w:vAlign w:val="bottom"/>
            <w:tcBorders>
              <w:bottom w:val="single" w:sz="8" w:color="auto"/>
            </w:tcBorders>
          </w:tcPr>
          <w:p>
            <w:pPr>
              <w:spacing w:after="0"/>
              <w:rPr>
                <w:sz w:val="6"/>
                <w:szCs w:val="6"/>
                <w:color w:val="auto"/>
              </w:rPr>
            </w:pPr>
          </w:p>
        </w:tc>
        <w:tc>
          <w:tcPr>
            <w:tcW w:w="6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-1807845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revenue is attributed to geographic regions based on the ship-to location of the customer.</w:t>
      </w:r>
    </w:p>
    <w:p>
      <w:pPr>
        <w:spacing w:after="0" w:line="225"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The Company’s top 10 customers accounted for 77% of its net revenue for the three months ended October 3, 2025, compared to 65% of its net revenue for the three months ended September 27, 2024. For the three months ended October 3, 2025, three customers accounted for 18%, 16%, and 14%, respectively, of the Company’s net revenue, and for the three months ended September 27, 2024, one customer accounted for 18% of the Company’s net revenue.</w:t>
      </w:r>
    </w:p>
    <w:p>
      <w:pPr>
        <w:spacing w:after="0" w:line="1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October 3, 2025 and June 27, 2025, net accounts receivable were $1.36 billion and $1.49 billion, respectively, and reserves for potential credit losses were not material. As of October 3, 2025, five customers accounted for 17%, 16%, 12%, 12%, and 10%, respectively, of the Company’s net accounts receivable, and as of June 27, 2025, three customers accounted for 20%, 19%, and 12%, respectively, of the Company’s net accounts receivable.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the Company’s measure of segment profit or loss, significant segment expenses and other segment items: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14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14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00" w:type="dxa"/>
            <w:vAlign w:val="bottom"/>
          </w:tcPr>
          <w:p>
            <w:pPr>
              <w:spacing w:after="0"/>
              <w:rPr>
                <w:sz w:val="11"/>
                <w:szCs w:val="11"/>
                <w:color w:val="auto"/>
              </w:rPr>
            </w:pPr>
          </w:p>
        </w:tc>
        <w:tc>
          <w:tcPr>
            <w:tcW w:w="1240" w:type="dxa"/>
            <w:vAlign w:val="bottom"/>
          </w:tcPr>
          <w:p>
            <w:pPr>
              <w:jc w:val="right"/>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14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14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Significant expenses and other segment items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26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Cost of revenue</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r>
      <w:tr>
        <w:trPr>
          <w:trHeight w:val="216"/>
        </w:trPr>
        <w:tc>
          <w:tcPr>
            <w:tcW w:w="82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6"/>
        </w:trPr>
        <w:tc>
          <w:tcPr>
            <w:tcW w:w="826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Selling, general and administrative</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on retained interest in Sandisk</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82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7"/>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3"/>
        </w:trPr>
        <w:tc>
          <w:tcPr>
            <w:tcW w:w="14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15"/>
        </w:trPr>
        <w:tc>
          <w:tcPr>
            <w:tcW w:w="1420" w:type="dxa"/>
            <w:vAlign w:val="bottom"/>
            <w:tcBorders>
              <w:bottom w:val="single" w:sz="8" w:color="auto"/>
            </w:tcBorders>
          </w:tcPr>
          <w:p>
            <w:pPr>
              <w:spacing w:after="0"/>
              <w:rPr>
                <w:sz w:val="10"/>
                <w:szCs w:val="10"/>
                <w:color w:val="auto"/>
              </w:rPr>
            </w:pPr>
          </w:p>
        </w:tc>
        <w:tc>
          <w:tcPr>
            <w:tcW w:w="6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-2185670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related to stock-based compensation and other segment items which are presented separately in the table above.</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194" w:lineRule="auto"/>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include strategic investment activity and other charges.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60" w:right="264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Discontinued Operations</w:t>
      </w:r>
    </w:p>
    <w:p>
      <w:pPr>
        <w:spacing w:after="0" w:line="25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On October 30, 2023, the Company announced that its Board of Directors had completed its strategic review of the business and, after evaluating a comprehensive range of alternatives, authorized the Company to pursue a plan to separate its HDD and Flash business units to create two independent, public companies. In connection with the Separation (as defined below), the Company incurred separation and transition costs, which are recorded as Business separation costs within discontinued operations in the Company’s Condensed Consolidated Financial Statements, as further detailed in the summary of Net income from discontinued operations, net of taxes, below.</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February 21, 2025, the Company completed the separation of its Flash business (the “Separation”) through a pro rata distribution of 80.1% of the outstanding shares of Sandisk Corporation (“Sandisk”) to Western Digital stockholders. The Separation is intended to be tax-free for U.S. federal income tax purposes. To reflect the completion of the Separation, the Company recorded a decrease in shareholders’ equity for the net book value of applicable assets and liabilities derecognized in connection with the Separation, net of the Company’s retained ownership interest, which was initially 19.9% and was based on the net book value of the applicable assets and liabilities derecognized. As a result of the Separation, Sandisk became an independent public company and Western Digital no longer consolidates Sandisk into the Company’s financial results. The historical results of operations of Sandisk are now reported in the Company’s Condensed Consolidated Financial Statements as discontinued operations for all periods prior to the Separation on February 21, 2025. Following the Separation, as the Company no longer controls or has the ability to exert significant influence over Sandisk, the Company measures, at fair value on a recurring basis, its retained ownership interest in Sandisk common stock (see additional information in Note 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Investments</w:t>
      </w:r>
      <w:r>
        <w:rPr>
          <w:rFonts w:ascii="Times New Roman" w:cs="Times New Roman" w:eastAsia="Times New Roman" w:hAnsi="Times New Roman"/>
          <w:sz w:val="18"/>
          <w:szCs w:val="18"/>
          <w:color w:val="auto"/>
        </w:rPr>
        <w:t>). In June 2025, the Company disposed of 21.3 million shares of its Sandisk common stock, along with $4 million in cash, in a tax-free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$800 million principal amount of the Company’s Term Loan A-3. The Company expects to monetize its remaining stake in Sandisk within one year from the Separation date.</w:t>
      </w:r>
    </w:p>
    <w:p>
      <w:pPr>
        <w:spacing w:after="0" w:line="2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entered into various agreements to effect the Separation and provide for the temporary framework of the relationship between Western Digital and Sandisk following the Separation, including, among others, a separation and distribution agreement, a tax matters agreement, and a transition services agreement. The transition services agreement provides for transition service support to be provided for various periods of time ranging up to 15 months. The amounts involved under these agreements are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historical results of Sandisk for the three months ended September 27, 2024 which have been reflected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taxes in the Condensed Consolidated Statements of Operations: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from Discontinued Operations, Net of Taxes</w:t>
            </w:r>
          </w:p>
        </w:tc>
        <w:tc>
          <w:tcPr>
            <w:tcW w:w="200" w:type="dxa"/>
            <w:vAlign w:val="bottom"/>
          </w:tcPr>
          <w:p>
            <w:pPr>
              <w:spacing w:after="0"/>
              <w:rPr>
                <w:sz w:val="13"/>
                <w:szCs w:val="13"/>
                <w:color w:val="auto"/>
              </w:rPr>
            </w:pPr>
          </w:p>
        </w:tc>
        <w:tc>
          <w:tcPr>
            <w:tcW w:w="12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9"/>
        </w:trPr>
        <w:tc>
          <w:tcPr>
            <w:tcW w:w="9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3"/>
        </w:trPr>
        <w:tc>
          <w:tcPr>
            <w:tcW w:w="9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0" w:type="dxa"/>
            <w:vAlign w:val="bottom"/>
          </w:tcPr>
          <w:p>
            <w:pPr>
              <w:spacing w:after="0"/>
              <w:rPr>
                <w:sz w:val="1"/>
                <w:szCs w:val="1"/>
                <w:color w:val="auto"/>
              </w:rPr>
            </w:pPr>
          </w:p>
        </w:tc>
      </w:tr>
      <w:tr>
        <w:trPr>
          <w:trHeight w:val="213"/>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0" w:type="dxa"/>
            <w:vAlign w:val="bottom"/>
          </w:tcPr>
          <w:p>
            <w:pPr>
              <w:spacing w:after="0"/>
              <w:rPr>
                <w:sz w:val="1"/>
                <w:szCs w:val="1"/>
                <w:color w:val="auto"/>
              </w:rPr>
            </w:pPr>
          </w:p>
        </w:tc>
      </w:tr>
      <w:tr>
        <w:trPr>
          <w:trHeight w:val="21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9"/>
        </w:trPr>
        <w:tc>
          <w:tcPr>
            <w:tcW w:w="9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9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9"/>
        </w:trPr>
        <w:tc>
          <w:tcPr>
            <w:tcW w:w="9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from discontinued operations, net of taxes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3"/>
        </w:trPr>
        <w:tc>
          <w:tcPr>
            <w:tcW w:w="9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Cash flows related to discontinued operations have not been segregated and are included in the Condensed Consolidated Statements of Cash Flows for all periods presented. The following table provides selected financial information related to cash flows from discontinued operations:</w:t>
      </w: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9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Select Cash Flow Information from Discontinued Operations</w:t>
            </w:r>
          </w:p>
        </w:tc>
        <w:tc>
          <w:tcPr>
            <w:tcW w:w="200" w:type="dxa"/>
            <w:vAlign w:val="bottom"/>
          </w:tcPr>
          <w:p>
            <w:pPr>
              <w:spacing w:after="0"/>
              <w:rPr>
                <w:sz w:val="13"/>
                <w:szCs w:val="13"/>
                <w:color w:val="auto"/>
              </w:rPr>
            </w:pPr>
          </w:p>
        </w:tc>
        <w:tc>
          <w:tcPr>
            <w:tcW w:w="12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7"/>
        </w:trPr>
        <w:tc>
          <w:tcPr>
            <w:tcW w:w="9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3"/>
        </w:trPr>
        <w:tc>
          <w:tcPr>
            <w:tcW w:w="9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Supplemental Financial Statement Data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Work-in-process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8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 and improvements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Furniture and fixtures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Construction-in-process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9,085</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(6,742)</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w:t>
            </w: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-1559560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Non-current assets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Non-current assets: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Deferred tax assets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non-current assets</w:t>
      </w:r>
    </w:p>
    <w:p>
      <w:pPr>
        <w:spacing w:after="0" w:line="73" w:lineRule="exact"/>
        <w:rPr>
          <w:sz w:val="20"/>
          <w:szCs w:val="20"/>
          <w:color w:val="auto"/>
        </w:rPr>
      </w:pPr>
    </w:p>
    <w:p>
      <w:pPr>
        <w:jc w:val="right"/>
        <w:ind w:right="5760"/>
        <w:spacing w:after="0"/>
        <w:rPr>
          <w:sz w:val="20"/>
          <w:szCs w:val="20"/>
          <w:color w:val="auto"/>
        </w:rPr>
      </w:pPr>
      <w:r>
        <w:rPr>
          <w:rFonts w:ascii="Times New Roman" w:cs="Times New Roman" w:eastAsia="Times New Roman" w:hAnsi="Times New Roman"/>
          <w:sz w:val="16"/>
          <w:szCs w:val="16"/>
          <w:color w:val="auto"/>
        </w:rPr>
        <w:t>Total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438"/>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r>
      <w:tr>
        <w:trPr>
          <w:trHeight w:val="219"/>
        </w:trPr>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r>
      <w:tr>
        <w:trPr>
          <w:trHeight w:val="23"/>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-590550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-316230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-727710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warranty liability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4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0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8260" w:type="dxa"/>
            <w:vAlign w:val="bottom"/>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r>
      <w:tr>
        <w:trPr>
          <w:trHeight w:val="195"/>
        </w:trPr>
        <w:tc>
          <w:tcPr>
            <w:tcW w:w="8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operations</w:t>
            </w: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Utilization</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portion of the warranty accrual was classified in Accrued expenses and the long-term portion was classified in Other liabilities as noted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8260" w:type="dxa"/>
            <w:vAlign w:val="bottom"/>
          </w:tcPr>
          <w:p>
            <w:pPr>
              <w:spacing w:after="0"/>
              <w:rPr>
                <w:sz w:val="17"/>
                <w:szCs w:val="17"/>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w:t>
            </w: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w:t>
            </w:r>
          </w:p>
        </w:tc>
        <w:tc>
          <w:tcPr>
            <w:tcW w:w="10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warranty accrual</w:t>
            </w:r>
          </w:p>
        </w:tc>
        <w:tc>
          <w:tcPr>
            <w:tcW w:w="108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
        </w:trPr>
        <w:tc>
          <w:tcPr>
            <w:tcW w:w="8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-728345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Non-current portion of unrecognized tax benefits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260" w:type="dxa"/>
            <w:vAlign w:val="bottom"/>
          </w:tcPr>
          <w:p>
            <w:pPr>
              <w:spacing w:after="0"/>
              <w:rPr>
                <w:sz w:val="16"/>
                <w:szCs w:val="16"/>
                <w:color w:val="auto"/>
              </w:rPr>
            </w:pPr>
          </w:p>
        </w:tc>
        <w:tc>
          <w:tcPr>
            <w:tcW w:w="1660" w:type="dxa"/>
            <w:vAlign w:val="bottom"/>
            <w:gridSpan w:val="3"/>
          </w:tcPr>
          <w:p>
            <w:pPr>
              <w:ind w:left="8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438"/>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3"/>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-727710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is not amortized. Instead, it is tested for impairment annually as of the beginning of the Company’s fourth quarter, or more frequently if events or</w:t>
      </w:r>
    </w:p>
    <w:p>
      <w:pPr>
        <w:spacing w:after="0" w:line="6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changes in circumstances indicate that goodwill may be impaired. Management performed goodwill impairment assessments and concluded there were no impairments for the three month periods ended October 3, 2025 and September 27, 2024. The carrying amount of goodwill was $4.32 billion as of both October 3, 2025 and June 27,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25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Accumulated other comprehensive income refers to expenses, gains, and losses that are recorded as an element of shareholders’ equity but are excluded from net income. The components of Accumulated other comprehensive income were as follows:</w:t>
      </w: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Gains on</w:t>
            </w:r>
          </w:p>
        </w:tc>
        <w:tc>
          <w:tcPr>
            <w:tcW w:w="120" w:type="dxa"/>
            <w:vAlign w:val="bottom"/>
          </w:tcPr>
          <w:p>
            <w:pPr>
              <w:spacing w:after="0"/>
              <w:rPr>
                <w:sz w:val="12"/>
                <w:szCs w:val="12"/>
                <w:color w:val="auto"/>
              </w:rPr>
            </w:pPr>
          </w:p>
        </w:tc>
        <w:tc>
          <w:tcPr>
            <w:tcW w:w="1320" w:type="dxa"/>
            <w:vAlign w:val="bottom"/>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continue"/>
          </w:tcPr>
          <w:p>
            <w:pPr>
              <w:spacing w:after="0"/>
              <w:rPr>
                <w:sz w:val="12"/>
                <w:szCs w:val="12"/>
                <w:color w:val="auto"/>
              </w:rPr>
            </w:pPr>
          </w:p>
        </w:tc>
        <w:tc>
          <w:tcPr>
            <w:tcW w:w="14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3"/>
          </w:tcPr>
          <w:p>
            <w:pPr>
              <w:ind w:left="10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27,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 related to items of other comprehensive loss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52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current-period other comprehensive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October 3,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 2025, the amounts reclassified out of Accumulated other comprehensive income were losses related to foreign exchange contracts that were substantially charged to Cost of revenue in the Condensed Consolidated Statements of Operations.</w:t>
      </w:r>
    </w:p>
    <w:p>
      <w:pPr>
        <w:spacing w:after="0" w:line="18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 of October 3, 2025, all existing net gains related to cash flow hedges recorded in Accumulated other comprehensive income are expected to be reclassified to earnings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87"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ind w:left="980" w:right="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5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instruments that were measured at fair value on a recurring basis for the periods presented and indicate the fair value hierarchy of the valuation techniques utilized to determine such values:</w:t>
      </w: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interest in Sandisk</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4"/>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6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7"/>
        </w:trPr>
        <w:tc>
          <w:tcPr>
            <w:tcW w:w="5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interest in Sandisk</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5"/>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6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-3102610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-3102610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-3102610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-1302385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-1302385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-1302385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had no transfers of financial instruments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5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were categorized as Level 2 for all periods presented, based on the frequency of trading immediately prior to the end of the first quarter of 2026 and the fourth quarter of 2025,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98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0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50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A-3 maturing 2027</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2"/>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4,683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-1002030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-1002030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-1002030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A-3 maturing 2027</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7"/>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Subtotal</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w:t>
            </w:r>
          </w:p>
        </w:tc>
      </w:tr>
      <w:tr>
        <w:trPr>
          <w:trHeight w:val="216"/>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r>
      <w:tr>
        <w:trPr>
          <w:trHeight w:val="212"/>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w:t>
            </w: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-1567815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three months ended October 3, 2025, the Company made scheduled repayments of $31 million under the Term Loan A-3 maturing in January 2027 (the “Term Loan A-3”). The Term Loan A-3 bears interest, at the Company’s option, at a base rate plus an applicable margin (as defined in the loan agreement governing the Term Loan A-3, which the Company refers to as the “Loan Agreement”). The all-in interest rate for Term Loan A-3 as of October 3, 2025 was 5.774%.</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October 3, 2025, the Company had no outstanding standby letters of credit and the available capacity under the revolving credit facility maturing in January 2027 was $1.25 billion as of that date.</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Loan Agreement requires the Company to comply with a financial leverage ratio covenant. As of October 3, 2025, the Company was in compliance with the financial covenant.</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October 3, 2025, the Company had outstanding $1.60 billion aggregate principal amount of convertible senior notes pursuant to an indenture dated as of November 3, 2023 (the “Indenture”), which bear interest at an annual rate of 3.00% and mature on November 15, 2028, unless earlier repurchased, redeemed or converted (the “2028 Convertible Notes”).</w:t>
      </w:r>
    </w:p>
    <w:p>
      <w:pPr>
        <w:spacing w:after="0" w:line="2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October 3, 2025, the 2028 Convertible Notes were convertible at the option of any holder beginning August 15, 2028, at a conversion price of approximately $37.77 per share of common stock (as adjusted in accordance with the Indenture as a result of the Separation and dividends paid on the Company’s common stock). Prior to August 15, 2028, if the trading price of the Company’s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August 15, 2028 upon the occurrence of certain corporate events. Upon any conversion of the 2028 Convertible Notes, the Company will pay cash for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 On or after November 15, 2026, the Company may redeem for cash, at par plus accrued interest, all or any portion of the 2028 Convertible Notes, at its option, if the last reported sale price of the Company’s common stock has been at least 130% of the conversion price then in effect for at least 10 trading days during any 20 consecutive trading day period immediately preceding the date of the Company’s redemption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calendar quarters ended September 30, 2025 and June 30, 2025, the sale price conditional conversion feature of the 2028 Convertible Notes was triggered. As a result, the holders of the 2028 Convertible Notes have the right to convert the 2028 Convertible Notes during the next succeeding calendar quarter through December 31, 2025. Consequently, the Company classified the 2028 Convertible Notes in the Current portion of long-term debt in the Condensed Consolidated Financial Statements as of October 3, 2025 and June 27, 2025. The Company will continue to evaluate the conversion feature quarterly to determine if the 2028 Convertible Notes remain convertible in future periods.</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2028 Convertible Notes, the Company also entered into privately negotiated capped call transactions with certain counterparties (the “Capped Calls”). As of October 3, 2025, the Capped Calls each have a strike price of approximately $37.77 per share, as adjusted in accordance with the terms of the agreements and corresponds to the current conversion price of the 2028 Convertible Notes. The Capped Calls are subject to the same adjustments applicable to the conversion price of the convertible notes, which the Company expects will result in adjusted cap prices of approximately $50.47 per share, subject to certain adjustments. The Capped Calls are generally intended to reduce or offset the potential dilution to the Company’s common stock upon any conversion of the 2028 Convertible Notes with such reduction or offset, as the case may be, subject to a cap based on the cap price. If the market price per share of the Company’s common stock, as measured under the terms of the Capped Calls, exceeds the cap prices of the Capped Calls, there would not be an offset for the excess. The Capped Calls are separate transactions and not part of the terms of the 2028 Convertible Notes. As these transactions meet certain accounting criteria, the Capped Calls are recorded in shareholders’ equity and are not accounted for as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tab/>
        <w:t>Leases and Other Commitments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right-of-use lease assets and lease liabilities included in the Company’s Condensed Consolidated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57"/>
        </w:trPr>
        <w:tc>
          <w:tcPr>
            <w:tcW w:w="8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operating lease liabilities (included in Accrued expenses)</w:t>
            </w: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w:t>
            </w:r>
          </w:p>
        </w:tc>
        <w:tc>
          <w:tcPr>
            <w:tcW w:w="10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2"/>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08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
        </w:trPr>
        <w:tc>
          <w:tcPr>
            <w:tcW w:w="8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720" w:type="dxa"/>
            <w:vAlign w:val="bottom"/>
            <w:gridSpan w:val="3"/>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28"/>
        </w:trPr>
        <w:tc>
          <w:tcPr>
            <w:tcW w:w="8260" w:type="dxa"/>
            <w:vAlign w:val="bottom"/>
          </w:tcPr>
          <w:p>
            <w:pPr>
              <w:spacing w:after="0"/>
              <w:rPr>
                <w:sz w:val="11"/>
                <w:szCs w:val="11"/>
                <w:color w:val="auto"/>
              </w:rPr>
            </w:pPr>
          </w:p>
        </w:tc>
        <w:tc>
          <w:tcPr>
            <w:tcW w:w="1100" w:type="dxa"/>
            <w:vAlign w:val="bottom"/>
          </w:tcPr>
          <w:p>
            <w:pPr>
              <w:jc w:val="center"/>
              <w:ind w:left="266"/>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380" w:type="dxa"/>
            <w:vAlign w:val="bottom"/>
          </w:tcPr>
          <w:p>
            <w:pPr>
              <w:spacing w:after="0"/>
              <w:rPr>
                <w:sz w:val="11"/>
                <w:szCs w:val="11"/>
                <w:color w:val="auto"/>
              </w:rPr>
            </w:pPr>
          </w:p>
        </w:tc>
        <w:tc>
          <w:tcPr>
            <w:tcW w:w="1240" w:type="dxa"/>
            <w:vAlign w:val="bottom"/>
          </w:tcPr>
          <w:p>
            <w:pPr>
              <w:jc w:val="center"/>
              <w:ind w:left="245"/>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60" w:type="dxa"/>
            <w:vAlign w:val="bottom"/>
          </w:tcPr>
          <w:p>
            <w:pPr>
              <w:spacing w:after="0"/>
              <w:rPr>
                <w:sz w:val="11"/>
                <w:szCs w:val="11"/>
                <w:color w:val="auto"/>
              </w:rPr>
            </w:pPr>
          </w:p>
        </w:tc>
      </w:tr>
      <w:tr>
        <w:trPr>
          <w:trHeight w:val="196"/>
        </w:trPr>
        <w:tc>
          <w:tcPr>
            <w:tcW w:w="8260" w:type="dxa"/>
            <w:vAlign w:val="bottom"/>
          </w:tcPr>
          <w:p>
            <w:pPr>
              <w:spacing w:after="0"/>
              <w:rPr>
                <w:sz w:val="17"/>
                <w:szCs w:val="17"/>
                <w:color w:val="auto"/>
              </w:rPr>
            </w:pPr>
          </w:p>
        </w:tc>
        <w:tc>
          <w:tcPr>
            <w:tcW w:w="11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r>
      <w:tr>
        <w:trPr>
          <w:trHeight w:val="196"/>
        </w:trPr>
        <w:tc>
          <w:tcPr>
            <w:tcW w:w="8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20" w:type="dxa"/>
            <w:vAlign w:val="bottom"/>
            <w:gridSpan w:val="2"/>
          </w:tcPr>
          <w:p>
            <w:pPr>
              <w:jc w:val="center"/>
              <w:ind w:right="765"/>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110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shd w:val="clear" w:color="auto" w:fill="CCEEFF"/>
          </w:tcPr>
          <w:p>
            <w:pPr>
              <w:jc w:val="right"/>
              <w:ind w:right="1005"/>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100" w:type="dxa"/>
            <w:vAlign w:val="bottom"/>
          </w:tcPr>
          <w:p>
            <w:pPr>
              <w:spacing w:after="0"/>
              <w:rPr>
                <w:sz w:val="18"/>
                <w:szCs w:val="18"/>
                <w:color w:val="auto"/>
              </w:rPr>
            </w:pP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the Company’s operating leases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10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91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6.1</w:t>
            </w:r>
          </w:p>
        </w:tc>
      </w:tr>
      <w:tr>
        <w:trPr>
          <w:trHeight w:val="210"/>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-278765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9"/>
              </w:rPr>
              <w:t>WESTERN DIGITAL CORPORATION</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729"/>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As of October 3, 2025, minimum lease payments were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6"/>
        </w:trPr>
        <w:tc>
          <w:tcPr>
            <w:tcW w:w="9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3"/>
        </w:trPr>
        <w:tc>
          <w:tcPr>
            <w:tcW w:w="9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Remaining nine months of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9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9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9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2"/>
        </w:trPr>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3"/>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9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October 3, 2025, the Company had the following minimum long-term commitments: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Remaining nine months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Long-Term</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86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 w:lineRule="exact"/>
        <w:rPr>
          <w:sz w:val="20"/>
          <w:szCs w:val="20"/>
          <w:color w:val="auto"/>
        </w:rPr>
      </w:pPr>
    </w:p>
    <w:p>
      <w:pPr>
        <w:ind w:left="353"/>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52" w:lineRule="exact"/>
        <w:rPr>
          <w:sz w:val="20"/>
          <w:szCs w:val="20"/>
          <w:color w:val="auto"/>
        </w:rPr>
      </w:pPr>
    </w:p>
    <w:p>
      <w:pPr>
        <w:ind w:left="1193" w:hanging="1193"/>
        <w:spacing w:after="0"/>
        <w:tabs>
          <w:tab w:leader="none" w:pos="119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w:t>
      </w:r>
    </w:p>
    <w:p>
      <w:pPr>
        <w:spacing w:after="0" w:line="32" w:lineRule="exact"/>
        <w:rPr>
          <w:rFonts w:ascii="Times New Roman" w:cs="Times New Roman" w:eastAsia="Times New Roman" w:hAnsi="Times New Roman"/>
          <w:sz w:val="16"/>
          <w:szCs w:val="16"/>
          <w:color w:val="auto"/>
        </w:rPr>
      </w:pPr>
    </w:p>
    <w:p>
      <w:pPr>
        <w:ind w:left="119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w:t>
      </w:r>
    </w:p>
    <w:p>
      <w:pPr>
        <w:spacing w:after="0" w:line="46" w:lineRule="exact"/>
        <w:rPr>
          <w:sz w:val="20"/>
          <w:szCs w:val="20"/>
          <w:color w:val="auto"/>
        </w:rPr>
      </w:pPr>
    </w:p>
    <w:p>
      <w:pPr>
        <w:ind w:left="1193" w:hanging="1193"/>
        <w:spacing w:after="0"/>
        <w:tabs>
          <w:tab w:leader="none" w:pos="119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086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107" w:space="720"/>
            <w:col w:w="1413"/>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Previously, the Tax Cuts and Jobs Act of 2017 (“TCJA”) eliminated the ability to deduct research and development (“R&amp;D”) expenditures in the year incurred, requiring capitalization and amortization under Internal Revenue Code Section 174. On July 4, 2025, the One Big Beautiful Bill Act of 2025 (“OBBBA”) was signed into law, which includes broad tax reform provisions that extend and modify key elements of the TCJA. Notably, the new legislation now allows an option for the immediate expensing of domestic R&amp;D expenditures, beginning with 2026. The legislation also includes favorable modifications to international tax provisions, including changes to the Global Intangible Low-Taxed Income regime and enhancements to the Foreign-Derived Deduction Eligible Income (“FDDEI”) deduction that will become effective for the Company in 2027.</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which contained, among other things, a corporate alternative minimum tax (“CAMT”) of 15% on corporations with three-year average annual adjusted financial statement income (“AFSI”) exceeding $1.0 billion. Although CAMT became effective for the Company beginning with 2024, the Company was not subject to CAMT in 2024 and 2025. The Company does not expect to be subject to CAMT in 2026 as its average annual AFSI did not exceed $1.0 billion for the preceding three-year period.</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also known as Global Minimum Tax (“GMT”). For 2026, the Company is subject to GMT in Thailand and the Philippines.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3"/>
          </w:tcPr>
          <w:p>
            <w:pPr>
              <w:jc w:val="right"/>
              <w:ind w:right="86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1"/>
        </w:trPr>
        <w:tc>
          <w:tcPr>
            <w:tcW w:w="8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jc w:val="right"/>
              <w:ind w:right="424"/>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60" w:type="dxa"/>
            <w:vAlign w:val="bottom"/>
          </w:tcPr>
          <w:p>
            <w:pPr>
              <w:spacing w:after="0"/>
              <w:rPr>
                <w:sz w:val="11"/>
                <w:szCs w:val="11"/>
                <w:color w:val="auto"/>
              </w:rPr>
            </w:pPr>
          </w:p>
        </w:tc>
        <w:tc>
          <w:tcPr>
            <w:tcW w:w="1340" w:type="dxa"/>
            <w:vAlign w:val="bottom"/>
          </w:tcPr>
          <w:p>
            <w:pPr>
              <w:jc w:val="right"/>
              <w:ind w:right="26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8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3"/>
          </w:tcPr>
          <w:p>
            <w:pPr>
              <w:jc w:val="right"/>
              <w:ind w:right="1123"/>
              <w:spacing w:after="0"/>
              <w:rPr>
                <w:sz w:val="20"/>
                <w:szCs w:val="20"/>
                <w:color w:val="auto"/>
              </w:rPr>
            </w:pPr>
            <w:r>
              <w:rPr>
                <w:rFonts w:ascii="Times New Roman" w:cs="Times New Roman" w:eastAsia="Times New Roman" w:hAnsi="Times New Roman"/>
                <w:sz w:val="14"/>
                <w:szCs w:val="14"/>
                <w:i w:val="1"/>
                <w:iCs w:val="1"/>
                <w:color w:val="auto"/>
              </w:rPr>
              <w:t>($ in millions)</w:t>
            </w: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1,337</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243</w:t>
            </w: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Pr>
          <w:p>
            <w:pPr>
              <w:spacing w:after="0"/>
              <w:rPr>
                <w:sz w:val="18"/>
                <w:szCs w:val="18"/>
                <w:color w:val="auto"/>
              </w:rPr>
            </w:pPr>
          </w:p>
        </w:tc>
        <w:tc>
          <w:tcPr>
            <w:tcW w:w="13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155</w:t>
            </w:r>
          </w:p>
        </w:tc>
        <w:tc>
          <w:tcPr>
            <w:tcW w:w="260" w:type="dxa"/>
            <w:vAlign w:val="bottom"/>
          </w:tcPr>
          <w:p>
            <w:pPr>
              <w:spacing w:after="0"/>
              <w:rPr>
                <w:sz w:val="18"/>
                <w:szCs w:val="18"/>
                <w:color w:val="auto"/>
              </w:rPr>
            </w:pPr>
          </w:p>
        </w:tc>
        <w:tc>
          <w:tcPr>
            <w:tcW w:w="13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12 %</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-548005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months ended October 3, 2025 and the U.S. Federal statutory rate of 21% are the relative mix of earnings and losses by jurisdiction, the deduction for FDDEI, tax credits and the gain on the retained Sandisk interest being tax-free due to the Separation of the Flash business. These resulted in decreases to the Company’s effective tax rate below the U.S. statutory rate for the three months ended October 3, 2025. The Company’s income tax provision for the three months ended October includes GMT taxes for Thailand and the Philippines, countries for which the Company maintains tax holidays.</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months ended September 27, 2024 and the U.S. Federal statutory rate of 21% were the relative mix of earnings and losses by jurisdiction, tax credits, and tax holidays in Thailand and the Philippines. In addition, the effective tax rate for the three months ended September 27, 2024 includes the discrete effect of a net decrease of $30 million to the liability for unrecognized tax benefits, which includes interest and offsetting tax benefits, as a result of adjustments to align with U.S. Internal Revenue Service (“IRS”) calculations.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Liability for Uncertain Tax Positions</w:t>
      </w:r>
    </w:p>
    <w:p>
      <w:pPr>
        <w:spacing w:after="0" w:line="2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 excluding accrued interest and penalties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 2025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June 27, 2025</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20"/>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increases related to current year tax positions</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increases related to prior year tax positions</w:t>
            </w: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0"/>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decreases related to prior year tax positions</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6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at October 3, 2025</w:t>
            </w: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r>
      <w:tr>
        <w:trPr>
          <w:trHeight w:val="27"/>
        </w:trPr>
        <w:tc>
          <w:tcPr>
            <w:tcW w:w="98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the amounts noted above,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October 3, 2025 was $93 million. Of the aggregate unrecognized tax benefits, including interest and penalties, approximately $130 million could result in potential cash payments to be made within the next twelve months.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believes that an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Business Realignment Charges</w:t>
      </w:r>
    </w:p>
    <w:p>
      <w:pPr>
        <w:spacing w:after="0" w:line="243"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color w:val="auto"/>
        </w:rPr>
        <w:t>The Company periodically incurs charges to realign its business operations with anticipated market demand, primarily consisting of organization rationalization designed to streamline its business, reduce its cost structure, and focus its resources. These actions may result in charges for employee termination benefits or charges from the impairment of intangible assets and other long-lived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the following net charges related to these actions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720" w:type="dxa"/>
            <w:vAlign w:val="bottom"/>
            <w:gridSpan w:val="4"/>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28"/>
        </w:trPr>
        <w:tc>
          <w:tcPr>
            <w:tcW w:w="826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60" w:type="dxa"/>
            <w:vAlign w:val="bottom"/>
          </w:tcPr>
          <w:p>
            <w:pPr>
              <w:spacing w:after="0"/>
              <w:rPr>
                <w:sz w:val="11"/>
                <w:szCs w:val="11"/>
                <w:color w:val="auto"/>
              </w:rPr>
            </w:pPr>
          </w:p>
        </w:tc>
      </w:tr>
      <w:tr>
        <w:trPr>
          <w:trHeight w:val="196"/>
        </w:trPr>
        <w:tc>
          <w:tcPr>
            <w:tcW w:w="8260" w:type="dxa"/>
            <w:vAlign w:val="bottom"/>
          </w:tcPr>
          <w:p>
            <w:pPr>
              <w:spacing w:after="0"/>
              <w:rPr>
                <w:sz w:val="17"/>
                <w:szCs w:val="17"/>
                <w:color w:val="auto"/>
              </w:rPr>
            </w:pPr>
          </w:p>
        </w:tc>
        <w:tc>
          <w:tcPr>
            <w:tcW w:w="11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r>
      <w:tr>
        <w:trPr>
          <w:trHeight w:val="196"/>
        </w:trPr>
        <w:tc>
          <w:tcPr>
            <w:tcW w:w="8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20" w:type="dxa"/>
            <w:vAlign w:val="bottom"/>
            <w:gridSpan w:val="3"/>
          </w:tcPr>
          <w:p>
            <w:pPr>
              <w:jc w:val="right"/>
              <w:ind w:right="80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termination and other</w:t>
            </w:r>
          </w:p>
        </w:tc>
        <w:tc>
          <w:tcPr>
            <w:tcW w:w="11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8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business realignment charges</w:t>
            </w:r>
          </w:p>
        </w:tc>
        <w:tc>
          <w:tcPr>
            <w:tcW w:w="110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-599440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The following table presents an analysis of the components of these activities against the reserve (included in Accrued expenses) during the three months ended October 3, 2025:</w:t>
      </w:r>
    </w:p>
    <w:tbl>
      <w:tblPr>
        <w:tblLayout w:type="fixed"/>
        <w:tblInd w:w="0" w:type="dxa"/>
        <w:tblCellMar>
          <w:top w:w="0" w:type="dxa"/>
          <w:left w:w="0" w:type="dxa"/>
          <w:bottom w:w="0" w:type="dxa"/>
          <w:right w:w="0" w:type="dxa"/>
        </w:tblCellMar>
      </w:tblPr>
      <w:tr>
        <w:trPr>
          <w:trHeight w:val="149"/>
        </w:trPr>
        <w:tc>
          <w:tcPr>
            <w:tcW w:w="6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5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2"/>
                <w:szCs w:val="12"/>
                <w:color w:val="auto"/>
              </w:rPr>
            </w:pPr>
          </w:p>
        </w:tc>
        <w:tc>
          <w:tcPr>
            <w:tcW w:w="1100" w:type="dxa"/>
            <w:vAlign w:val="bottom"/>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60" w:type="dxa"/>
            <w:vAlign w:val="bottom"/>
          </w:tcPr>
          <w:p>
            <w:pPr>
              <w:spacing w:after="0"/>
              <w:rPr>
                <w:sz w:val="16"/>
                <w:szCs w:val="16"/>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June 27, 2025</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at October 3, 2025</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Pension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60" w:type="dxa"/>
            <w:vAlign w:val="bottom"/>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Fair value of plan assets at end of period</w:t>
            </w: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status</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-591185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unfunded amounts related to the Pension Plans as recognized on the Company’s Condensed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liabilities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Non-current liabilities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amount recognized</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3"/>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-591185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benefit costs were immaterial for the three months ended October 3, 2025 and September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Shareholders’ Equity and Convertible Preferred Stock</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items as well as the related tax benefit included in the Company’s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720" w:type="dxa"/>
            <w:vAlign w:val="bottom"/>
            <w:gridSpan w:val="4"/>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100" w:type="dxa"/>
            <w:vAlign w:val="bottom"/>
          </w:tcPr>
          <w:p>
            <w:pPr>
              <w:jc w:val="center"/>
              <w:ind w:left="264"/>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left="184"/>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60" w:type="dxa"/>
            <w:vAlign w:val="bottom"/>
          </w:tcPr>
          <w:p>
            <w:pPr>
              <w:spacing w:after="0"/>
              <w:rPr>
                <w:sz w:val="11"/>
                <w:szCs w:val="11"/>
                <w:color w:val="auto"/>
              </w:rPr>
            </w:pPr>
          </w:p>
        </w:tc>
      </w:tr>
      <w:tr>
        <w:trPr>
          <w:trHeight w:val="195"/>
        </w:trPr>
        <w:tc>
          <w:tcPr>
            <w:tcW w:w="8260" w:type="dxa"/>
            <w:vAlign w:val="bottom"/>
          </w:tcPr>
          <w:p>
            <w:pPr>
              <w:spacing w:after="0"/>
              <w:rPr>
                <w:sz w:val="16"/>
                <w:szCs w:val="16"/>
                <w:color w:val="auto"/>
              </w:rPr>
            </w:pPr>
          </w:p>
        </w:tc>
        <w:tc>
          <w:tcPr>
            <w:tcW w:w="110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auto"/>
            </w:tcBorders>
          </w:tcPr>
          <w:p>
            <w:pPr>
              <w:spacing w:after="0"/>
              <w:rPr>
                <w:sz w:val="16"/>
                <w:szCs w:val="16"/>
                <w:color w:val="auto"/>
              </w:rPr>
            </w:pPr>
          </w:p>
        </w:tc>
      </w:tr>
      <w:tr>
        <w:trPr>
          <w:trHeight w:val="195"/>
        </w:trPr>
        <w:tc>
          <w:tcPr>
            <w:tcW w:w="8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3"/>
          </w:tcPr>
          <w:p>
            <w:pPr>
              <w:jc w:val="center"/>
              <w:ind w:right="76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r>
        <w:trPr>
          <w:trHeight w:val="490"/>
        </w:trPr>
        <w:tc>
          <w:tcPr>
            <w:tcW w:w="8260" w:type="dxa"/>
            <w:vAlign w:val="bottom"/>
          </w:tcPr>
          <w:p>
            <w:pPr>
              <w:spacing w:after="0"/>
              <w:rPr>
                <w:sz w:val="24"/>
                <w:szCs w:val="24"/>
                <w:color w:val="auto"/>
              </w:rPr>
            </w:pPr>
          </w:p>
        </w:tc>
        <w:tc>
          <w:tcPr>
            <w:tcW w:w="2720" w:type="dxa"/>
            <w:vAlign w:val="bottom"/>
            <w:gridSpan w:val="4"/>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24"/>
                <w:szCs w:val="24"/>
                <w:color w:val="auto"/>
              </w:rPr>
            </w:pPr>
          </w:p>
        </w:tc>
      </w:tr>
      <w:tr>
        <w:trPr>
          <w:trHeight w:val="23"/>
        </w:trPr>
        <w:tc>
          <w:tcPr>
            <w:tcW w:w="8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29"/>
        </w:trPr>
        <w:tc>
          <w:tcPr>
            <w:tcW w:w="8260" w:type="dxa"/>
            <w:vAlign w:val="bottom"/>
          </w:tcPr>
          <w:p>
            <w:pPr>
              <w:spacing w:after="0"/>
              <w:rPr>
                <w:sz w:val="11"/>
                <w:szCs w:val="11"/>
                <w:color w:val="auto"/>
              </w:rPr>
            </w:pPr>
          </w:p>
        </w:tc>
        <w:tc>
          <w:tcPr>
            <w:tcW w:w="1100" w:type="dxa"/>
            <w:vAlign w:val="bottom"/>
          </w:tcPr>
          <w:p>
            <w:pPr>
              <w:jc w:val="center"/>
              <w:ind w:left="264"/>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left="184"/>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60" w:type="dxa"/>
            <w:vAlign w:val="bottom"/>
          </w:tcPr>
          <w:p>
            <w:pPr>
              <w:spacing w:after="0"/>
              <w:rPr>
                <w:sz w:val="11"/>
                <w:szCs w:val="11"/>
                <w:color w:val="auto"/>
              </w:rPr>
            </w:pPr>
          </w:p>
        </w:tc>
      </w:tr>
      <w:tr>
        <w:trPr>
          <w:trHeight w:val="196"/>
        </w:trPr>
        <w:tc>
          <w:tcPr>
            <w:tcW w:w="8260" w:type="dxa"/>
            <w:vAlign w:val="bottom"/>
          </w:tcPr>
          <w:p>
            <w:pPr>
              <w:spacing w:after="0"/>
              <w:rPr>
                <w:sz w:val="17"/>
                <w:szCs w:val="17"/>
                <w:color w:val="auto"/>
              </w:rPr>
            </w:pPr>
          </w:p>
        </w:tc>
        <w:tc>
          <w:tcPr>
            <w:tcW w:w="110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auto"/>
            </w:tcBorders>
          </w:tcPr>
          <w:p>
            <w:pPr>
              <w:spacing w:after="0"/>
              <w:rPr>
                <w:sz w:val="17"/>
                <w:szCs w:val="17"/>
                <w:color w:val="auto"/>
              </w:rPr>
            </w:pPr>
          </w:p>
        </w:tc>
      </w:tr>
      <w:tr>
        <w:trPr>
          <w:trHeight w:val="196"/>
        </w:trPr>
        <w:tc>
          <w:tcPr>
            <w:tcW w:w="8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20" w:type="dxa"/>
            <w:vAlign w:val="bottom"/>
            <w:gridSpan w:val="3"/>
          </w:tcPr>
          <w:p>
            <w:pPr>
              <w:jc w:val="center"/>
              <w:ind w:right="76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
        </w:trPr>
        <w:tc>
          <w:tcPr>
            <w:tcW w:w="8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-2167890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-1010920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Any shortfalls or excess windfall tax benefits and tax deficiencies for shortfalls related to the vesting and exercise of stock-based awards, which are recognized as a component of the Company’s Income tax expense, were immaterial for the periods presented.</w:t>
      </w:r>
    </w:p>
    <w:p>
      <w:pPr>
        <w:spacing w:after="0" w:line="189"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Compensation cost related to unvested RSUs, PSUs, and rights to purchase shares of common stock under the ESPP are generally amortized on a straight-line basis over the remaining average service period. The following table presents the unamortized compensation cost and weighted average service period of all unvested outstanding awards as of October 3, 2025:</w:t>
      </w:r>
    </w:p>
    <w:tbl>
      <w:tblPr>
        <w:tblLayout w:type="fixed"/>
        <w:tblInd w:w="0" w:type="dxa"/>
        <w:tblCellMar>
          <w:top w:w="0" w:type="dxa"/>
          <w:left w:w="0" w:type="dxa"/>
          <w:bottom w:w="0" w:type="dxa"/>
          <w:right w:w="0" w:type="dxa"/>
        </w:tblCellMar>
      </w:tblPr>
      <w:tr>
        <w:trPr>
          <w:trHeight w:val="150"/>
        </w:trPr>
        <w:tc>
          <w:tcPr>
            <w:tcW w:w="148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43"/>
              <w:spacing w:after="0" w:line="150"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3"/>
                <w:szCs w:val="13"/>
                <w:color w:val="auto"/>
              </w:rPr>
            </w:pPr>
          </w:p>
        </w:tc>
        <w:tc>
          <w:tcPr>
            <w:tcW w:w="14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 Period</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2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(years)</w:t>
            </w:r>
          </w:p>
        </w:tc>
      </w:tr>
      <w:tr>
        <w:trPr>
          <w:trHeight w:val="222"/>
        </w:trPr>
        <w:tc>
          <w:tcPr>
            <w:tcW w:w="826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2.2</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5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r>
      <w:tr>
        <w:trPr>
          <w:trHeight w:val="237"/>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unamortized compensation cost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95"/>
        </w:trPr>
        <w:tc>
          <w:tcPr>
            <w:tcW w:w="148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87"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service period assumes the performance conditions are met for the PSUs.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2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6"/>
                <w:szCs w:val="16"/>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Value at Vest Date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42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June 27,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October 3,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5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 January 31, 2023, the Board of Directors of the Company authorized the designation of 900,000 shares of Series A Convertible Perpetual Preferred Stock, par value $0.01 per share (the “Preferred Shares”), from the Company’s existing 5,000,000 authorized but unissued shares of preferred stock and issued the Preferred Shares through a private placement. As of October 3, 2025 and June 27, 2025, 235,000 of the Preferred Shares were outstanding.</w:t>
      </w:r>
    </w:p>
    <w:p>
      <w:pPr>
        <w:spacing w:after="0" w:line="20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Preferred Shares have an initial stated value of $1,000 per share and accrue a cumulative preferred dividend at an annual rate of 6.25% per annum (increasing to 7.25% per annum on January 31, 2030 and to 8.25% per annum on January 31, 2033) compounded on a quarterly basis. Such dividends are payable on a quarterly basis in cash or in-kind through an increase to the stated value. Through December 27, 2024, the Company paid quarterly dividends on the Preferred Shares in-kind through an increase to the stated value. Subsequently, quarterly dividends on the Preferred Shares have been made in cash, including $4 million paid in the three months ended October 3, 2025. As of October 3, 2025 and June 27, 2025, the Preferred Shares outstanding had an aggregate liquidation preference, including previous dividends paid in-kind, of $265 million as of each date, and would have been convertible, if otherwise permitted, into approximately 7 million shares of common stock as of each date. The Preferred Shares also participate in any dividends declared for common shareholders on an as-converted equivalent basis.</w:t>
      </w: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October 3, 2025, the Preferred Shares are convertible into shares of the Company’s common stock at a conversion rate of approximately $35.51 per share, as adjusted in accordance with the Certificate of Designations for the Preferred Shares (the “Conversion Price”). This rate is subject to future anti-dilution adjustments and certain other one-time adjustments in the event of various specified spin-off transactions. The conversion applies to the total of the stated value of the Preferred Shares, including dividends paid in-kind. In the case of future standalone spin-off transactions, holders of the Preferred Shares may convert one-third of their shares into a similar class of preferred shares of the spin-off entity. The Company may opt to convert the Preferred Shares after January 31, 2026, if the closing price per share of the Company’s common stock exceeds 150% of the Conversion Price for at least 20 out of 30 consecutive trading days immediately before the Company's conversion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2025, the Company’s Board of Directors authorized a share repurchase program for the repurchase of up to $2.0 billion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(the “Share Repurchase Program”). There is no expiration date for the Share Repurchase Program. During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 2025, the Company repurchased 6.4 million shares under the Share Repurchase Program for a total cash cost of $553 million plus $4 million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excise taxes. As of October 3, 2025 the Company had $1.30 billion available for purchases pursuant to the Share Repurchase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under the Share Repurchase Program may be made in the open market or in privately negotiated transactions and may be made under a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10b5-1 plan. The Company expects shares repurchased under the Share Repurchase Program to be funded principally by operating cash flows.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timing of share repurchases will depend on market conditions and other corporate considerations. The Company may suspend or discontinue the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at any time.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to Common Shareholders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29, 2025, the Company’s Board of Directors authorized the adoption of a cash dividend program. Under the cash dividend program, holders of the Company’s common stock will receive dividends when and as declared by the Board of Directors. During the three months ended October 3, 2025, the Company paid cash dividends of $0.10 per share of its outstanding common stock, totaling $34 million, plus $1 million paid to holders of the Company’s Preferred Shares in accordance with their participation rights.</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Subsequent to quarter-end, on October 29, 2025, the Board of Directors declared a cash dividend of $0.125 per share of the Company’s common stock, which will be paid on December 18, 2025 to shareholders of record as of the close of business on December 4, 2025.</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modify, suspend, or cancel its cash dividend program in any matter and at any time. The amount of future dividends under the Company’s cash dividend program, and the declaration and payment thereof, will be based upon all relevant factors, including the Company’s financial position, results of operations, cash flows, capital requirements and restrictions under the Company’s Loan Agreement and other financing agreements, and shall be in compliance with applicable law.</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income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14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148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00" w:type="dxa"/>
            <w:vAlign w:val="bottom"/>
          </w:tcPr>
          <w:p>
            <w:pPr>
              <w:spacing w:after="0"/>
              <w:rPr>
                <w:sz w:val="11"/>
                <w:szCs w:val="11"/>
                <w:color w:val="auto"/>
              </w:rPr>
            </w:pPr>
          </w:p>
        </w:tc>
        <w:tc>
          <w:tcPr>
            <w:tcW w:w="1240" w:type="dxa"/>
            <w:vAlign w:val="bottom"/>
          </w:tcPr>
          <w:p>
            <w:pPr>
              <w:jc w:val="right"/>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r>
      <w:tr>
        <w:trPr>
          <w:trHeight w:val="22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Dividends allocated to preferred shareholders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826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Income attributable to participating securities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 attributable to common shareholders - basic</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discontinued operations, net of taxes, attributable to common shareholders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 - basic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1480" w:type="dxa"/>
            <w:vAlign w:val="bottom"/>
            <w:shd w:val="clear" w:color="auto" w:fill="CCEEFF"/>
          </w:tcPr>
          <w:p>
            <w:pPr>
              <w:spacing w:after="0"/>
              <w:rPr>
                <w:sz w:val="20"/>
                <w:szCs w:val="20"/>
                <w:color w:val="auto"/>
              </w:rPr>
            </w:pPr>
          </w:p>
        </w:tc>
        <w:tc>
          <w:tcPr>
            <w:tcW w:w="6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 attributable to common shareholders - 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Re-allocation of participating securities considered potentially dilutive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 attributable to common shareholders - diluted</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discontinued operations, net of taxes, attributable to common shareholders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 - diluted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148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RSUs, PSUs, ESPP, and convertible notes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7"/>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48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r>
      <w:tr>
        <w:trPr>
          <w:trHeight w:val="213"/>
        </w:trPr>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19"/>
        </w:trPr>
        <w:tc>
          <w:tcPr>
            <w:tcW w:w="8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r>
      <w:tr>
        <w:trPr>
          <w:trHeight w:val="213"/>
        </w:trPr>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r>
      <w:tr>
        <w:trPr>
          <w:trHeight w:val="219"/>
        </w:trPr>
        <w:tc>
          <w:tcPr>
            <w:tcW w:w="8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122"/>
        </w:trPr>
        <w:tc>
          <w:tcPr>
            <w:tcW w:w="1480" w:type="dxa"/>
            <w:vAlign w:val="bottom"/>
            <w:tcBorders>
              <w:bottom w:val="single" w:sz="8" w:color="auto"/>
            </w:tcBorders>
          </w:tcPr>
          <w:p>
            <w:pPr>
              <w:spacing w:after="0"/>
              <w:rPr>
                <w:sz w:val="10"/>
                <w:szCs w:val="10"/>
                <w:color w:val="auto"/>
              </w:rPr>
            </w:pPr>
          </w:p>
        </w:tc>
        <w:tc>
          <w:tcPr>
            <w:tcW w:w="6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-4105275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3"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Participating securities consist of preferred stock because it participates on a pro rata basis in any dividends declared on shares of common stock.</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(i) net income less (ii) dividends allocated to preferred shareholders less (iii) net income attributable to participating securities divided by (iv) basic weighted average shares outstanding. Diluted net income per common share is computed as (i) basic net income attributable to common shareholders plus (ii) diluted adjustments to income allocable to participating securities divided by (iii) diluted weighted average shares outstanding. The “if-converted” method is used to determine the dilutive impact for the convertible notes and the preferred shares. The treasury stock method is used to determine the dilutive impact of unvested equity awards.</w:t>
      </w:r>
    </w:p>
    <w:p>
      <w:pPr>
        <w:spacing w:after="0" w:line="21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Potentially dilutive common shares include dilutive outstanding RSUs and PSUs, rights to purchase shares of common stock under the Company’s ESPP, shares issuable in connection with the Company’s convertible notes, and Preferred Shares. For the three months ended October 3, 2025 and September 27, 2024, based on the Company’s average stock price during the period, an insignificant number of common shares subject to outstanding equity awards were anti-dilutive.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Intellectual Property Litigation</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28, 2016, SPEX Technologies, Inc. (“SPEX”) filed a lawsuit in the Central District Court against the Company and two of the Company’s current or former wholly-owned subsidiaries, Western Digital Technologies, Inc. and HGST Inc., alleging infringement of U.S. Patent Nos. 6,088,802 and 6,003,135, both of which allegedly relate to moving a security mechanism (e.g., the encrypting/decrypting mechanism) from a host computer or a separate device to a peripheral device that provides data storage. As the case progressed, SPEX dismissed its allegations relating to U.S. Patent No. 6,003,135 and narrowed its case to one claim related to U.S. Patent No. 6,088,802 and asserted this against certain HDD products that may include certain encryption capabilities. The trial commenced on October 8, 2024, and concluded on October 18, 2024, and the jury awarded SPEX damages of $316 million for the use of one claim related to U.S. Patent No. 6,088,802 in the past, prior to its expiration in 2017. On January 8, 2025, the Court entered judgment for SPEX in accordance with the verdict and also awarded SPEX prejudgment interest of $237 million and legal costs. On June 16, 2025, the Court ruled on the Company’s post-trial motions, finding that SPEX did not present sufficient evidence on which a damages award could be determined and therefore awarded nominal damages of $1. On June 27, 2025, the Court entered an amended judgment awarding SPEX nominal damages of $1 with no prejudgment interest and no legal costs. The Company has appealed the infringement finding, and SPEX has appealed damages-related issues. Based on available appellate arguments, the Company believes a loss is not probable and has not accrued a liability as a result of the jury verdict or the entry of amended judgment in its financial statements as of October 3, 2025.</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management’s expectations.</w:t>
      </w: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ability to predict the ultimate outcome of any legal proceeding involves judgments, estimates and inherent uncertainties. The actual outcome of these matters could differ materially from management’s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2025 Annual Report on Form 10-K. See</w:t>
      </w:r>
    </w:p>
    <w:p>
      <w:pPr>
        <w:spacing w:after="0" w:line="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also “Forward-Looking Statements” immediately prior to Part I, Item 1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 leading developer, manufacturer, and provider of data storage devices and solutions based on hard disk drive (“HDD”) technology. We leverage our capability in the HDD industry primarily for the cloud and hyperscale data center markets. HDDs are critical components in the worldwide data infrastructure market, powering the digital economy. HDDs provide reliable, cost-effective, high-capacity storage needs for a wide range of applications, ranging from cloud data centers, enterprise storage systems, edge computing, video surveillance to client and consumer.</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broad portfolio of technology and products addresses our customers’ storage needs through multiple end markets: “Cloud,” “Client” and “Consumer”. Cloud is comprised primarily of products for public or private cloud environments and enterprise customers. Through the Client end market, we provide our original equipment manufacturer (“OEM”) and channel customers a broad array of high-performance HDD solutions across desktop and notebooks. The Consumer end market provides a broad range of retail and other end-user products, which capitalize on the strength of our product brand recognition and vast points of presence around the world.</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 2026, which will end on July 3, 2026, will be comprised of 53 weeks, with the first quarter consisting of 14 weeks and the remaining quarters consisting of 13 weeks each. Fiscal year 2025, which ended on June 27, 2025, was comprised of 52 weeks, with all quarters presented consisting of 13 weeks.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Separation of Business Units</w:t>
      </w:r>
    </w:p>
    <w:p>
      <w:pPr>
        <w:spacing w:after="0" w:line="25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February 21, 2025 (the “Separation Date”), we completed the separation of our HDD and Flash business units (the “Separation”) to create two independent public companies, with Western Digital continuing our existing HDD business and Sandisk Corporation (“Sandisk”), formerly a wholly-owned subsidiary of the Company, holding the Flash business. We believe the Separation has better positioned us as a pure-play HDD company that can execute innovative technology and product development, capitalize on unique growth opportunities, extend our leadership position, operate more efficiently, and pursue capital allocation strategies to maximize long-term shareholder value. As part of the Separation, we initially retained 28.8 million shares of Sandisk common stock, of which 21.3 million shares were used in the three months ended June 27, 2025 in a tax-free exchange to reduce approximately $800 million principal amount of our term loan A-3. We expect to monetize our remaining stake in Sandisk within one year from the Separation Date.</w:t>
      </w:r>
    </w:p>
    <w:p>
      <w:pPr>
        <w:spacing w:after="0" w:line="21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Information provided herein is presented on a continuing operations basis to reflect the impact of the Separation. See Part I, Item 1, Note 4, </w:t>
      </w:r>
      <w:r>
        <w:rPr>
          <w:rFonts w:ascii="Times New Roman" w:cs="Times New Roman" w:eastAsia="Times New Roman" w:hAnsi="Times New Roman"/>
          <w:sz w:val="18"/>
          <w:szCs w:val="18"/>
          <w:i w:val="1"/>
          <w:iCs w:val="1"/>
          <w:color w:val="auto"/>
        </w:rPr>
        <w:t>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of the Notes to Condensed Consolidated Financial Statements included in this Quarterly Report on Form 10-Q for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Separation.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Macroeconomic Conditions and Outlook</w:t>
      </w:r>
    </w:p>
    <w:p>
      <w:pPr>
        <w:spacing w:after="0" w:line="24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increasing long-term demand for data storage in the cloud is benefiting our HDD business. The adoption of artificial intelligence (“AI”) and data-driven workloads is driving growth in data storage as well. This creates an accelerated demand for high-capacity drives, resulting in greater manufacturing complexity and longer production lead times. In response, customers are partnering with us earlier to support their future growth requirements and are extending the duration of their commercial arrangements.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United States has been making changes to its trade policy, including increasing tariffs on imports, in some cases significantly. Several of these tariff actions have been followed by announcements of limited exemptions, temporary pauses or other changes. These actions have caused substantial uncertainty and have also resulted in retaliatory measures. Our business and results of operations have not been materially impacted through the first quarter of 2026 as a result of the recent tariff actions, but we are actively monitoring developments and exploring opportunities to mitigate potential future tariff and retaliatory actions. For additional information, please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First Quarter Overview</w:t>
      </w:r>
    </w:p>
    <w:p>
      <w:pPr>
        <w:spacing w:after="0" w:line="254"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3"/>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80" w:type="dxa"/>
            <w:vAlign w:val="bottom"/>
          </w:tcPr>
          <w:p>
            <w:pPr>
              <w:spacing w:after="0"/>
              <w:rPr>
                <w:sz w:val="11"/>
                <w:szCs w:val="11"/>
                <w:color w:val="auto"/>
              </w:rPr>
            </w:pPr>
          </w:p>
        </w:tc>
        <w:tc>
          <w:tcPr>
            <w:tcW w:w="9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56.5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63.6</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185</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43.5</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36.4</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421</w:t>
            </w:r>
          </w:p>
        </w:tc>
        <w:tc>
          <w:tcPr>
            <w:tcW w:w="104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2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9.2</w:t>
            </w:r>
          </w:p>
        </w:tc>
        <w:tc>
          <w:tcPr>
            <w:tcW w:w="18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(66)</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realignment charges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15.4</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21.3</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w:t>
            </w:r>
          </w:p>
        </w:tc>
        <w:tc>
          <w:tcPr>
            <w:tcW w:w="104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7"/>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480" w:type="dxa"/>
            <w:vAlign w:val="bottom"/>
          </w:tcPr>
          <w:p>
            <w:pPr>
              <w:spacing w:after="0"/>
              <w:rPr>
                <w:sz w:val="17"/>
                <w:szCs w:val="17"/>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28.1</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15.1</w:t>
            </w:r>
          </w:p>
        </w:tc>
        <w:tc>
          <w:tcPr>
            <w:tcW w:w="180" w:type="dxa"/>
            <w:vAlign w:val="bottom"/>
          </w:tcPr>
          <w:p>
            <w:pPr>
              <w:spacing w:after="0"/>
              <w:rPr>
                <w:sz w:val="17"/>
                <w:szCs w:val="17"/>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458</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4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on retained interest in Sandisk</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611</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4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19.3</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636</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47.4</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1,094</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4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65</w:t>
            </w:r>
          </w:p>
        </w:tc>
        <w:tc>
          <w:tcPr>
            <w:tcW w:w="10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3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41.9 %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1,029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673 %</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540" w:type="dxa"/>
            <w:vAlign w:val="bottom"/>
            <w:tcBorders>
              <w:bottom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15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154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00" w:type="dxa"/>
            <w:vAlign w:val="bottom"/>
          </w:tcPr>
          <w:p>
            <w:pPr>
              <w:spacing w:after="0"/>
              <w:rPr>
                <w:sz w:val="11"/>
                <w:szCs w:val="11"/>
                <w:color w:val="auto"/>
              </w:rPr>
            </w:pPr>
          </w:p>
        </w:tc>
        <w:tc>
          <w:tcPr>
            <w:tcW w:w="1240" w:type="dxa"/>
            <w:vAlign w:val="bottom"/>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15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15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1061"/>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37"/>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54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37"/>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1540" w:type="dxa"/>
            <w:vAlign w:val="bottom"/>
            <w:tcBorders>
              <w:bottom w:val="single" w:sz="8" w:color="auto"/>
            </w:tcBorders>
          </w:tcPr>
          <w:p>
            <w:pPr>
              <w:spacing w:after="0"/>
              <w:rPr>
                <w:sz w:val="5"/>
                <w:szCs w:val="5"/>
                <w:color w:val="auto"/>
              </w:rPr>
            </w:pPr>
          </w:p>
        </w:tc>
        <w:tc>
          <w:tcPr>
            <w:tcW w:w="6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r>
    </w:tbl>
    <w:p>
      <w:pPr>
        <w:spacing w:after="0" w:line="103" w:lineRule="exact"/>
        <w:rPr>
          <w:sz w:val="20"/>
          <w:szCs w:val="20"/>
          <w:color w:val="auto"/>
        </w:rPr>
      </w:pPr>
    </w:p>
    <w:p>
      <w:pPr>
        <w:ind w:left="5540" w:right="4280" w:hanging="5532"/>
        <w:spacing w:after="0" w:line="857" w:lineRule="auto"/>
        <w:tabs>
          <w:tab w:leader="none" w:pos="26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revenue is attributed to geographic regions based on the ship-to location of the customer.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Three Months Ended October 3, 2025 to Three Months Ended September 27, 2024</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revenue increased by 27% for the three months ended October 3, 2025 from the comparable period in the prior year, primarily driven by a 3% increase in units sold and a 19% increase in average selling price per unit, primarily as a result of a shift in product mix to higher capacity drives. In addition, approximately 4 percentage points of growth was due to an increase in data storage systems revenues.</w:t>
      </w:r>
    </w:p>
    <w:p>
      <w:pPr>
        <w:spacing w:after="0" w:line="20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Cloud revenue increased by 31% for the three months ended October 3, 2025 from the comparable period in the prior year, primarily driven by a 5% increase in units sold and a 19% increase in average selling price per unit. The increase in units sold was driven by higher shipments of our high-capacity enterprise products. The increase in average selling price per unit was primarily due to a shift in product mix to higher capacity drives. In addition, approximately 6 percentage points of growth was due to an increase in data storage systems revenues.</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Client revenue increased by 5% for the three months ended October 3, 2025 from the comparable period in the prior year, primarily driven by an 11% increase in average selling price per unit, partially offset by a 6% decrease in units sold. The increase in average selling price per unit and decrease in units were both due to a shift in product mix to higher capacity drives.</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Consumer revenue for the three months ended October 3, 2025 was relatively flat compared to the comparable period in the prior year with both volume and pricing being relatively consistent.</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revenue by geography for the three months ended October 3, 2025 compared to the prior year period reflects higher revenue in the Asia and Europe, Middle East and Africa regions as customers expand data center capacity in these regions.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top 10 customers accounted for 77% of our net revenue for the three months ended October 3, 2025, compared to 65% of our net revenue for the three months ended September 27, 2024. For the three months ended October 3, 2025, three customers accounted for 18%, 16% and 14%, respectively, of our net revenue, and for the three months ended September 27, 2024, one customer accounted for 18% of our net revenue.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Gross profit increased by $421 million for the three months ended October 3, 2025 from the comparable period in the prior year, primarily due to higher product shipments and improved pricing. Gross margin increased by 7 percentage points year over year, primarily due to higher volumes, product cost reductions and improved pricing.</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 increased by $32 million for the three months ended October 3, 2025 from the comparable period in the prior year. The increase was driven by higher variable compensation and continued investment for innovation, technology and product development.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 decreased by $66 million for the three months ended October 3, 2025 from the comparable period in the prior year. The decrease primarily reflects $37 million lower compensation and benefits, which was driven by certain general corporate overhead roles in the prior year that have since transferred to Sandisk and were not backfilled after the Separation. The decrease also reflects $30 million lower service fees resulting from reduced marketing activities and legal costs.</w:t>
      </w:r>
    </w:p>
    <w:p>
      <w:pPr>
        <w:spacing w:after="0" w:line="20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litigation matters, see Part I, Item 1, Note 14,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185" w:lineRule="exact"/>
        <w:rPr>
          <w:sz w:val="20"/>
          <w:szCs w:val="20"/>
          <w:color w:val="auto"/>
        </w:rPr>
      </w:pPr>
    </w:p>
    <w:p>
      <w:pPr>
        <w:ind w:right="880"/>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Business realignment charges, see Part I, Item 1, Note 10, </w:t>
      </w:r>
      <w:r>
        <w:rPr>
          <w:rFonts w:ascii="Times New Roman" w:cs="Times New Roman" w:eastAsia="Times New Roman" w:hAnsi="Times New Roman"/>
          <w:sz w:val="18"/>
          <w:szCs w:val="18"/>
          <w:i w:val="1"/>
          <w:iCs w:val="1"/>
          <w:color w:val="auto"/>
        </w:rPr>
        <w:t>Business Realignment Charges,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Income (Expense)</w:t>
      </w:r>
    </w:p>
    <w:p>
      <w:pPr>
        <w:spacing w:after="0" w:line="2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Total interest and other income (expense), changed by $636 million for the three months ended October 3, 2025 from the comparable period in the prior year. The change primarily reflects an unrealized gain of $611 million on our retained interest in Sandisk based on the mark-to-market value as of October 3, 2025, and lower interest expense of $40 million, which reflects the reduction in our debt.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Previously, the Tax Cuts and Jobs Act of 2017 (“TCJA”) eliminated the ability to deduct R&amp;D expenditures in the year incurred, requiring capitalization and amortization under Internal Revenue Code Section 174. On July 4, 2025, the One Big Beautiful Bill Act of 2025 (“OBBBA”) was signed into law, which includes broad tax reform provisions that extend and modify key elements of the TCJA. Notably, the new legislation now allows an option for the immediate expensing of domestic R&amp;D expenditures, beginning with 2026. The legislation also includes favorable modifications to international tax provisions, including changes to the Global Intangible Low-Taxed Income regime and enhancements to the Foreign-Derived Deduction Eligible Income (FDDEI) deduction that will become effective for us in 2027.</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which contained, among other things, a corporate alternative minimum tax (“CAMT”) of 15% on corporations with three-year average annual adjusted financial statement income (“AFSI”) exceeding $1.0 billion. Although CAMT became effective for us beginning with 2024, we were not subject to the CAMT of 15% for 2024 and 2025. We do not expect to be subject to CAMT in 2026 as our annual average AFSI did not exceed $1.0 billion for the preceding three-year period.</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also known as Global Minimum Tax (“GMT”). For 2026, we are subject to GMT in Thailand and the Philippines.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Income tax expense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3"/>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8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ind w:right="324"/>
              <w:spacing w:after="0" w:line="12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300" w:type="dxa"/>
            <w:vAlign w:val="bottom"/>
          </w:tcPr>
          <w:p>
            <w:pPr>
              <w:spacing w:after="0"/>
              <w:rPr>
                <w:sz w:val="11"/>
                <w:szCs w:val="11"/>
                <w:color w:val="auto"/>
              </w:rPr>
            </w:pPr>
          </w:p>
        </w:tc>
        <w:tc>
          <w:tcPr>
            <w:tcW w:w="1240" w:type="dxa"/>
            <w:vAlign w:val="bottom"/>
          </w:tcPr>
          <w:p>
            <w:pPr>
              <w:jc w:val="right"/>
              <w:ind w:right="203"/>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6"/>
        </w:trPr>
        <w:tc>
          <w:tcPr>
            <w:tcW w:w="8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3"/>
          </w:tcPr>
          <w:p>
            <w:pPr>
              <w:jc w:val="right"/>
              <w:ind w:right="1043"/>
              <w:spacing w:after="0"/>
              <w:rPr>
                <w:sz w:val="20"/>
                <w:szCs w:val="20"/>
                <w:color w:val="auto"/>
              </w:rPr>
            </w:pPr>
            <w:r>
              <w:rPr>
                <w:rFonts w:ascii="Times New Roman" w:cs="Times New Roman" w:eastAsia="Times New Roman" w:hAnsi="Times New Roman"/>
                <w:sz w:val="14"/>
                <w:szCs w:val="14"/>
                <w:i w:val="1"/>
                <w:iCs w:val="1"/>
                <w:color w:val="auto"/>
              </w:rPr>
              <w:t>$ in millions</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1,337</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243</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155</w:t>
            </w:r>
          </w:p>
        </w:tc>
        <w:tc>
          <w:tcPr>
            <w:tcW w:w="30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months ended October 3, 2025 and the U.S. Federal statutory rate of 21% are the relative mix of earnings and losses by jurisdiction, the deduction for FDDEI, tax credits and the gain on the retained Sandisk interest being tax-free due to the Separation of the Flash business. These resulted in decreases to our effective tax rate below the U.S. Federal statutory rate for the three months ended October 3, 2025. Our income tax provision for the three months ended October 3, 2025 includes GMT taxes for Thailand and the Philippines, countries for which we maintain tax holidays.</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months ended September 27, 2024 and the U.S. Federal statutory rate of 21% were the relative mix of earnings and losses by jurisdiction, tax credits, and tax holidays in Thailand and the Philippines. In addition, the effective tax rate for the three months ended September 27, 2024 includes the discrete effect of a net decrease of $30 million to the liability for unrecognized tax benefits, which includes interest and offsetting tax benefits, as a result of adjustments to align with IRS calculations.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 xml:space="preserve">The following table summarizes our statements of cash flows. Cash flows for the prior year period are presented on a consolidated basis and activity related to discontinued operations has not been segregated. See Part I, Item 1, Note 4,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of the Notes to Condensed Consolidated Financial Statements included in this Quarterly Report on Form 10-Q for additional cash flow information related to our discontinued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00" w:type="dxa"/>
            <w:vAlign w:val="bottom"/>
            <w:gridSpan w:val="4"/>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8260" w:type="dxa"/>
            <w:vAlign w:val="bottom"/>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r>
      <w:tr>
        <w:trPr>
          <w:trHeight w:val="195"/>
        </w:trPr>
        <w:tc>
          <w:tcPr>
            <w:tcW w:w="8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gridSpan w:val="3"/>
          </w:tcPr>
          <w:p>
            <w:pPr>
              <w:jc w:val="right"/>
              <w:ind w:right="5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8"/>
                <w:szCs w:val="18"/>
                <w:color w:val="auto"/>
              </w:rPr>
            </w:pP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(678)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reclassified to assets held for sale</w:t>
            </w:r>
          </w:p>
        </w:tc>
        <w:tc>
          <w:tcPr>
            <w:tcW w:w="10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37"/>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60" w:type="dxa"/>
            <w:vAlign w:val="bottom"/>
            <w:tcBorders>
              <w:top w:val="single" w:sz="8" w:color="auto"/>
              <w:bottom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-1139825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August 2024, we filed a shelf registration statement (the “Shelf Registration Statement”) with the Securities and Exchange Commission that expires in August 2027. The Shelf Registration Statement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expect our capital expenditures for 2026 to be approximately 4% to 6% of our net revenue.</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believe our cash and cash equivalents and our available 2027 Revolving Credit Facility (as defined below) will be sufficient to meet our working capital, debt, dividend and capital expenditure needs for at least the next twelve months and for the foreseeable future thereafter. We believe we can also access the various debt and equity capital markets to further supplement our liquidity position if necessary. Our ability to sustain our working capital position is subject to a number of risks that we discuss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and in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our 2025 Annual Report on Form 10-K.</w:t>
      </w:r>
    </w:p>
    <w:p>
      <w:pPr>
        <w:spacing w:after="0" w:line="2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total of $1.23 billion and $0.98 billion of our cash and cash equivalents was held by our foreign subsidiaries as of October 3, 2025 and June 27, 2025, respectively. There are no material tax consequences that were not previously accrued for on the repatriation of this cash.</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primarily consists of net income, adjusted for non-cash charges, plus or minus changes in operating assets and liabilities. Net cash used for changes in operating assets and liabilities was $99 million for the three months ended October 3, 2025, compared to $753 million for the three months ended September 27, 2024. The year over year decrease largely reflects a $423 million improvement in timing and collection of accounts receivable, a $132 million improvement from accrued expenses resulting from a significant reduction in our derivative hedging activities since the Separation of the Flash business, and a $501 million improvement in other assets and liabilities driven by the timing of recognition and realization of income taxes receivable. These were partially offset by a $426 million increase in cash used driven by the timing of recognition and payment of income taxes.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October 3, 2025 primarily consisted of $73 million in capital expenditures, net of proceeds from disposals of assets. Net cash used in investing activities for the three months ended September 27, 2024 primarily consisted of $95 million in capital expenditures, net of proceeds from disposals of assets, partially offset by $47 million in net proceeds from activity related to Flash Ventures.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October 3, 2025 primarily consisted of $553 million for share repurchases, $39 million for dividends on our common stock and Preferred Shares, $55 million for taxes paid on vested stock awards under employee stock plans and $31 million for scheduled repayments on our term loan. Net cash used in financing activities for the three months ended September 27, 2024 primarily consisted of</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$64 million for taxes paid on vested stock awards under employee stock plans and $38 million for scheduled repayments on our term loan. During the three months ended September 27, 2024, we also drew and repaid $150 million under our 2027 Revolving Credit Facility.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Other than certain indemnification provisions (see “Short- and Long-term Liquidity – </w:t>
      </w:r>
      <w:r>
        <w:rPr>
          <w:rFonts w:ascii="Times New Roman" w:cs="Times New Roman" w:eastAsia="Times New Roman" w:hAnsi="Times New Roman"/>
          <w:sz w:val="18"/>
          <w:szCs w:val="18"/>
          <w:i w:val="1"/>
          <w:iCs w:val="1"/>
          <w:color w:val="auto"/>
        </w:rPr>
        <w:t>Purchase Obligations and Other Commitments</w:t>
      </w:r>
      <w:r>
        <w:rPr>
          <w:rFonts w:ascii="Times New Roman" w:cs="Times New Roman" w:eastAsia="Times New Roman" w:hAnsi="Times New Roman"/>
          <w:sz w:val="18"/>
          <w:szCs w:val="18"/>
          <w:color w:val="auto"/>
        </w:rPr>
        <w:t>”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variable interest entities.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54" w:lineRule="exact"/>
        <w:rPr>
          <w:sz w:val="20"/>
          <w:szCs w:val="20"/>
          <w:color w:val="auto"/>
        </w:rPr>
      </w:pPr>
    </w:p>
    <w:p>
      <w:pPr>
        <w:ind w:right="100" w:firstLine="243"/>
        <w:spacing w:after="0" w:line="263" w:lineRule="auto"/>
        <w:rPr>
          <w:sz w:val="20"/>
          <w:szCs w:val="20"/>
          <w:color w:val="auto"/>
        </w:rPr>
      </w:pPr>
      <w:r>
        <w:rPr>
          <w:rFonts w:ascii="Times New Roman" w:cs="Times New Roman" w:eastAsia="Times New Roman" w:hAnsi="Times New Roman"/>
          <w:sz w:val="18"/>
          <w:szCs w:val="18"/>
          <w:color w:val="auto"/>
        </w:rPr>
        <w:t>The following is a summary of our known material cash requirements as of October 3, 2025. In addition, see the discussions further below related to liability for unrecognized tax benefits, litigation matters, cash dividend program, dividend rights with respect to the Preferred Shares, global minimum tax, foreign exchange contracts and indemnifications.</w:t>
      </w:r>
    </w:p>
    <w:tbl>
      <w:tblPr>
        <w:tblLayout w:type="fixed"/>
        <w:tblInd w:w="0" w:type="dxa"/>
        <w:tblCellMar>
          <w:top w:w="0" w:type="dxa"/>
          <w:left w:w="0" w:type="dxa"/>
          <w:bottom w:w="0" w:type="dxa"/>
          <w:right w:w="0" w:type="dxa"/>
        </w:tblCellMar>
      </w:tblPr>
      <w:tr>
        <w:trPr>
          <w:trHeight w:val="150"/>
        </w:trPr>
        <w:tc>
          <w:tcPr>
            <w:tcW w:w="15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ind w:left="40"/>
              <w:spacing w:after="0" w:line="150" w:lineRule="exact"/>
              <w:rPr>
                <w:sz w:val="20"/>
                <w:szCs w:val="20"/>
                <w:color w:val="auto"/>
              </w:rPr>
            </w:pPr>
            <w:r>
              <w:rPr>
                <w:rFonts w:ascii="Times New Roman" w:cs="Times New Roman" w:eastAsia="Times New Roman" w:hAnsi="Times New Roman"/>
                <w:sz w:val="14"/>
                <w:szCs w:val="14"/>
                <w:b w:val="1"/>
                <w:bCs w:val="1"/>
                <w:color w:val="auto"/>
              </w:rPr>
              <w:t>1 Year (Remaining</w:t>
            </w:r>
          </w:p>
        </w:tc>
        <w:tc>
          <w:tcPr>
            <w:tcW w:w="1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2-3 Years (2027-</w:t>
            </w:r>
          </w:p>
        </w:tc>
        <w:tc>
          <w:tcPr>
            <w:tcW w:w="1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4-5 Years (2029-</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Nine Months of</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(Beyond 2030)</w:t>
            </w: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2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Long-term debt, including current portion</w:t>
            </w:r>
            <w:r>
              <w:rPr>
                <w:rFonts w:ascii="Times New Roman" w:cs="Times New Roman" w:eastAsia="Times New Roman" w:hAnsi="Times New Roman"/>
                <w:sz w:val="21"/>
                <w:szCs w:val="21"/>
                <w:color w:val="auto"/>
                <w:vertAlign w:val="superscript"/>
              </w:rPr>
              <w:t>(1)</w:t>
            </w: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4,717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on debt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48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5,381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5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-950595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-950595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-950595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-950595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3"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portion of debt, excluding issuance costs.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Liability for Unrecognized Tax Benefits</w:t>
      </w:r>
    </w:p>
    <w:p>
      <w:pPr>
        <w:spacing w:after="0" w:line="25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of October 3, 2025, the liability for unrecognized tax benefits (excluding accrued interest and penalties) was $598 million.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October 3, 2025 was $93 million. Of these amounts, approximately $130 million could result in potential cash payments to be made within the next twelve months.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52"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litigation matters, see Part I, Item 1, Note 14,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Dividend Program</w:t>
      </w:r>
    </w:p>
    <w:p>
      <w:pPr>
        <w:spacing w:after="0" w:line="2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29, 2025, our Board of Directors authorized the adoption of a cash dividend program. Under the cash dividend program, holders of our common stock will receive dividends when and as declared by our Board of Directors. During the three months ended October 3, 2025, we paid cash dividends of $0.10 per share of our outstanding common stock, totaling $34 million, plus $1 million paid to holders of our Preferred Shares in accordance with their participation rights.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Subsequent to quarter-end, on October 29, 2025, our Board of Directors declared a cash dividend of $0.125 per share of our common stock, which will be paid on December 18, 2025 to our shareholders of record as of the close of business on December 4, 2025.</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modify, suspend, or cancel our cash dividend program in any manner and at any time. The amount of future dividends under our cash dividend program, and the declaration and payment thereof, will be based upon all relevant factors, including our financial position, results of operations, cash flows, capital requirements and restrictions under our Loan Agreement and other financing agreements, and shall be in compliance with applicable law.</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54"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 xml:space="preserve">As of October 3, 2025, 235,000 shares of our Preferred Shares remained outstanding. These shares are entitled to cumulative preferred dividends and will also participate in any dividends declared for common shareholders on an as-converted equivalent basis. See Part II, Item 8, Note 12,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Convertible Preferred Stock, </w:t>
      </w:r>
      <w:r>
        <w:rPr>
          <w:rFonts w:ascii="Times New Roman" w:cs="Times New Roman" w:eastAsia="Times New Roman" w:hAnsi="Times New Roman"/>
          <w:sz w:val="18"/>
          <w:szCs w:val="18"/>
          <w:color w:val="auto"/>
        </w:rPr>
        <w:t>of the Notes to Consolidated Financial Statements in our 2025 Annual Report on Form 10-K and Part I, Item 1, Note 12,</w:t>
      </w:r>
      <w:r>
        <w:rPr>
          <w:rFonts w:ascii="Times New Roman" w:cs="Times New Roman" w:eastAsia="Times New Roman" w:hAnsi="Times New Roman"/>
          <w:sz w:val="18"/>
          <w:szCs w:val="18"/>
          <w:i w:val="1"/>
          <w:iCs w:val="1"/>
          <w:color w:val="auto"/>
        </w:rPr>
        <w:t xml:space="preserve"> Shareholders’ Equity and Convertible Preferred Stock</w:t>
      </w:r>
      <w:r>
        <w:rPr>
          <w:rFonts w:ascii="Times New Roman" w:cs="Times New Roman" w:eastAsia="Times New Roman" w:hAnsi="Times New Roman"/>
          <w:sz w:val="18"/>
          <w:szCs w:val="18"/>
          <w:color w:val="auto"/>
        </w:rPr>
        <w:t>, of the Notes to Condensed Consolidated Financial Statements included in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 for more information regarding the dividend provisions.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As described in Part I, Item 1,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this Quarterly Report on Form 10-Q, the Company issued $1.60 billion aggregate principal amount of convertible senior notes in November 2023, which bear interest at an annual rate of 3.00% and mature on November 15, 2028 (the “2028 Convertible Notes”). The 2028 Convertible Notes are convertible at the option of any holder beginning August 15, 2028 at a conversion price of approximately $37.77 per share of common stock (as adjusted in accordance with the indenture as a result of the Separation and the payment of dividends on the Company’s common stock). Prior to August 15, 2028, if the trading price of our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August 15, 2028 upon the occurrence of certain corporate events. Upon any conversion of the 2028 Convertible Notes, we will pay cash for the aggregate principal amount of the notes to be converted and pay or deliver, as the case may be, cash, shares of our common stock or a combination thereof, at our election, in respect of the remainder, if any, of our conversion obligation in excess of the aggregate principal amount of the notes being converted. On or after November 15, 2026, we may redeem for cash, at par plus accrued interest, all or any portion of the 2028 Convertible Notes, at our option, if the last reported sale price of our common stock has been at least 130% of the conversion price then in effect for at least 10 trading days during any 20 consecutive trading day period immediately preceding the date of our redemption notice.</w:t>
      </w:r>
    </w:p>
    <w:p>
      <w:pPr>
        <w:spacing w:after="0" w:line="21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sale price conditional conversion feature of the 2028 Convertible Notes was triggered during the calendar quarter ended September 30, 2025 and, accordingly, the holders of the 2028 Convertible Notes have the right to convert the notes during the succeeding calendar quarter ending December 31, 2025. As a result, the 2028 Convertible Notes have been classified as Current portion of long-term debt in the Condensed Consolidated Financial Statements as of October 3, 2025. The Company will continue to evaluate the conversion feature quarterly to determine if the 2028 Convertible Notes become convertible in future periods.</w:t>
      </w:r>
    </w:p>
    <w:p>
      <w:pPr>
        <w:spacing w:after="0" w:line="21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In addition to our outstanding debt, as of October 3, 2025, we had $1.25 billion available for borrowing under our revolving credit facility maturing in January 2027 (the “2027 Revolving Credit Facility”), subject to customary conditions under the Loan Agreement. The agreements governing our credit facilities each include limits on secured indebtedness and certain types of unsecured subsidiary indebtedness and require us and certain of our subsidiaries to provide guarantees and collateral to the extent the conditions providing for such guarantees and collateral are met. The Loan Agreement requires us to comply with a financial leverage ratio covenant. As of October 3, 2025, we were in compliance with the financial covenant. Additional information regarding our indebtedness, including information about availability under our 2027 Revolving Credit Facility and the principal repayment terms, interest rates, covenants, collateral and other key terms of our outstanding indebtedness, is included in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Consolidated Financial Statements included in our 2025 Annual Report on Form 10-K and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Part I, Item 1 of this Quarterly Report on Form 10-Q.</w:t>
      </w:r>
    </w:p>
    <w:p>
      <w:pPr>
        <w:spacing w:after="0" w:line="2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issue additional debt securities in the future that may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spacing w:after="0" w:line="2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following tables include summarized financial information for the Obligor Group. The financial information for the Obligor Group is presented on combined basis, excluding intercompany balances and transactions between the Company and the Guarantor, excluding net intercompany balances between the Obligor Group and non-guarantor subsidiaries, and excluding investments in and equity in the earnings of non-guarantor subsidiaries. The Obligor Group’s amounts due from, amounts due to, and transactions with non-guarantor subsidiaries have been presented in separate line items in the tables below.</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assets and liabilities of the Obligor Group include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440" w:type="dxa"/>
            <w:vAlign w:val="bottom"/>
          </w:tcPr>
          <w:p>
            <w:pPr>
              <w:spacing w:after="0"/>
              <w:rPr>
                <w:sz w:val="13"/>
                <w:szCs w:val="13"/>
                <w:color w:val="auto"/>
              </w:rPr>
            </w:pPr>
          </w:p>
        </w:tc>
        <w:tc>
          <w:tcPr>
            <w:tcW w:w="104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16"/>
                <w:szCs w:val="16"/>
                <w:color w:val="auto"/>
              </w:rPr>
            </w:pP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562"/>
              <w:spacing w:after="0"/>
              <w:rPr>
                <w:sz w:val="20"/>
                <w:szCs w:val="20"/>
                <w:color w:val="auto"/>
              </w:rPr>
            </w:pPr>
            <w:r>
              <w:rPr>
                <w:rFonts w:ascii="Times New Roman" w:cs="Times New Roman" w:eastAsia="Times New Roman" w:hAnsi="Times New Roman"/>
                <w:sz w:val="16"/>
                <w:szCs w:val="16"/>
                <w:color w:val="auto"/>
                <w:w w:val="99"/>
              </w:rPr>
              <w:t>3,115</w:t>
            </w:r>
          </w:p>
        </w:tc>
        <w:tc>
          <w:tcPr>
            <w:tcW w:w="4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rPr>
              <w:t>2,992</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40" w:type="dxa"/>
            <w:vAlign w:val="bottom"/>
          </w:tcPr>
          <w:p>
            <w:pPr>
              <w:spacing w:after="0"/>
              <w:rPr>
                <w:sz w:val="18"/>
                <w:szCs w:val="18"/>
                <w:color w:val="auto"/>
              </w:rPr>
            </w:pPr>
          </w:p>
        </w:tc>
        <w:tc>
          <w:tcPr>
            <w:tcW w:w="1240" w:type="dxa"/>
            <w:vAlign w:val="bottom"/>
          </w:tcPr>
          <w:p>
            <w:pPr>
              <w:jc w:val="center"/>
              <w:ind w:left="562"/>
              <w:spacing w:after="0"/>
              <w:rPr>
                <w:sz w:val="20"/>
                <w:szCs w:val="20"/>
                <w:color w:val="auto"/>
              </w:rPr>
            </w:pPr>
            <w:r>
              <w:rPr>
                <w:rFonts w:ascii="Times New Roman" w:cs="Times New Roman" w:eastAsia="Times New Roman" w:hAnsi="Times New Roman"/>
                <w:sz w:val="16"/>
                <w:szCs w:val="16"/>
                <w:color w:val="auto"/>
                <w:w w:val="99"/>
              </w:rPr>
              <w:t>4,502</w:t>
            </w:r>
          </w:p>
        </w:tc>
        <w:tc>
          <w:tcPr>
            <w:tcW w:w="440" w:type="dxa"/>
            <w:vAlign w:val="bottom"/>
          </w:tcPr>
          <w:p>
            <w:pPr>
              <w:spacing w:after="0"/>
              <w:rPr>
                <w:sz w:val="18"/>
                <w:szCs w:val="18"/>
                <w:color w:val="auto"/>
              </w:rPr>
            </w:pPr>
          </w:p>
        </w:tc>
        <w:tc>
          <w:tcPr>
            <w:tcW w:w="104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rPr>
              <w:t>4,553</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intercompany payables to non-guarantor subsidiaries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42"/>
              <w:spacing w:after="0"/>
              <w:rPr>
                <w:sz w:val="20"/>
                <w:szCs w:val="20"/>
                <w:color w:val="auto"/>
              </w:rPr>
            </w:pPr>
            <w:r>
              <w:rPr>
                <w:rFonts w:ascii="Times New Roman" w:cs="Times New Roman" w:eastAsia="Times New Roman" w:hAnsi="Times New Roman"/>
                <w:sz w:val="16"/>
                <w:szCs w:val="16"/>
                <w:color w:val="auto"/>
                <w:w w:val="98"/>
              </w:rPr>
              <w:t>(1,679)</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rPr>
              <w:t>(1,543)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40" w:type="dxa"/>
            <w:vAlign w:val="bottom"/>
          </w:tcPr>
          <w:p>
            <w:pPr>
              <w:jc w:val="center"/>
              <w:ind w:left="562"/>
              <w:spacing w:after="0"/>
              <w:rPr>
                <w:sz w:val="20"/>
                <w:szCs w:val="20"/>
                <w:color w:val="auto"/>
              </w:rPr>
            </w:pPr>
            <w:r>
              <w:rPr>
                <w:rFonts w:ascii="Times New Roman" w:cs="Times New Roman" w:eastAsia="Times New Roman" w:hAnsi="Times New Roman"/>
                <w:sz w:val="16"/>
                <w:szCs w:val="16"/>
                <w:color w:val="auto"/>
                <w:w w:val="99"/>
              </w:rPr>
              <w:t>3,317</w:t>
            </w:r>
          </w:p>
        </w:tc>
        <w:tc>
          <w:tcPr>
            <w:tcW w:w="440" w:type="dxa"/>
            <w:vAlign w:val="bottom"/>
          </w:tcPr>
          <w:p>
            <w:pPr>
              <w:spacing w:after="0"/>
              <w:rPr>
                <w:sz w:val="18"/>
                <w:szCs w:val="18"/>
                <w:color w:val="auto"/>
              </w:rPr>
            </w:pPr>
          </w:p>
        </w:tc>
        <w:tc>
          <w:tcPr>
            <w:tcW w:w="104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rPr>
              <w:t>3,800</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62"/>
              <w:spacing w:after="0"/>
              <w:rPr>
                <w:sz w:val="20"/>
                <w:szCs w:val="20"/>
                <w:color w:val="auto"/>
              </w:rPr>
            </w:pPr>
            <w:r>
              <w:rPr>
                <w:rFonts w:ascii="Times New Roman" w:cs="Times New Roman" w:eastAsia="Times New Roman" w:hAnsi="Times New Roman"/>
                <w:sz w:val="16"/>
                <w:szCs w:val="16"/>
                <w:color w:val="auto"/>
                <w:w w:val="99"/>
              </w:rPr>
              <w:t>2,848</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rPr>
              <w:t>2,873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-822325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Obligor Group include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100" w:type="dxa"/>
            <w:vAlign w:val="bottom"/>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8"/>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83"/>
              <w:spacing w:after="0" w:line="15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400" w:type="dxa"/>
            <w:vAlign w:val="bottom"/>
          </w:tcPr>
          <w:p>
            <w:pPr>
              <w:spacing w:after="0"/>
              <w:rPr>
                <w:sz w:val="13"/>
                <w:szCs w:val="13"/>
                <w:color w:val="auto"/>
              </w:rPr>
            </w:pPr>
          </w:p>
        </w:tc>
        <w:tc>
          <w:tcPr>
            <w:tcW w:w="1100" w:type="dxa"/>
            <w:vAlign w:val="bottom"/>
          </w:tcPr>
          <w:p>
            <w:pPr>
              <w:jc w:val="center"/>
              <w:ind w:right="263"/>
              <w:spacing w:after="0" w:line="159" w:lineRule="exact"/>
              <w:rPr>
                <w:sz w:val="20"/>
                <w:szCs w:val="20"/>
                <w:color w:val="auto"/>
              </w:rPr>
            </w:pPr>
            <w:r>
              <w:rPr>
                <w:rFonts w:ascii="Times New Roman" w:cs="Times New Roman" w:eastAsia="Times New Roman" w:hAnsi="Times New Roman"/>
                <w:sz w:val="14"/>
                <w:szCs w:val="14"/>
                <w:b w:val="1"/>
                <w:bCs w:val="1"/>
                <w:color w:val="auto"/>
              </w:rPr>
              <w:t>June 27,</w:t>
            </w:r>
          </w:p>
        </w:tc>
      </w:tr>
      <w:tr>
        <w:trPr>
          <w:trHeight w:val="196"/>
        </w:trPr>
        <w:tc>
          <w:tcPr>
            <w:tcW w:w="8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spacing w:after="0"/>
              <w:rPr>
                <w:sz w:val="17"/>
                <w:szCs w:val="17"/>
                <w:color w:val="auto"/>
              </w:rPr>
            </w:pP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1,158</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8"/>
                <w:szCs w:val="18"/>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459</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107</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18"/>
                <w:szCs w:val="18"/>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550</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-681355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Obligor Group include the following transactions with non-guarantor subsidiaries: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1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400" w:type="dxa"/>
            <w:vAlign w:val="bottom"/>
          </w:tcPr>
          <w:p>
            <w:pPr>
              <w:spacing w:after="0"/>
              <w:rPr>
                <w:sz w:val="13"/>
                <w:szCs w:val="13"/>
                <w:color w:val="auto"/>
              </w:rPr>
            </w:pPr>
          </w:p>
        </w:tc>
        <w:tc>
          <w:tcPr>
            <w:tcW w:w="11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June 27,</w:t>
            </w:r>
          </w:p>
        </w:tc>
      </w:tr>
      <w:tr>
        <w:trPr>
          <w:trHeight w:val="195"/>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5"/>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spacing w:after="0"/>
              <w:rPr>
                <w:sz w:val="16"/>
                <w:szCs w:val="16"/>
                <w:color w:val="auto"/>
              </w:rPr>
            </w:pP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1,715</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intercompany interest (income) expense</w:t>
            </w:r>
          </w:p>
        </w:tc>
        <w:tc>
          <w:tcPr>
            <w:tcW w:w="240" w:type="dxa"/>
            <w:vAlign w:val="bottom"/>
          </w:tcPr>
          <w:p>
            <w:pPr>
              <w:spacing w:after="0"/>
              <w:rPr>
                <w:sz w:val="18"/>
                <w:szCs w:val="18"/>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dividend income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-548005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Global Minimum Tax</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2025, we have accrued GMT taxes of $21 million that are not expected to be paid until the second quarter of 2028.</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1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Please refer to Part II, Item 7 of our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 discussion of our critical accounting policies and estimates.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market risk exposure during the three months ended October 3, 2025 from those disclosed in Part II, Item 7A, </w:t>
      </w:r>
      <w:r>
        <w:rPr>
          <w:rFonts w:ascii="Times New Roman" w:cs="Times New Roman" w:eastAsia="Times New Roman" w:hAnsi="Times New Roman"/>
          <w:sz w:val="18"/>
          <w:szCs w:val="18"/>
          <w:i w:val="1"/>
          <w:iCs w:val="1"/>
          <w:color w:val="auto"/>
        </w:rPr>
        <w:t xml:space="preserve">Quantitative and Qualitative Disclosures About Market Risk </w:t>
      </w:r>
      <w:r>
        <w:rPr>
          <w:rFonts w:ascii="Times New Roman" w:cs="Times New Roman" w:eastAsia="Times New Roman" w:hAnsi="Times New Roman"/>
          <w:sz w:val="18"/>
          <w:szCs w:val="18"/>
          <w:color w:val="auto"/>
        </w:rPr>
        <w:t>in our 2025 Annual Report on Form 10-K.</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5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performed sensitivity analyses as of October 3, 2025,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October 3, 2025. The sensitivity analyses indicated that a hypothetical 10% adverse movement in foreign currency exchange rates relative to the U.S. dollar would result in a foreign exchange fair value loss of $70 million at October 3, 2025.</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have generally held a balance of fixed and variable rate debt. As of October 3, 2025, our variable rate debt outstanding consisted of our Term Loan A-3, which is based on various index rates as discussed further in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included in our 2025 Annual Report on Form 10-K. As of October 3, 2025, the outstanding balance on our variable rate debt was $1.62 billion and a one percent increase in the variable rate of interest would increase our annual interest expense by $16 million.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October 3, 2025,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4"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color w:val="auto"/>
        </w:rPr>
        <w:t xml:space="preserve">See Note 14,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 for disclosures regarding certain legal proceedings, which are incorporated by reference herein.</w:t>
      </w: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described under the heading “Risk Factors” in Part I, Item 1A of our 2025 Annual Report on Form 10-K a number of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Part I, Item 1A of our 2025 Annual Report on Form 10-K.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The following table provides information about repurchases by us of shares of our common stock during the quarter ended </w:t>
      </w:r>
      <w:r>
        <w:rPr>
          <w:rFonts w:ascii="Times New Roman" w:cs="Times New Roman" w:eastAsia="Times New Roman" w:hAnsi="Times New Roman"/>
          <w:sz w:val="18"/>
          <w:szCs w:val="18"/>
          <w:color w:val="000000"/>
        </w:rPr>
        <w:t>October 3,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average price paid per share)</w:t>
            </w: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9"/>
                <w:szCs w:val="9"/>
                <w:b w:val="1"/>
                <w:bCs w:val="1"/>
                <w:color w:val="auto"/>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43"/>
              <w:spacing w:after="0" w:line="202" w:lineRule="exact"/>
              <w:rPr>
                <w:sz w:val="20"/>
                <w:szCs w:val="20"/>
                <w:color w:val="auto"/>
              </w:rPr>
            </w:pPr>
            <w:r>
              <w:rPr>
                <w:rFonts w:ascii="Times New Roman" w:cs="Times New Roman" w:eastAsia="Times New Roman" w:hAnsi="Times New Roman"/>
                <w:sz w:val="14"/>
                <w:szCs w:val="14"/>
                <w:b w:val="1"/>
                <w:bCs w:val="1"/>
                <w:color w:val="auto"/>
                <w:w w:val="97"/>
              </w:rPr>
              <w:t>the Program</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28, 2025 - July 25,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64.15</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26, 2025 - Aug. 29,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 30, 2025 - Oct. 3,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0" w:type="dxa"/>
            <w:vAlign w:val="bottom"/>
          </w:tcPr>
          <w:p>
            <w:pPr>
              <w:spacing w:after="0"/>
              <w:rPr>
                <w:sz w:val="1"/>
                <w:szCs w:val="1"/>
                <w:color w:val="auto"/>
              </w:rPr>
            </w:pPr>
          </w:p>
        </w:tc>
      </w:tr>
      <w:tr>
        <w:trPr>
          <w:trHeight w:val="20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for the quarter ended Oct. 3, 2025</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86.14</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22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commissions.</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36" w:lineRule="auto"/>
        <w:tabs>
          <w:tab w:leader="none" w:pos="332"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May 9, 2025, our Board of Directors authorized a share repurchase program for the repurchase of up to $2.0 billion of our common stock. There is no expiration date for the share repurchase program. Repurchases under the share repurchase program may be made in the open market or in privately negotiated transactions and may be made under a Rule 10b5-1 plan. We expect share repurchases to be funded principally by operating cash flows. The amount and timing of share repurchases will depend on market conditions and other corporate considerations. We may suspend or discontinue the share repurchase program at any time.</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quarter ended October 3, 2025, the following director adopted a trading arrangement for the purchase or sale of securities of Western Digital that is intended to satisfy the affirmative defense conditions of Rule 10b5-1(c) of the Exchange Act (“Rule 10b5-1 Plan”):</w:t>
      </w:r>
    </w:p>
    <w:p>
      <w:pPr>
        <w:spacing w:after="0" w:line="189" w:lineRule="exact"/>
        <w:rPr>
          <w:sz w:val="20"/>
          <w:szCs w:val="20"/>
          <w:color w:val="auto"/>
        </w:rPr>
      </w:pPr>
    </w:p>
    <w:p>
      <w:pPr>
        <w:ind w:left="660" w:right="1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I. Cole, a director of the Company, adopted a Rule 10b5-1 Plan on August 1, 2025. Under this plan, up to an aggregate of 22,000 shares of the Company’s common stock may be sold before the plan expires on October 30, 2026.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exhibits listed in the Exhibit Index below are filed or furnished with, or incorporated by reference in, this Quarterly Report on Form 10-Q, as specified in the Exhibit List.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197"/>
        </w:trPr>
        <w:tc>
          <w:tcPr>
            <w:tcW w:w="12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Exhibit</w:t>
            </w:r>
          </w:p>
        </w:tc>
        <w:tc>
          <w:tcPr>
            <w:tcW w:w="10000" w:type="dxa"/>
            <w:vAlign w:val="bottom"/>
            <w:vMerge w:val="restart"/>
          </w:tcPr>
          <w:p>
            <w:pPr>
              <w:ind w:left="4620"/>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Number</w:t>
            </w:r>
          </w:p>
        </w:tc>
        <w:tc>
          <w:tcPr>
            <w:tcW w:w="10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60" w:type="dxa"/>
            <w:vAlign w:val="bottom"/>
            <w:tcBorders>
              <w:top w:val="single" w:sz="8" w:color="auto"/>
            </w:tcBorders>
            <w:gridSpan w:val="3"/>
            <w:shd w:val="clear" w:color="auto" w:fill="CCEEFF"/>
          </w:tcPr>
          <w:p>
            <w:pPr>
              <w:jc w:val="center"/>
              <w:ind w:left="379"/>
              <w:spacing w:after="0" w:line="172" w:lineRule="exact"/>
              <w:rPr>
                <w:rFonts w:ascii="Times New Roman" w:cs="Times New Roman" w:eastAsia="Times New Roman" w:hAnsi="Times New Roman"/>
                <w:sz w:val="16"/>
                <w:szCs w:val="16"/>
                <w:color w:val="0000FF"/>
                <w:w w:val="99"/>
              </w:rPr>
            </w:pPr>
            <w:hyperlink r:id="rId109">
              <w:r>
                <w:rPr>
                  <w:rFonts w:ascii="Times New Roman" w:cs="Times New Roman" w:eastAsia="Times New Roman" w:hAnsi="Times New Roman"/>
                  <w:sz w:val="16"/>
                  <w:szCs w:val="16"/>
                  <w:color w:val="0000FF"/>
                  <w:w w:val="99"/>
                </w:rPr>
                <w:t>2.</w:t>
              </w:r>
              <w:r>
                <w:rPr>
                  <w:rFonts w:ascii="Times New Roman" w:cs="Times New Roman" w:eastAsia="Times New Roman" w:hAnsi="Times New Roman"/>
                  <w:sz w:val="16"/>
                  <w:szCs w:val="16"/>
                  <w:u w:val="single" w:color="auto"/>
                  <w:color w:val="0000FF"/>
                  <w:w w:val="9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Separation and Distribution Agreement, dated as of February 21, 2025, by and between Western Digital Corporation and Sandisk Corporation</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(incorporated by reference to Exhibit 2.1 of the Current Report on Form 8-K filed by the Company on February 24, 2025)#</w:t>
            </w:r>
          </w:p>
        </w:tc>
        <w:tc>
          <w:tcPr>
            <w:tcW w:w="0" w:type="dxa"/>
            <w:vAlign w:val="bottom"/>
          </w:tcPr>
          <w:p>
            <w:pPr>
              <w:spacing w:after="0"/>
              <w:rPr>
                <w:sz w:val="1"/>
                <w:szCs w:val="1"/>
                <w:color w:val="auto"/>
              </w:rPr>
            </w:pPr>
          </w:p>
        </w:tc>
      </w:tr>
      <w:tr>
        <w:trPr>
          <w:trHeight w:val="175"/>
        </w:trPr>
        <w:tc>
          <w:tcPr>
            <w:tcW w:w="660" w:type="dxa"/>
            <w:vAlign w:val="bottom"/>
            <w:gridSpan w:val="3"/>
          </w:tcPr>
          <w:p>
            <w:pPr>
              <w:jc w:val="center"/>
              <w:ind w:left="379"/>
              <w:spacing w:after="0" w:line="175" w:lineRule="exact"/>
              <w:rPr>
                <w:rFonts w:ascii="Times New Roman" w:cs="Times New Roman" w:eastAsia="Times New Roman" w:hAnsi="Times New Roman"/>
                <w:sz w:val="16"/>
                <w:szCs w:val="16"/>
                <w:color w:val="0000FF"/>
                <w:w w:val="99"/>
              </w:rPr>
            </w:pPr>
            <w:hyperlink r:id="rId110">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Amended and Restated Certificate of Incorporation of Western Digital Corporation, as amended to date (incorporated by reference to Exhibit 3.1 to the</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Annual Report on Form 10-K filed by the Company on August 20, 2024)</w:t>
            </w:r>
          </w:p>
        </w:tc>
        <w:tc>
          <w:tcPr>
            <w:tcW w:w="0" w:type="dxa"/>
            <w:vAlign w:val="bottom"/>
          </w:tcPr>
          <w:p>
            <w:pPr>
              <w:spacing w:after="0"/>
              <w:rPr>
                <w:sz w:val="1"/>
                <w:szCs w:val="1"/>
                <w:color w:val="auto"/>
              </w:rPr>
            </w:pPr>
          </w:p>
        </w:tc>
      </w:tr>
      <w:tr>
        <w:trPr>
          <w:trHeight w:val="176"/>
        </w:trPr>
        <w:tc>
          <w:tcPr>
            <w:tcW w:w="660" w:type="dxa"/>
            <w:vAlign w:val="bottom"/>
            <w:gridSpan w:val="3"/>
            <w:shd w:val="clear" w:color="auto" w:fill="CCEEFF"/>
          </w:tcPr>
          <w:p>
            <w:pPr>
              <w:jc w:val="center"/>
              <w:ind w:left="379"/>
              <w:spacing w:after="0" w:line="175" w:lineRule="exact"/>
              <w:rPr>
                <w:rFonts w:ascii="Times New Roman" w:cs="Times New Roman" w:eastAsia="Times New Roman" w:hAnsi="Times New Roman"/>
                <w:sz w:val="16"/>
                <w:szCs w:val="16"/>
                <w:color w:val="0000FF"/>
                <w:w w:val="99"/>
              </w:rPr>
            </w:pPr>
            <w:hyperlink r:id="rId11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Certificate of Designations, Preferences and Rights of Series A Convertible Perpetual Preferred Stock (incorporated by reference to Exhibit 3.1 to the</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Current Report on Form 8-K filed by the Company on February 1, 2023)</w:t>
            </w:r>
          </w:p>
        </w:tc>
        <w:tc>
          <w:tcPr>
            <w:tcW w:w="0" w:type="dxa"/>
            <w:vAlign w:val="bottom"/>
          </w:tcPr>
          <w:p>
            <w:pPr>
              <w:spacing w:after="0"/>
              <w:rPr>
                <w:sz w:val="1"/>
                <w:szCs w:val="1"/>
                <w:color w:val="auto"/>
              </w:rPr>
            </w:pPr>
          </w:p>
        </w:tc>
      </w:tr>
      <w:tr>
        <w:trPr>
          <w:trHeight w:val="175"/>
        </w:trPr>
        <w:tc>
          <w:tcPr>
            <w:tcW w:w="660" w:type="dxa"/>
            <w:vAlign w:val="bottom"/>
            <w:gridSpan w:val="3"/>
          </w:tcPr>
          <w:p>
            <w:pPr>
              <w:jc w:val="center"/>
              <w:ind w:left="379"/>
              <w:spacing w:after="0" w:line="175" w:lineRule="exact"/>
              <w:rPr>
                <w:rFonts w:ascii="Times New Roman" w:cs="Times New Roman" w:eastAsia="Times New Roman" w:hAnsi="Times New Roman"/>
                <w:sz w:val="16"/>
                <w:szCs w:val="16"/>
                <w:color w:val="0000FF"/>
                <w:w w:val="99"/>
              </w:rPr>
            </w:pPr>
            <w:hyperlink r:id="rId11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3</w:t>
              </w:r>
            </w:hyperlink>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Amended and Restated Bylaws of Western Digital Corporation, as amended effective as of March 13, 2025 (incorporated by reference to Exhibit 3.1 to</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the Current Report on Form 8-K filed by the Company on March 13, 2025)</w:t>
            </w:r>
          </w:p>
        </w:tc>
        <w:tc>
          <w:tcPr>
            <w:tcW w:w="0" w:type="dxa"/>
            <w:vAlign w:val="bottom"/>
          </w:tcPr>
          <w:p>
            <w:pPr>
              <w:spacing w:after="0"/>
              <w:rPr>
                <w:sz w:val="1"/>
                <w:szCs w:val="1"/>
                <w:color w:val="auto"/>
              </w:rPr>
            </w:pPr>
          </w:p>
        </w:tc>
      </w:tr>
      <w:tr>
        <w:trPr>
          <w:trHeight w:val="176"/>
        </w:trPr>
        <w:tc>
          <w:tcPr>
            <w:tcW w:w="4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Form of Grant Notice for Performance Stock Unit Award under the Western Digital Corporation 2021 Long-Term Incentive Plan†**</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tcPr>
          <w:p>
            <w:pPr>
              <w:spacing w:after="0"/>
              <w:rPr>
                <w:sz w:val="15"/>
                <w:szCs w:val="15"/>
                <w:color w:val="auto"/>
              </w:rPr>
            </w:pPr>
          </w:p>
        </w:tc>
        <w:tc>
          <w:tcPr>
            <w:tcW w:w="700" w:type="dxa"/>
            <w:vAlign w:val="bottom"/>
            <w:gridSpan w:val="4"/>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Western Digital Corporation Amended and Restated 2021 Long-Term Incentive Plan Non-Employee Director Restricted Stock Unit Grant Program,</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amended and restated as of August 27, 2025†**</w:t>
            </w:r>
          </w:p>
        </w:tc>
        <w:tc>
          <w:tcPr>
            <w:tcW w:w="0" w:type="dxa"/>
            <w:vAlign w:val="bottom"/>
          </w:tcPr>
          <w:p>
            <w:pPr>
              <w:spacing w:after="0"/>
              <w:rPr>
                <w:sz w:val="1"/>
                <w:szCs w:val="1"/>
                <w:color w:val="auto"/>
              </w:rPr>
            </w:pPr>
          </w:p>
        </w:tc>
      </w:tr>
      <w:tr>
        <w:trPr>
          <w:trHeight w:val="176"/>
        </w:trPr>
        <w:tc>
          <w:tcPr>
            <w:tcW w:w="4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00" w:type="dxa"/>
            <w:vAlign w:val="bottom"/>
            <w:gridSpan w:val="4"/>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tcPr>
          <w:p>
            <w:pPr>
              <w:spacing w:after="0"/>
              <w:rPr>
                <w:sz w:val="15"/>
                <w:szCs w:val="15"/>
                <w:color w:val="auto"/>
              </w:rPr>
            </w:pPr>
          </w:p>
        </w:tc>
        <w:tc>
          <w:tcPr>
            <w:tcW w:w="700" w:type="dxa"/>
            <w:vAlign w:val="bottom"/>
            <w:gridSpan w:val="4"/>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2</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40" w:type="dxa"/>
            <w:vAlign w:val="bottom"/>
            <w:gridSpan w:val="6"/>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10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document.</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101.SCH</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101.LAB</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0"/>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101.DEF</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260" w:hanging="813"/>
        <w:spacing w:after="0"/>
        <w:tabs>
          <w:tab w:leader="none" w:pos="126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formatted in Inline XBRL and contained in Exhibit 101</w:t>
      </w:r>
    </w:p>
    <w:p>
      <w:pPr>
        <w:spacing w:after="0" w:line="329" w:lineRule="exact"/>
        <w:rPr>
          <w:rFonts w:ascii="Times New Roman" w:cs="Times New Roman" w:eastAsia="Times New Roman" w:hAnsi="Times New Roman"/>
          <w:sz w:val="16"/>
          <w:szCs w:val="16"/>
          <w:color w:val="auto"/>
        </w:rPr>
      </w:pPr>
    </w:p>
    <w:p>
      <w:pPr>
        <w:ind w:left="140" w:hanging="132"/>
        <w:spacing w:after="0"/>
        <w:tabs>
          <w:tab w:leader="none" w:pos="1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9683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Furnished with this report.</w:t>
      </w:r>
    </w:p>
    <w:p>
      <w:pPr>
        <w:spacing w:after="0" w:line="73"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 required to be filed as an exhibit pursuant to applicable rules of the Securities and Exchange Commission.</w:t>
      </w:r>
    </w:p>
    <w:p>
      <w:pPr>
        <w:spacing w:after="0" w:line="26" w:lineRule="exact"/>
        <w:rPr>
          <w:rFonts w:ascii="Times New Roman" w:cs="Times New Roman" w:eastAsia="Times New Roman" w:hAnsi="Times New Roman"/>
          <w:sz w:val="16"/>
          <w:szCs w:val="16"/>
          <w:color w:val="auto"/>
        </w:rPr>
      </w:pPr>
    </w:p>
    <w:p>
      <w:pPr>
        <w:ind w:right="16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Schedules and exhibits have been omitted pursuant to Item 601(a)(5) of Regulation S-K. The Registrant agrees to furnish supplementally a copy of any omitted schedule or exhibit to the U.S.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WESTERN DIGITAL CORPORATION</w:t>
      </w:r>
    </w:p>
    <w:p>
      <w:pPr>
        <w:spacing w:after="0" w:line="194" w:lineRule="exact"/>
        <w:rPr>
          <w:sz w:val="20"/>
          <w:szCs w:val="20"/>
          <w:color w:val="auto"/>
        </w:rPr>
      </w:pPr>
    </w:p>
    <w:p>
      <w:pPr>
        <w:ind w:left="6380"/>
        <w:spacing w:after="0"/>
        <w:tabs>
          <w:tab w:leader="none" w:pos="6820" w:val="left"/>
        </w:tabs>
        <w:rPr>
          <w:sz w:val="20"/>
          <w:szCs w:val="20"/>
          <w:color w:val="auto"/>
        </w:rPr>
      </w:pPr>
      <w:r>
        <w:rPr>
          <w:rFonts w:ascii="Times New Roman" w:cs="Times New Roman" w:eastAsia="Times New Roman" w:hAnsi="Times New Roman"/>
          <w:sz w:val="16"/>
          <w:szCs w:val="16"/>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20320</wp:posOffset>
            </wp:positionV>
            <wp:extent cx="27432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Gene Zamiska</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i w:val="1"/>
          <w:iCs w:val="1"/>
          <w:color w:val="auto"/>
        </w:rPr>
        <w:t>Senior Vice President, Global Accounting and Chief Accounting</w:t>
      </w:r>
    </w:p>
    <w:p>
      <w:pPr>
        <w:ind w:left="6840"/>
        <w:spacing w:after="0"/>
        <w:rPr>
          <w:sz w:val="20"/>
          <w:szCs w:val="20"/>
          <w:color w:val="auto"/>
        </w:rPr>
      </w:pPr>
      <w:r>
        <w:rPr>
          <w:rFonts w:ascii="Times New Roman" w:cs="Times New Roman" w:eastAsia="Times New Roman" w:hAnsi="Times New Roman"/>
          <w:sz w:val="16"/>
          <w:szCs w:val="16"/>
          <w:i w:val="1"/>
          <w:iCs w:val="1"/>
          <w:color w:val="auto"/>
        </w:rPr>
        <w:t>Officer</w:t>
      </w:r>
    </w:p>
    <w:p>
      <w:pPr>
        <w:spacing w:after="0" w:line="1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(Principal Accounting Officer and Duly Authorized Officer)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2025</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320" w:top="121" w:right="579" w:bottom="1440" w:gutter="0" w:footer="0" w:header="0"/>
        </w:sectPr>
      </w:pPr>
    </w:p>
    <w:bookmarkStart w:id="51" w:name="page52"/>
    <w:bookmarkEnd w:id="51"/>
    <w:p>
      <w:pPr>
        <w:ind w:left="103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ind w:left="4060"/>
        <w:spacing w:after="0" w:line="219" w:lineRule="auto"/>
        <w:rPr>
          <w:sz w:val="20"/>
          <w:szCs w:val="20"/>
          <w:color w:val="auto"/>
        </w:rPr>
      </w:pPr>
      <w:r>
        <w:rPr>
          <w:rFonts w:ascii="Times New Roman" w:cs="Times New Roman" w:eastAsia="Times New Roman" w:hAnsi="Times New Roman"/>
          <w:sz w:val="18"/>
          <w:szCs w:val="18"/>
          <w:b w:val="1"/>
          <w:bCs w:val="1"/>
          <w:color w:val="auto"/>
        </w:rPr>
        <w:t>2021 LONG-TERM INCENTIVE PLAN</w:t>
      </w:r>
    </w:p>
    <w:p>
      <w:pPr>
        <w:jc w:val="center"/>
        <w:ind w:right="20"/>
        <w:spacing w:after="0" w:line="203" w:lineRule="auto"/>
        <w:rPr>
          <w:sz w:val="20"/>
          <w:szCs w:val="20"/>
          <w:color w:val="auto"/>
        </w:rPr>
      </w:pPr>
      <w:r>
        <w:rPr>
          <w:rFonts w:ascii="Times New Roman" w:cs="Times New Roman" w:eastAsia="Times New Roman" w:hAnsi="Times New Roman"/>
          <w:sz w:val="18"/>
          <w:szCs w:val="18"/>
          <w:b w:val="1"/>
          <w:bCs w:val="1"/>
          <w:color w:val="auto"/>
        </w:rPr>
        <w:t>GRANT NOTICE FOR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PERFORMANCE STOCK UNIT AWARD</w:t>
      </w:r>
    </w:p>
    <w:p>
      <w:pPr>
        <w:spacing w:after="0" w:line="22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FOR GOOD AND VALUABLE CONSIDERATION, Western Digital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grants to the Participant named below the number of Performance Stock Units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listed below (this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under the Western Digital Corporation 2021 Long-Term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Each PSU represents the right to receive one share of Common Stock, subject to the terms and conditions in this Grant Notice, the Plan and the Standard Terms and Conditions (the “</w:t>
      </w:r>
      <w:r>
        <w:rPr>
          <w:rFonts w:ascii="Times New Roman" w:cs="Times New Roman" w:eastAsia="Times New Roman" w:hAnsi="Times New Roman"/>
          <w:sz w:val="18"/>
          <w:szCs w:val="18"/>
          <w:b w:val="1"/>
          <w:bCs w:val="1"/>
          <w:i w:val="1"/>
          <w:iCs w:val="1"/>
          <w:color w:val="auto"/>
        </w:rPr>
        <w:t>Standard Terms and Conditions</w:t>
      </w:r>
      <w:r>
        <w:rPr>
          <w:rFonts w:ascii="Times New Roman" w:cs="Times New Roman" w:eastAsia="Times New Roman" w:hAnsi="Times New Roman"/>
          <w:sz w:val="18"/>
          <w:szCs w:val="18"/>
          <w:color w:val="auto"/>
        </w:rPr>
        <w:t xml:space="preserve">”) of such Plan,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Capitalized terms not otherwise defined here shall have the meaning set forth in the Plan.</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26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Name of Participant:</w:t>
            </w:r>
          </w:p>
        </w:tc>
        <w:tc>
          <w:tcPr>
            <w:tcW w:w="1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20" w:type="dxa"/>
            <w:vAlign w:val="bottom"/>
            <w:tcBorders>
              <w:top w:val="single" w:sz="8" w:color="auto"/>
              <w:right w:val="single" w:sz="8" w:color="auto"/>
            </w:tcBorders>
          </w:tcPr>
          <w:p>
            <w:pPr>
              <w:spacing w:after="0"/>
              <w:rPr>
                <w:sz w:val="24"/>
                <w:szCs w:val="24"/>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20" w:type="dxa"/>
            <w:vAlign w:val="bottom"/>
            <w:tcBorders>
              <w:bottom w:val="single" w:sz="8" w:color="auto"/>
              <w:right w:val="single" w:sz="8" w:color="auto"/>
            </w:tcBorders>
          </w:tcPr>
          <w:p>
            <w:pPr>
              <w:spacing w:after="0"/>
              <w:rPr>
                <w:sz w:val="11"/>
                <w:szCs w:val="11"/>
                <w:color w:val="auto"/>
              </w:rPr>
            </w:pPr>
          </w:p>
        </w:tc>
      </w:tr>
      <w:tr>
        <w:trPr>
          <w:trHeight w:val="345"/>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Employee ID</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20" w:type="dxa"/>
            <w:vAlign w:val="bottom"/>
            <w:tcBorders>
              <w:right w:val="single" w:sz="8" w:color="auto"/>
            </w:tcBorders>
          </w:tcPr>
          <w:p>
            <w:pPr>
              <w:spacing w:after="0"/>
              <w:rPr>
                <w:sz w:val="24"/>
                <w:szCs w:val="24"/>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20" w:type="dxa"/>
            <w:vAlign w:val="bottom"/>
            <w:tcBorders>
              <w:bottom w:val="single" w:sz="8" w:color="auto"/>
              <w:right w:val="single" w:sz="8" w:color="auto"/>
            </w:tcBorders>
          </w:tcPr>
          <w:p>
            <w:pPr>
              <w:spacing w:after="0"/>
              <w:rPr>
                <w:sz w:val="11"/>
                <w:szCs w:val="11"/>
                <w:color w:val="auto"/>
              </w:rPr>
            </w:pPr>
          </w:p>
        </w:tc>
      </w:tr>
      <w:tr>
        <w:trPr>
          <w:trHeight w:val="345"/>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20" w:type="dxa"/>
            <w:vAlign w:val="bottom"/>
            <w:tcBorders>
              <w:right w:val="single" w:sz="8" w:color="auto"/>
            </w:tcBorders>
          </w:tcPr>
          <w:p>
            <w:pPr>
              <w:spacing w:after="0"/>
              <w:rPr>
                <w:sz w:val="24"/>
                <w:szCs w:val="24"/>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20" w:type="dxa"/>
            <w:vAlign w:val="bottom"/>
            <w:tcBorders>
              <w:bottom w:val="single" w:sz="8" w:color="auto"/>
              <w:right w:val="single" w:sz="8" w:color="auto"/>
            </w:tcBorders>
          </w:tcPr>
          <w:p>
            <w:pPr>
              <w:spacing w:after="0"/>
              <w:rPr>
                <w:sz w:val="11"/>
                <w:szCs w:val="11"/>
                <w:color w:val="auto"/>
              </w:rPr>
            </w:pPr>
          </w:p>
        </w:tc>
      </w:tr>
      <w:tr>
        <w:trPr>
          <w:trHeight w:val="344"/>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Grant Number</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20" w:type="dxa"/>
            <w:vAlign w:val="bottom"/>
            <w:tcBorders>
              <w:right w:val="single" w:sz="8" w:color="auto"/>
            </w:tcBorders>
          </w:tcPr>
          <w:p>
            <w:pPr>
              <w:spacing w:after="0"/>
              <w:rPr>
                <w:sz w:val="24"/>
                <w:szCs w:val="24"/>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20" w:type="dxa"/>
            <w:vAlign w:val="bottom"/>
            <w:tcBorders>
              <w:bottom w:val="single" w:sz="8" w:color="auto"/>
              <w:right w:val="single" w:sz="8" w:color="auto"/>
            </w:tcBorders>
          </w:tcPr>
          <w:p>
            <w:pPr>
              <w:spacing w:after="0"/>
              <w:rPr>
                <w:sz w:val="11"/>
                <w:szCs w:val="11"/>
                <w:color w:val="auto"/>
              </w:rPr>
            </w:pPr>
          </w:p>
        </w:tc>
      </w:tr>
      <w:tr>
        <w:trPr>
          <w:trHeight w:val="345"/>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Target Number of PSUs:</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20" w:type="dxa"/>
            <w:vAlign w:val="bottom"/>
            <w:tcBorders>
              <w:right w:val="single" w:sz="8" w:color="auto"/>
            </w:tcBorders>
          </w:tcPr>
          <w:p>
            <w:pPr>
              <w:spacing w:after="0"/>
              <w:rPr>
                <w:sz w:val="24"/>
                <w:szCs w:val="24"/>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20" w:type="dxa"/>
            <w:vAlign w:val="bottom"/>
            <w:tcBorders>
              <w:bottom w:val="single" w:sz="8" w:color="auto"/>
              <w:right w:val="single" w:sz="8" w:color="auto"/>
            </w:tcBorders>
          </w:tcPr>
          <w:p>
            <w:pPr>
              <w:spacing w:after="0"/>
              <w:rPr>
                <w:sz w:val="11"/>
                <w:szCs w:val="11"/>
                <w:color w:val="auto"/>
              </w:rPr>
            </w:pPr>
          </w:p>
        </w:tc>
      </w:tr>
      <w:tr>
        <w:trPr>
          <w:trHeight w:val="326"/>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Vesting Schedule:</w:t>
            </w:r>
          </w:p>
        </w:tc>
        <w:tc>
          <w:tcPr>
            <w:tcW w:w="85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vesting date of the PSUs is [ ] (the “</w:t>
            </w:r>
            <w:r>
              <w:rPr>
                <w:rFonts w:ascii="Times New Roman" w:cs="Times New Roman" w:eastAsia="Times New Roman" w:hAnsi="Times New Roman"/>
                <w:sz w:val="18"/>
                <w:szCs w:val="18"/>
                <w:b w:val="1"/>
                <w:bCs w:val="1"/>
                <w:i w:val="1"/>
                <w:iCs w:val="1"/>
                <w:color w:val="auto"/>
              </w:rPr>
              <w:t>Vesting Date</w:t>
            </w:r>
            <w:r>
              <w:rPr>
                <w:rFonts w:ascii="Times New Roman" w:cs="Times New Roman" w:eastAsia="Times New Roman" w:hAnsi="Times New Roman"/>
                <w:sz w:val="18"/>
                <w:szCs w:val="18"/>
                <w:color w:val="auto"/>
              </w:rPr>
              <w:t>”). Vesting shall be subject to Participant’s Continuous</w:t>
            </w:r>
          </w:p>
        </w:tc>
      </w:tr>
      <w:tr>
        <w:trPr>
          <w:trHeight w:val="216"/>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Service from the Grant Date through the Vesting Date, unless provided otherwise under Section 2 of the Standard</w:t>
            </w:r>
          </w:p>
        </w:tc>
      </w:tr>
      <w:tr>
        <w:trPr>
          <w:trHeight w:val="234"/>
        </w:trPr>
        <w:tc>
          <w:tcPr>
            <w:tcW w:w="2680" w:type="dxa"/>
            <w:vAlign w:val="bottom"/>
            <w:tcBorders>
              <w:left w:val="single" w:sz="8" w:color="auto"/>
              <w:right w:val="single" w:sz="8" w:color="auto"/>
            </w:tcBorders>
          </w:tcPr>
          <w:p>
            <w:pPr>
              <w:spacing w:after="0"/>
              <w:rPr>
                <w:sz w:val="20"/>
                <w:szCs w:val="20"/>
                <w:color w:val="auto"/>
              </w:rPr>
            </w:pPr>
          </w:p>
        </w:tc>
        <w:tc>
          <w:tcPr>
            <w:tcW w:w="85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Terms and Conditions.</w:t>
            </w: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20" w:type="dxa"/>
            <w:vAlign w:val="bottom"/>
            <w:tcBorders>
              <w:bottom w:val="single" w:sz="8" w:color="auto"/>
              <w:right w:val="single" w:sz="8" w:color="auto"/>
            </w:tcBorders>
          </w:tcPr>
          <w:p>
            <w:pPr>
              <w:spacing w:after="0"/>
              <w:rPr>
                <w:sz w:val="11"/>
                <w:szCs w:val="11"/>
                <w:color w:val="auto"/>
              </w:rPr>
            </w:pPr>
          </w:p>
        </w:tc>
      </w:tr>
      <w:tr>
        <w:trPr>
          <w:trHeight w:val="326"/>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Performance Period and</w:t>
            </w:r>
          </w:p>
        </w:tc>
        <w:tc>
          <w:tcPr>
            <w:tcW w:w="85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PSUs shall be eligible to vest based on performance during the three-year Performance Period, which spans</w:t>
            </w:r>
          </w:p>
        </w:tc>
      </w:tr>
      <w:tr>
        <w:trPr>
          <w:trHeight w:val="216"/>
        </w:trPr>
        <w:tc>
          <w:tcPr>
            <w:tcW w:w="26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Measurement Periods:</w:t>
            </w:r>
          </w:p>
        </w:tc>
        <w:tc>
          <w:tcPr>
            <w:tcW w:w="85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First, Second and Third Measurement Periods (the “Annual Measurement Periods”). The Performance Period</w:t>
            </w:r>
          </w:p>
        </w:tc>
      </w:tr>
      <w:tr>
        <w:trPr>
          <w:trHeight w:val="234"/>
        </w:trPr>
        <w:tc>
          <w:tcPr>
            <w:tcW w:w="2680" w:type="dxa"/>
            <w:vAlign w:val="bottom"/>
            <w:tcBorders>
              <w:left w:val="single" w:sz="8" w:color="auto"/>
              <w:right w:val="single" w:sz="8" w:color="auto"/>
            </w:tcBorders>
          </w:tcPr>
          <w:p>
            <w:pPr>
              <w:spacing w:after="0"/>
              <w:rPr>
                <w:sz w:val="20"/>
                <w:szCs w:val="20"/>
                <w:color w:val="auto"/>
              </w:rPr>
            </w:pPr>
          </w:p>
        </w:tc>
        <w:tc>
          <w:tcPr>
            <w:tcW w:w="85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begins on the first day of the First Measurement Period and ends on the last day of the Third Measurement Period.</w:t>
            </w:r>
          </w:p>
        </w:tc>
      </w:tr>
      <w:tr>
        <w:trPr>
          <w:trHeight w:val="256"/>
        </w:trPr>
        <w:tc>
          <w:tcPr>
            <w:tcW w:w="2680" w:type="dxa"/>
            <w:vAlign w:val="bottom"/>
            <w:tcBorders>
              <w:left w:val="single" w:sz="8" w:color="auto"/>
              <w:right w:val="single" w:sz="8" w:color="auto"/>
            </w:tcBorders>
          </w:tcPr>
          <w:p>
            <w:pPr>
              <w:spacing w:after="0"/>
              <w:rPr>
                <w:sz w:val="22"/>
                <w:szCs w:val="22"/>
                <w:color w:val="auto"/>
              </w:rPr>
            </w:pPr>
          </w:p>
        </w:tc>
        <w:tc>
          <w:tcPr>
            <w:tcW w:w="8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First Measurement Period begins [ ] and ends [ ].</w:t>
            </w:r>
          </w:p>
        </w:tc>
      </w:tr>
      <w:tr>
        <w:trPr>
          <w:trHeight w:val="184"/>
        </w:trPr>
        <w:tc>
          <w:tcPr>
            <w:tcW w:w="2680" w:type="dxa"/>
            <w:vAlign w:val="bottom"/>
            <w:tcBorders>
              <w:left w:val="single" w:sz="8" w:color="auto"/>
              <w:right w:val="single" w:sz="8" w:color="auto"/>
            </w:tcBorders>
          </w:tcPr>
          <w:p>
            <w:pPr>
              <w:spacing w:after="0"/>
              <w:rPr>
                <w:sz w:val="16"/>
                <w:szCs w:val="16"/>
                <w:color w:val="auto"/>
              </w:rPr>
            </w:pPr>
          </w:p>
        </w:tc>
        <w:tc>
          <w:tcPr>
            <w:tcW w:w="8580" w:type="dxa"/>
            <w:vAlign w:val="bottom"/>
            <w:tcBorders>
              <w:right w:val="single" w:sz="8" w:color="auto"/>
            </w:tcBorders>
            <w:gridSpan w:val="3"/>
          </w:tcPr>
          <w:p>
            <w:pPr>
              <w:spacing w:after="0" w:line="184" w:lineRule="exact"/>
              <w:rPr>
                <w:sz w:val="20"/>
                <w:szCs w:val="20"/>
                <w:color w:val="auto"/>
              </w:rPr>
            </w:pPr>
            <w:r>
              <w:rPr>
                <w:rFonts w:ascii="Times New Roman" w:cs="Times New Roman" w:eastAsia="Times New Roman" w:hAnsi="Times New Roman"/>
                <w:sz w:val="18"/>
                <w:szCs w:val="18"/>
                <w:color w:val="auto"/>
              </w:rPr>
              <w:t>•   Second Measurement Period begins [ ] and ends [ ].</w:t>
            </w:r>
          </w:p>
        </w:tc>
      </w:tr>
      <w:tr>
        <w:trPr>
          <w:trHeight w:val="234"/>
        </w:trPr>
        <w:tc>
          <w:tcPr>
            <w:tcW w:w="2680" w:type="dxa"/>
            <w:vAlign w:val="bottom"/>
            <w:tcBorders>
              <w:left w:val="single" w:sz="8" w:color="auto"/>
              <w:right w:val="single" w:sz="8" w:color="auto"/>
            </w:tcBorders>
          </w:tcPr>
          <w:p>
            <w:pPr>
              <w:spacing w:after="0"/>
              <w:rPr>
                <w:sz w:val="20"/>
                <w:szCs w:val="20"/>
                <w:color w:val="auto"/>
              </w:rPr>
            </w:pPr>
          </w:p>
        </w:tc>
        <w:tc>
          <w:tcPr>
            <w:tcW w:w="85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Third Measurement Period begins [ ] and ends [ ].</w:t>
            </w:r>
          </w:p>
        </w:tc>
      </w:tr>
      <w:tr>
        <w:trPr>
          <w:trHeight w:val="279"/>
        </w:trPr>
        <w:tc>
          <w:tcPr>
            <w:tcW w:w="2680" w:type="dxa"/>
            <w:vAlign w:val="bottom"/>
            <w:tcBorders>
              <w:left w:val="single" w:sz="8" w:color="auto"/>
              <w:right w:val="single" w:sz="8" w:color="auto"/>
            </w:tcBorders>
          </w:tcPr>
          <w:p>
            <w:pPr>
              <w:spacing w:after="0"/>
              <w:rPr>
                <w:sz w:val="24"/>
                <w:szCs w:val="24"/>
                <w:color w:val="auto"/>
              </w:rPr>
            </w:pPr>
          </w:p>
        </w:tc>
        <w:tc>
          <w:tcPr>
            <w:tcW w:w="85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actual number of PSUs that may become eligible to vest on the Vesting Date is based on the achievement of</w:t>
            </w:r>
          </w:p>
        </w:tc>
      </w:tr>
      <w:tr>
        <w:trPr>
          <w:trHeight w:val="216"/>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financial metrics over each Annual Measurement Period and may range from [0%] to [200%] of the Target</w:t>
            </w:r>
          </w:p>
        </w:tc>
      </w:tr>
      <w:tr>
        <w:trPr>
          <w:trHeight w:val="216"/>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Number of PSUs, subject to forfeiture as provided in the Standard Terms and Conditions, and further subject to</w:t>
            </w:r>
          </w:p>
        </w:tc>
      </w:tr>
      <w:tr>
        <w:trPr>
          <w:trHeight w:val="216"/>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adjustment based upon a Relative TSR Modifier measured over the Performance Period, all as determined in</w:t>
            </w:r>
          </w:p>
        </w:tc>
      </w:tr>
      <w:tr>
        <w:trPr>
          <w:trHeight w:val="194"/>
        </w:trPr>
        <w:tc>
          <w:tcPr>
            <w:tcW w:w="2680" w:type="dxa"/>
            <w:vAlign w:val="bottom"/>
            <w:tcBorders>
              <w:left w:val="single" w:sz="8" w:color="auto"/>
              <w:right w:val="single" w:sz="8" w:color="auto"/>
            </w:tcBorders>
          </w:tcPr>
          <w:p>
            <w:pPr>
              <w:spacing w:after="0"/>
              <w:rPr>
                <w:sz w:val="16"/>
                <w:szCs w:val="16"/>
                <w:color w:val="auto"/>
              </w:rPr>
            </w:pPr>
          </w:p>
        </w:tc>
        <w:tc>
          <w:tcPr>
            <w:tcW w:w="8580" w:type="dxa"/>
            <w:vAlign w:val="bottom"/>
            <w:tcBorders>
              <w:right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accordance with Exhibit B, but not to exceed [220%].</w:t>
            </w:r>
          </w:p>
        </w:tc>
      </w:tr>
      <w:tr>
        <w:trPr>
          <w:trHeight w:val="155"/>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6620" w:type="dxa"/>
            <w:vAlign w:val="bottom"/>
            <w:tcBorders>
              <w:bottom w:val="single" w:sz="8" w:color="auto"/>
              <w:right w:val="single" w:sz="8" w:color="auto"/>
            </w:tcBorders>
          </w:tcPr>
          <w:p>
            <w:pPr>
              <w:spacing w:after="0"/>
              <w:rPr>
                <w:sz w:val="13"/>
                <w:szCs w:val="13"/>
                <w:color w:val="auto"/>
              </w:rPr>
            </w:pPr>
          </w:p>
        </w:tc>
      </w:tr>
    </w:tbl>
    <w:p>
      <w:pPr>
        <w:spacing w:after="0" w:line="1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DOCUMENT. FAILURE TO REJECT THIS AWARD WITHIN SUCH 5-DAY PERIOD SHALL BE DEEMED ACCEPTANCE OF THIS AWARD AND THE TERMS AND CONDITIONS OF THE AWARD DOCUMENT.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Grant Notice for</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Performance Stock Unit Award</w:t>
      </w:r>
    </w:p>
    <w:p>
      <w:pPr>
        <w:sectPr>
          <w:pgSz w:w="11900" w:h="16838" w:orient="portrait"/>
          <w:cols w:equalWidth="0" w:num="1">
            <w:col w:w="11260"/>
          </w:cols>
          <w:pgMar w:left="320" w:top="158"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2021 LONG-TERM INCENTIVE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TERMS AND CONDITIONS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Standard Terms and Conditions apply to this Award of Performance Stock Units granted under the Western Digital Corporation 2021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Performance Stock Units are also subject to the terms of the Plan and the attached Grant Notice, which are incorporated here by this reference. Capitalized terms not otherwise defined here shall have the meaning set forth in the Plan.</w:t>
      </w:r>
    </w:p>
    <w:p>
      <w:pPr>
        <w:spacing w:after="0" w:line="14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PERFORMANCE STOCK UNITS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Western Digital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named in the attached Grant Notice an award of Performance Stock Units (this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described in the Grant Notice, with each PSU representing the right to receive one share of Common Stock. For purposes of these Standard Terms and Conditions and the Grant Notice, any reference to the Company shall include a reference to any Subsidiary.</w:t>
      </w:r>
    </w:p>
    <w:p>
      <w:pPr>
        <w:spacing w:after="0" w:line="144"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AND SETTLEMENT OF PERFORMANCE STOCK UNITS</w:t>
      </w:r>
    </w:p>
    <w:p>
      <w:pPr>
        <w:spacing w:after="0" w:line="256"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PSUs that have vested and are no longer subject to forfeiture are referred to as “</w:t>
      </w:r>
      <w:r>
        <w:rPr>
          <w:rFonts w:ascii="Times New Roman" w:cs="Times New Roman" w:eastAsia="Times New Roman" w:hAnsi="Times New Roman"/>
          <w:sz w:val="18"/>
          <w:szCs w:val="18"/>
          <w:b w:val="1"/>
          <w:bCs w:val="1"/>
          <w:i w:val="1"/>
          <w:iCs w:val="1"/>
          <w:color w:val="auto"/>
        </w:rPr>
        <w:t>Vested PSUs</w:t>
      </w:r>
      <w:r>
        <w:rPr>
          <w:rFonts w:ascii="Times New Roman" w:cs="Times New Roman" w:eastAsia="Times New Roman" w:hAnsi="Times New Roman"/>
          <w:sz w:val="18"/>
          <w:szCs w:val="18"/>
          <w:color w:val="auto"/>
        </w:rPr>
        <w:t>.” PSUs that are not vested and remain subject to forfeiture are referred to as “</w:t>
      </w:r>
      <w:r>
        <w:rPr>
          <w:rFonts w:ascii="Times New Roman" w:cs="Times New Roman" w:eastAsia="Times New Roman" w:hAnsi="Times New Roman"/>
          <w:sz w:val="18"/>
          <w:szCs w:val="18"/>
          <w:b w:val="1"/>
          <w:bCs w:val="1"/>
          <w:i w:val="1"/>
          <w:iCs w:val="1"/>
          <w:color w:val="auto"/>
        </w:rPr>
        <w:t>Unvested PSUs</w:t>
      </w:r>
      <w:r>
        <w:rPr>
          <w:rFonts w:ascii="Times New Roman" w:cs="Times New Roman" w:eastAsia="Times New Roman" w:hAnsi="Times New Roman"/>
          <w:sz w:val="18"/>
          <w:szCs w:val="18"/>
          <w:color w:val="auto"/>
        </w:rPr>
        <w:t>.” No portion of this Award, nor the shares of Common Stock subject to this Award, may be deferred under the Western Digital Corporation Deferred Compensation Plan (or any applicable successor plan) or any other deferred compensation arrangement of the Company.</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end of each Annual Measurement Period, the Administrator shall determine the extent to which the applicable performance goals have been achieved with respect to such Measurement Period. Following the end of the Performance Period, the Administrator shall determine the number of PSUs eligible to vest based on the average achievement of performance goals for each Annual Measurement Period over the Performance Period. Any PSUs (including any related credited dividend equivalents) that do not become eligible to vest shall terminate as of the end of the Performance Period. The PSUs that become eligible to vest based on performance during the Performance Period shall vest on the Vesting Date set forth in the Grant Notice, subject to Continuous Service through such date, except as expressly provided in Section 2(b), 2(c) or 2(d) below. The Company shall deliver to the Participant on the Settlement Date a number of shares of Common Stock equal to the number of Vested PSUs. The Company may, in its sole discretion, settle any PSUs accrued as dividend equivalents by a cash payment equal to the Fair Market Value of a share of Common Stock on the date of payment (as opposed to payment in the form of shares of Common Stock). “Settlement Date” means: as soon as practicable following the vesting of the PSUs on the Vesting Date but in no event later than December 31 of the calendar year in which the Vesting Date occurs.</w:t>
      </w:r>
    </w:p>
    <w:p>
      <w:pPr>
        <w:spacing w:after="0" w:line="233" w:lineRule="exact"/>
        <w:rPr>
          <w:sz w:val="20"/>
          <w:szCs w:val="20"/>
          <w:color w:val="auto"/>
        </w:rPr>
      </w:pPr>
    </w:p>
    <w:p>
      <w:pPr>
        <w:jc w:val="both"/>
        <w:ind w:right="60" w:firstLine="1304"/>
        <w:spacing w:after="0" w:line="257" w:lineRule="auto"/>
        <w:tabs>
          <w:tab w:leader="none" w:pos="19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without Cause under the Executive Severance Plan</w:t>
      </w:r>
      <w:r>
        <w:rPr>
          <w:rFonts w:ascii="Times New Roman" w:cs="Times New Roman" w:eastAsia="Times New Roman" w:hAnsi="Times New Roman"/>
          <w:sz w:val="18"/>
          <w:szCs w:val="18"/>
          <w:color w:val="auto"/>
        </w:rPr>
        <w:t>. For a Participant who is subject to the terms of the Western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Corporation Amended and Restated Executive Severance Plan, as applicable (or any applicable successor plan) (the “</w:t>
      </w:r>
      <w:r>
        <w:rPr>
          <w:rFonts w:ascii="Times New Roman" w:cs="Times New Roman" w:eastAsia="Times New Roman" w:hAnsi="Times New Roman"/>
          <w:sz w:val="18"/>
          <w:szCs w:val="18"/>
          <w:b w:val="1"/>
          <w:bCs w:val="1"/>
          <w:i w:val="1"/>
          <w:iCs w:val="1"/>
          <w:color w:val="auto"/>
        </w:rPr>
        <w:t>Executive Severance Plan</w:t>
      </w:r>
      <w:r>
        <w:rPr>
          <w:rFonts w:ascii="Times New Roman" w:cs="Times New Roman" w:eastAsia="Times New Roman" w:hAnsi="Times New Roman"/>
          <w:sz w:val="18"/>
          <w:szCs w:val="18"/>
          <w:color w:val="auto"/>
        </w:rPr>
        <w:t>”) at the time of termination of Continuous Service, then upon Participant’s termination of employment by the Company without Cause (as defined in the Executive Severance Plan) under circumstances that would entitle the Participant to severance benefits under the Executive Severance Plan, subject to compliance with the terms of the Executive Severance Plan, then the PSUs will be payable in accordance with the Vesting Schedule set forth in the Grant Notice above, with no acceleration, and vest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Standard Terms and Conditions</w:t>
      </w:r>
    </w:p>
    <w:p>
      <w:pPr>
        <w:sectPr>
          <w:pgSz w:w="11900" w:h="16838" w:orient="portrait"/>
          <w:cols w:equalWidth="0" w:num="1">
            <w:col w:w="11240"/>
          </w:cols>
          <w:pgMar w:left="320" w:top="1413" w:right="339" w:bottom="1440" w:gutter="0" w:footer="0" w:header="0"/>
        </w:sectPr>
      </w:pPr>
    </w:p>
    <w:bookmarkStart w:id="53" w:name="page54"/>
    <w:bookmarkEnd w:id="53"/>
    <w:p>
      <w:pPr>
        <w:spacing w:after="0" w:line="234" w:lineRule="exact"/>
        <w:rPr>
          <w:sz w:val="20"/>
          <w:szCs w:val="20"/>
          <w:color w:val="auto"/>
        </w:rPr>
      </w:pPr>
    </w:p>
    <w:p>
      <w:pPr>
        <w:jc w:val="both"/>
        <w:ind w:left="1300" w:firstLine="4"/>
        <w:spacing w:after="0" w:line="255" w:lineRule="auto"/>
        <w:tabs>
          <w:tab w:leader="none" w:pos="16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Performance Period has not ended as of the date of termination of Continuous Service, the PSUs (and any credited dividend equivalent rights) will remain outstanding and a pro-rated portion will vest, if at all, based on the actual achievement of the applicable performance goal(s) with respect to the Annual Measurement Periods over the Performance Period, including the Relative TSR Modifier,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First Measurement Period through and including the Participant’s termination of Continuous Service and a denominator equal to the total number of calendar days in the Performance Period.</w:t>
      </w:r>
    </w:p>
    <w:p>
      <w:pPr>
        <w:spacing w:after="0" w:line="229"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Performance Period has ended as of the date of termination of Continuous Service, the PSUs (and any credited dividend equivalents) will remain outstanding and will vest, if at all, based on the actual achievement of the applicable performance goal(s) with respect to the Annual Measurement Periods over the Performance Period, including the Relative TSR Modifier.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Unvested PSUs that do not vest as described above shall be forfeited as of the date of the Participant’s termination of Continuous Service.</w:t>
      </w:r>
    </w:p>
    <w:p>
      <w:pPr>
        <w:spacing w:after="0" w:line="264" w:lineRule="exact"/>
        <w:rPr>
          <w:sz w:val="20"/>
          <w:szCs w:val="20"/>
          <w:color w:val="auto"/>
        </w:rPr>
      </w:pPr>
    </w:p>
    <w:p>
      <w:pPr>
        <w:jc w:val="both"/>
        <w:ind w:firstLine="1304"/>
        <w:spacing w:after="0" w:line="257" w:lineRule="auto"/>
        <w:tabs>
          <w:tab w:leader="none" w:pos="19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without Cause or for Good Reason under the Change in Control Severance Plan</w:t>
      </w:r>
      <w:r>
        <w:rPr>
          <w:rFonts w:ascii="Times New Roman" w:cs="Times New Roman" w:eastAsia="Times New Roman" w:hAnsi="Times New Roman"/>
          <w:sz w:val="18"/>
          <w:szCs w:val="18"/>
          <w:color w:val="auto"/>
        </w:rPr>
        <w:t>. For a Participant who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Western Digital Corporation Amended and Restated Change in Control Severance Plan, as applicable (or any applicable successor plan) (the “</w:t>
      </w:r>
      <w:r>
        <w:rPr>
          <w:rFonts w:ascii="Times New Roman" w:cs="Times New Roman" w:eastAsia="Times New Roman" w:hAnsi="Times New Roman"/>
          <w:sz w:val="18"/>
          <w:szCs w:val="18"/>
          <w:b w:val="1"/>
          <w:bCs w:val="1"/>
          <w:i w:val="1"/>
          <w:iCs w:val="1"/>
          <w:color w:val="auto"/>
        </w:rPr>
        <w:t>CIC Severance Plan</w:t>
      </w:r>
      <w:r>
        <w:rPr>
          <w:rFonts w:ascii="Times New Roman" w:cs="Times New Roman" w:eastAsia="Times New Roman" w:hAnsi="Times New Roman"/>
          <w:sz w:val="18"/>
          <w:szCs w:val="18"/>
          <w:color w:val="auto"/>
        </w:rPr>
        <w:t>”) at the time of termination of Continuous Service, then upon Participant’s termination of employment by the Company without Cause or due to a resignation by Participant for Good Reason (both as defined in the CIC Severance Plan) under circumstances that would entitle the Participant to severance benefits under the CIC Severance Plan, subject to compliance with the terms of the CIC Severance Plan, the PSUs (and any credited dividend equivalents) will be payable upon the Participant’s termination of Continuous Service and vest as follows:</w:t>
      </w:r>
    </w:p>
    <w:p>
      <w:pPr>
        <w:spacing w:after="0" w:line="225" w:lineRule="exact"/>
        <w:rPr>
          <w:sz w:val="20"/>
          <w:szCs w:val="20"/>
          <w:color w:val="auto"/>
        </w:rPr>
      </w:pPr>
    </w:p>
    <w:p>
      <w:pPr>
        <w:jc w:val="both"/>
        <w:ind w:left="1300" w:firstLine="4"/>
        <w:spacing w:after="0" w:line="266" w:lineRule="auto"/>
        <w:tabs>
          <w:tab w:leader="none" w:pos="19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Performance Period has not ended as of the date of termination of Continuous Service, the number of shares of Common Stock that will vest shall be equal to the greater of (x) the target number of PSUs or (y) the number of shares of Common Stock subject to the PSUs that would vest based on the treatment set forth in the definitive agreement providing for the Change in Control.</w:t>
      </w:r>
    </w:p>
    <w:p>
      <w:pPr>
        <w:spacing w:after="0" w:line="216"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Performance Period has ended as of the date of termination of Continuous Service, the PSUs will remain outstanding and will vest, if at all, based on the actual achievement of the applicable performance goals over the Performance Period, including the Relative TSR Modifier.</w:t>
      </w:r>
    </w:p>
    <w:p>
      <w:pPr>
        <w:spacing w:after="0" w:line="214" w:lineRule="exact"/>
        <w:rPr>
          <w:sz w:val="20"/>
          <w:szCs w:val="20"/>
          <w:color w:val="auto"/>
        </w:rPr>
      </w:pPr>
    </w:p>
    <w:p>
      <w:pPr>
        <w:jc w:val="both"/>
        <w:ind w:right="60" w:firstLine="1304"/>
        <w:spacing w:after="0" w:line="267" w:lineRule="auto"/>
        <w:tabs>
          <w:tab w:leader="none" w:pos="19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due to Death; Termination due to a Qualifying Retirement. </w:t>
      </w:r>
      <w:r>
        <w:rPr>
          <w:rFonts w:ascii="Times New Roman" w:cs="Times New Roman" w:eastAsia="Times New Roman" w:hAnsi="Times New Roman"/>
          <w:sz w:val="18"/>
          <w:szCs w:val="18"/>
          <w:color w:val="auto"/>
        </w:rPr>
        <w:t>(1) Upon Participant’s termination of Continuous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due to death, or (2) upon Participant’s termination of employment due to a Qualifying Retirement (as defined below), the PSUs will be payable in accordance with the Vesting Schedule set forth in the Grant Notice above, with no acceleration, and vest as follows:</w:t>
      </w:r>
    </w:p>
    <w:p>
      <w:pPr>
        <w:spacing w:after="0" w:line="229" w:lineRule="exact"/>
        <w:rPr>
          <w:sz w:val="20"/>
          <w:szCs w:val="20"/>
          <w:color w:val="auto"/>
        </w:rPr>
      </w:pPr>
    </w:p>
    <w:p>
      <w:pPr>
        <w:jc w:val="both"/>
        <w:ind w:left="1300" w:firstLine="4"/>
        <w:spacing w:after="0" w:line="256" w:lineRule="auto"/>
        <w:tabs>
          <w:tab w:leader="none" w:pos="16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Performance Period has not ended as of the date of termination of Continuous Service, the PSUs (and any credited dividend equivalent rights) will remain outstanding and a pro-rated portion will vest, if at all, based on the actual achievement of the applicable performance goal(s) with respect to the Annual Measurement Periods over the Performance Period, including the Relative TSR Modifier,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First Measurement Period through and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Participant’s termination of Continuous Service and a denominator equal to the total number of calendar days in the Performance Period.</w:t>
      </w:r>
    </w:p>
    <w:p>
      <w:pPr>
        <w:spacing w:after="0" w:line="266" w:lineRule="exact"/>
        <w:rPr>
          <w:sz w:val="20"/>
          <w:szCs w:val="20"/>
          <w:color w:val="auto"/>
        </w:rPr>
      </w:pPr>
    </w:p>
    <w:p>
      <w:pPr>
        <w:jc w:val="both"/>
        <w:ind w:left="1300" w:firstLine="4"/>
        <w:spacing w:after="0" w:line="266" w:lineRule="auto"/>
        <w:tabs>
          <w:tab w:leader="none" w:pos="17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Performance Period has ended as of the date of termination of Continuous Service, the PSUs (and any credited dividend equivalents) will remain outstanding and will vest, if at all, based on the actual achievement of the applicable performance goal(s) with respect to the Annual Measurement Periods over the Performance Period, including the Relative TSR Modifier.</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“Qualifying Retirement” means the termination of the Participant’s employment with the Company and its Subsidiaries due to his or her retirement from employment with the Company or one of its Subsidiaries after satisfying all of the following requirements at the time of such termination: (i) the Participant is at least 55 years of age, (ii) the Participant has five or more whole years of credited service with the Company and/or any of its Subsidiaries; and (iii) the Participant’s age plus years of credited service with the Company and/or any of its Subsidiaries (including only whole years in the case of both age and credited service for purposes of this requirement) totals at least 70.</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Unvested PSUs that do not vest as described above shall be forfeited as of the date of the Participant’s termination of Continuous Service, provided that the Unvested PSUs shall remain eligible to vest in accordance with the Grant Notice and these Standard Terms and Conditions in the event the Participant terminates employment due to a Qualifying Retirement yet continues to provide services to the Company and its Subsidiaries in a capacity other than as an employee. Such continued vesting is subject to the Participant’s Continuous Services through the Vesting Date.</w:t>
      </w:r>
    </w:p>
    <w:p>
      <w:pPr>
        <w:spacing w:after="0" w:line="218" w:lineRule="exact"/>
        <w:rPr>
          <w:sz w:val="20"/>
          <w:szCs w:val="20"/>
          <w:color w:val="auto"/>
        </w:rPr>
      </w:pPr>
    </w:p>
    <w:p>
      <w:pPr>
        <w:jc w:val="both"/>
        <w:ind w:right="60" w:firstLine="1304"/>
        <w:spacing w:after="0" w:line="261" w:lineRule="auto"/>
        <w:tabs>
          <w:tab w:leader="none" w:pos="194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w:t>
      </w:r>
      <w:r>
        <w:rPr>
          <w:rFonts w:ascii="Times New Roman" w:cs="Times New Roman" w:eastAsia="Times New Roman" w:hAnsi="Times New Roman"/>
          <w:sz w:val="18"/>
          <w:szCs w:val="18"/>
          <w:color w:val="auto"/>
        </w:rPr>
        <w:t>. Upon Participant’s termination of Continuous Service by the Company due to a resignation by Participant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 other than a Qualifying Retirement or a resignation for Good Reason under circumstances that would entitle the Participant to severance benefits under the CIC Severance Plan, subject to compliance with the terms of the CIC Severance Plan, the PSUs held by the Participant shall be forfeited as of the date of the Participant’s termination of Continuous Service.</w:t>
      </w:r>
    </w:p>
    <w:p>
      <w:pPr>
        <w:spacing w:after="0" w:line="222" w:lineRule="exact"/>
        <w:rPr>
          <w:rFonts w:ascii="Times New Roman" w:cs="Times New Roman" w:eastAsia="Times New Roman" w:hAnsi="Times New Roman"/>
          <w:sz w:val="18"/>
          <w:szCs w:val="18"/>
          <w:color w:val="auto"/>
        </w:rPr>
      </w:pPr>
    </w:p>
    <w:p>
      <w:pPr>
        <w:ind w:right="80" w:firstLine="1304"/>
        <w:spacing w:after="0" w:line="282" w:lineRule="auto"/>
        <w:tabs>
          <w:tab w:leader="none" w:pos="19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Participant’s termination of Continuous Service by the Company for Cause, the entire Award held by the Participant shall be forfeited as of the date of the Participant’s termination of Continuous Service.</w:t>
      </w:r>
    </w:p>
    <w:p>
      <w:pPr>
        <w:spacing w:after="0" w:line="200" w:lineRule="exact"/>
        <w:rPr>
          <w:rFonts w:ascii="Times New Roman" w:cs="Times New Roman" w:eastAsia="Times New Roman" w:hAnsi="Times New Roman"/>
          <w:sz w:val="18"/>
          <w:szCs w:val="18"/>
          <w:color w:val="auto"/>
        </w:rPr>
      </w:pPr>
    </w:p>
    <w:p>
      <w:pPr>
        <w:jc w:val="both"/>
        <w:ind w:right="60" w:firstLine="1304"/>
        <w:spacing w:after="0" w:line="254" w:lineRule="auto"/>
        <w:tabs>
          <w:tab w:leader="none" w:pos="193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Eligible Employees Participating in the Executive Severance Plan and Change in Control Severance Plan</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avoidance of doubt, if Participant is not a U.S. Eligible Employee (as defined in the applicable severance plan), the Participant will only be eligible for the vesting treatment on a termination without Cause as described in Section 2(b) or termination without Cause or resignation for Good Reason as described in Section 2(c)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2(b) or termination without Cause or resignation for Good Reason as described in Section 2(c). For the avoidance of doubt, a Participant who is retirement-eligible and receives Local Severance Benefits shall also receive the vesting treatment described in Section 2(d) as though the Participant had experienced a Qualifying Retirement.</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STOCKHOLDER; DIVIDEND EQUIVALENTS</w:t>
      </w:r>
    </w:p>
    <w:p>
      <w:pPr>
        <w:spacing w:after="0" w:line="256" w:lineRule="exact"/>
        <w:rPr>
          <w:rFonts w:ascii="Times New Roman" w:cs="Times New Roman" w:eastAsia="Times New Roman" w:hAnsi="Times New Roman"/>
          <w:sz w:val="18"/>
          <w:szCs w:val="18"/>
          <w:b w:val="1"/>
          <w:bCs w:val="1"/>
          <w:color w:val="auto"/>
        </w:rPr>
      </w:pPr>
    </w:p>
    <w:p>
      <w:pPr>
        <w:ind w:right="60" w:firstLine="1304"/>
        <w:spacing w:after="0" w:line="282" w:lineRule="auto"/>
        <w:tabs>
          <w:tab w:leader="none" w:pos="19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shall not be, nor have any of the rights or privileges of, a stockholder of the Company in respect of any PSUs unless and until shares of Common Stock settled for such PSUs shall have been issued by the Company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34" w:lineRule="exact"/>
        <w:rPr>
          <w:sz w:val="20"/>
          <w:szCs w:val="20"/>
          <w:color w:val="auto"/>
        </w:rPr>
      </w:pPr>
    </w:p>
    <w:p>
      <w:pPr>
        <w:jc w:val="both"/>
        <w:ind w:firstLine="1304"/>
        <w:spacing w:after="0" w:line="253" w:lineRule="auto"/>
        <w:tabs>
          <w:tab w:leader="none" w:pos="193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3(a), from and after the Grant Date and until the earlier of (i) the Participant’s receipt of Common Stock upon settlement of the PSUs and (ii) the time when the Participant’s right to receive Common Stock upon settlement of the PSUs is forfeited, the Participant shall be entitled to receive as a dividend equivalent a number of additional PSUs on the date that the Company pays a cash dividend (if any) to Common Stock holders generally. Such dividend equivalent shall be determined by dividing (i) the product of (A) the dollar amount of the cash dividend paid per share of Common Stock on such date and (B) the total number of PSUs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PSUs to which the dividend equivalents were credited. Dividend equivalents shall be settled in whole shares of Common Stock with any dividend equivalents accrued in the form of fractional PSUs settled in cash. However, for the avoidance of doubt, the Company may, in its sole discretion, settle any PSUs accrued as dividend equivalents by a cash payment equal to the Fair Market Value of a share of Common Stock on the date of payment (as opposed to payment in the form of shares of Common Stock). For the avoidance of doubt, in no event will any dividend equivalents credited to PSUs be delivered to the Participant unless and until such PSUs vest and settle.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RESALES OF SHARES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may impose such restrictions as it determines appropriate as to the timing and manner of any resales by the Participant or other subsequent transfers by the Participant of any shares of Common Stock issued pursuant to Vested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49"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Participant may satisfy tax withholding obligations relating to the PSUs by any combination of the following: (i) a cash payment; (ii) a Company deduction from any amounts payable to Participant; (iii) Company withholding of shares from the Common Stock issuable to the Participant in connection with the PSUs (only up to the amount permitted that will not cause an adverse accounting consequence); or (iv) Company withholding a payment from the proceeds from the sale of shares of Common Stock issued pursuant to the PSUs. In addition, the Administrator may, in its sole discretion but only to the extent consistent with Section 409A of the Code, reduce the number of PSUs remaining subject to this Award, with each such PSU to have a value for such purpose equal to the then Fair Market Value of a share of Common Stock, to satisfy such withholding obligation at the applicable withholding rates.</w:t>
      </w:r>
    </w:p>
    <w:p>
      <w:pPr>
        <w:spacing w:after="0" w:line="156"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 OF AWARD</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spacing w:after="0" w:line="145"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AGREEMENTS SUPERSEDED</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Grant Notice, these Standard Terms and Conditions and the Plan constitute the entire understanding between the Participant and the Company regarding this Award. Any prior agreements, commitments or negotiations concerning this Award are superseded.</w:t>
      </w:r>
    </w:p>
    <w:p>
      <w:pPr>
        <w:spacing w:after="0" w:line="131"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ADDITIONAL RIGHTS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Participant’s receipt of the PSUs does not confer upon the Participant any right to continue to serve the Company or an Affiliate in any capacity and will not affect the right of the Company or an Affiliate to terminate the service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40" w:right="399" w:bottom="1440" w:gutter="0" w:footer="0" w:header="0"/>
        </w:sectPr>
      </w:pPr>
    </w:p>
    <w:bookmarkStart w:id="56" w:name="page57"/>
    <w:bookmarkEnd w:id="56"/>
    <w:p>
      <w:pPr>
        <w:spacing w:after="0" w:line="230"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69"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4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Document and/or the Plan should modify the stricken terms as narrowly as possible to give as much effect as possible to the intentions of the parties hereunder.</w:t>
      </w:r>
    </w:p>
    <w:p>
      <w:pPr>
        <w:spacing w:after="0" w:line="24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220"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Standard Terms and Conditions shall inure to the benefit of and be binding upon the parties and their respective permitted heirs, beneficiaries, successors and assigns.</w:t>
      </w:r>
    </w:p>
    <w:p>
      <w:pPr>
        <w:spacing w:after="0" w:line="202" w:lineRule="exact"/>
        <w:rPr>
          <w:rFonts w:ascii="Times New Roman" w:cs="Times New Roman" w:eastAsia="Times New Roman" w:hAnsi="Times New Roman"/>
          <w:sz w:val="18"/>
          <w:szCs w:val="18"/>
          <w:color w:val="auto"/>
        </w:rPr>
      </w:pPr>
    </w:p>
    <w:p>
      <w:pPr>
        <w:ind w:right="20" w:firstLine="1304"/>
        <w:spacing w:after="0" w:line="282" w:lineRule="auto"/>
        <w:tabs>
          <w:tab w:leader="none" w:pos="19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Standard Terms and Conditions shall be interpreted in accordance with and governed by the laws of the State of Delaware, without regard to principles of conflicts of law.</w:t>
      </w:r>
    </w:p>
    <w:p>
      <w:pPr>
        <w:spacing w:after="0" w:line="202"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216" w:lineRule="exact"/>
        <w:rPr>
          <w:rFonts w:ascii="Times New Roman" w:cs="Times New Roman" w:eastAsia="Times New Roman" w:hAnsi="Times New Roman"/>
          <w:sz w:val="18"/>
          <w:szCs w:val="18"/>
          <w:color w:val="auto"/>
        </w:rPr>
      </w:pPr>
    </w:p>
    <w:p>
      <w:pPr>
        <w:jc w:val="both"/>
        <w:ind w:right="20" w:firstLine="1304"/>
        <w:spacing w:after="0" w:line="258" w:lineRule="auto"/>
        <w:tabs>
          <w:tab w:leader="none" w:pos="193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Participant’s employer or any Subsidiary.</w:t>
      </w:r>
    </w:p>
    <w:p>
      <w:pPr>
        <w:spacing w:after="0" w:line="23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under the Plan or under these Standard Terms and Conditions shall be decided by the Administrator in its total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absolute discretion.</w:t>
      </w:r>
    </w:p>
    <w:p>
      <w:pPr>
        <w:spacing w:after="0" w:line="24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will be subject to recoupment in accordance with the Company’s compensation recovery (clawback) policy or policies then in effect. No recovery of compensation under any such policy will be an event giving rise to a right to resign for “good reason” or “constructive termination” (or similar term) under any agreement with the Company or a Subsidiary.</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By accepting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145" w:lineRule="exact"/>
        <w:rPr>
          <w:sz w:val="20"/>
          <w:szCs w:val="20"/>
          <w:color w:val="auto"/>
        </w:rPr>
      </w:pPr>
    </w:p>
    <w:p>
      <w:pPr>
        <w:ind w:left="1280" w:hanging="624"/>
        <w:spacing w:after="0"/>
        <w:tabs>
          <w:tab w:leader="none" w:pos="12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Any controversy arising out of or relating to the Grant Notice, these Standard Terms and Conditions, and/or the Plan (“</w:t>
      </w:r>
      <w:r>
        <w:rPr>
          <w:rFonts w:ascii="Times New Roman" w:cs="Times New Roman" w:eastAsia="Times New Roman" w:hAnsi="Times New Roman"/>
          <w:sz w:val="18"/>
          <w:szCs w:val="18"/>
          <w:b w:val="1"/>
          <w:bCs w:val="1"/>
          <w:i w:val="1"/>
          <w:iCs w:val="1"/>
          <w:color w:val="auto"/>
        </w:rPr>
        <w:t>Covered Claims</w:t>
      </w:r>
      <w:r>
        <w:rPr>
          <w:rFonts w:ascii="Times New Roman" w:cs="Times New Roman" w:eastAsia="Times New Roman" w:hAnsi="Times New Roman"/>
          <w:sz w:val="18"/>
          <w:szCs w:val="18"/>
          <w:color w:val="auto"/>
        </w:rPr>
        <w:t>”), shall be resolved in accordance with the terms and conditions of the Western Digital</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180"/>
          </w:cols>
          <w:pgMar w:left="320" w:top="1440" w:right="399" w:bottom="1440" w:gutter="0" w:footer="0" w:header="0"/>
          <w:type w:val="continuous"/>
        </w:sectPr>
      </w:pPr>
    </w:p>
    <w:bookmarkStart w:id="57" w:name="page58"/>
    <w:bookmarkEnd w:id="57"/>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Technologies, Inc. Dispute Resolution Agreement (the “</w:t>
      </w:r>
      <w:r>
        <w:rPr>
          <w:rFonts w:ascii="Times New Roman" w:cs="Times New Roman" w:eastAsia="Times New Roman" w:hAnsi="Times New Roman"/>
          <w:sz w:val="18"/>
          <w:szCs w:val="18"/>
          <w:b w:val="1"/>
          <w:bCs w:val="1"/>
          <w:i w:val="1"/>
          <w:iCs w:val="1"/>
          <w:color w:val="auto"/>
        </w:rPr>
        <w:t>DRA</w:t>
      </w:r>
      <w:r>
        <w:rPr>
          <w:rFonts w:ascii="Times New Roman" w:cs="Times New Roman" w:eastAsia="Times New Roman" w:hAnsi="Times New Roman"/>
          <w:sz w:val="18"/>
          <w:szCs w:val="18"/>
          <w:color w:val="auto"/>
        </w:rPr>
        <w:t>”), except with respect to any specific performance provided for in Section 13(d) below.</w:t>
      </w:r>
    </w:p>
    <w:p>
      <w:pPr>
        <w:spacing w:after="0" w:line="270"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If, however, Participant has opted out of the DRA, any Covered Claims shall be submitted to arbitration pursuant to this Section 11. Such arbitration shall be held in Orange County, California, U.S.A., before a sole arbitrator selected from Judicial Arbitration and Mediation Services, Inc., Orange, California, or its successor (“</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 the fullest extent permitted by applicable law, Participant and the Company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Company and the Participant and may be enforced by any court of competent jurisdiction.</w:t>
      </w:r>
    </w:p>
    <w:p>
      <w:pPr>
        <w:spacing w:after="0" w:line="24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Company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w:t>
      </w:r>
    </w:p>
    <w:p>
      <w:pPr>
        <w:spacing w:after="0" w:line="152"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NON-U.S. EMPLOYEES</w:t>
      </w:r>
    </w:p>
    <w:p>
      <w:pPr>
        <w:spacing w:after="0" w:line="25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 xml:space="preserve">The Award shall be subject to any additional terms and conditions for non-U.S. employees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Appendix A</w:t>
      </w:r>
      <w:r>
        <w:rPr>
          <w:rFonts w:ascii="Times New Roman" w:cs="Times New Roman" w:eastAsia="Times New Roman" w:hAnsi="Times New Roman"/>
          <w:sz w:val="18"/>
          <w:szCs w:val="18"/>
          <w:color w:val="auto"/>
        </w:rPr>
        <w:t xml:space="preserve">”) and any terms and conditions for the Participant’s country set forth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Appendix B</w:t>
      </w:r>
      <w:r>
        <w:rPr>
          <w:rFonts w:ascii="Times New Roman" w:cs="Times New Roman" w:eastAsia="Times New Roman" w:hAnsi="Times New Roman"/>
          <w:sz w:val="18"/>
          <w:szCs w:val="18"/>
          <w:color w:val="auto"/>
        </w:rPr>
        <w:t xml:space="preserve">”). Moreover, if the Participant relocates to one of the countries included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the terms and conditions for such country will apply to the Participant to the extent the Company determines that the application of such terms and conditions is necessary or advisable for legal or administrative reasons.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constitute part of the Agreement.</w:t>
      </w:r>
    </w:p>
    <w:p>
      <w:pPr>
        <w:spacing w:after="0" w:line="149"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PARTICIPANT OBLIGATIONS</w:t>
      </w:r>
    </w:p>
    <w:p>
      <w:pPr>
        <w:spacing w:after="0" w:line="256" w:lineRule="exact"/>
        <w:rPr>
          <w:rFonts w:ascii="Times New Roman" w:cs="Times New Roman" w:eastAsia="Times New Roman" w:hAnsi="Times New Roman"/>
          <w:sz w:val="18"/>
          <w:szCs w:val="18"/>
          <w:b w:val="1"/>
          <w:bCs w:val="1"/>
          <w:color w:val="auto"/>
        </w:rPr>
      </w:pPr>
    </w:p>
    <w:p>
      <w:pPr>
        <w:ind w:right="20" w:firstLine="1304"/>
        <w:spacing w:after="0" w:line="282" w:lineRule="auto"/>
        <w:tabs>
          <w:tab w:leader="none" w:pos="167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in accepting this Award, (i) agrees to the terms of this Award as set forth in this Award Document generally, and (ii) specifically (and without limiting the generality of clause (i)) agrees to the provisions of this Section 13.</w:t>
      </w:r>
    </w:p>
    <w:p>
      <w:pPr>
        <w:spacing w:after="0" w:line="202"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acknowledges that, in the course of the Participant’s employment with the Company and/or its Subsidiaries and their predecessors, the Participant has become familiar, or will become familiar, with the Company’s and its Subsidiaries’ and their predecessors’ trade secrets and with other confidential and proprietary information concerning the Company, its Subsidiaries and their respective predecessors and that the Participant’s services have been and will be of special, unique and extraordinary value to the Company and its Subsidiaries. The Participant agrees that the covenants set forth in Sections 13(b) and (c) (together, the “Restrictive Covenants”) are reasonable and necessary to protect the Company’s and its Subsidiaries’ trade secrets and other confidential and proprietary information, good will, stable workforce, and customer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34" w:lineRule="exact"/>
        <w:rPr>
          <w:sz w:val="20"/>
          <w:szCs w:val="20"/>
          <w:color w:val="auto"/>
        </w:rPr>
      </w:pPr>
    </w:p>
    <w:p>
      <w:pPr>
        <w:jc w:val="both"/>
        <w:ind w:firstLine="1304"/>
        <w:spacing w:after="0" w:line="253" w:lineRule="auto"/>
        <w:tabs>
          <w:tab w:leader="none" w:pos="171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Participant’s agreement in Section 13(b), the Participant (i) represents that the Participant is familiar with and has carefully considered the Restrictive Covenants, (ii) represents that the Participant is fully aware of the Participant’s obligations hereunder, (iii) agrees to the reasonableness of the length of time, scope and geographic coverage, as applicable, of the Restrictive Covenants, (iv) agrees that the Company and its Subsidiaries currently conduct business throughout the world, and (v) agrees that the Restrictive Covenants will continue in effect for the applicable periods set forth above in this Section 13 regardless of whether the Participant is then entitled to receive any form of compensation, severance pay or benefits from the Company or any of its Subsidiaries. The Participant understands that the Restrictive Covenants may limit the Participant’s ability to earn a livelihood in a business similar to the business of the Company or any of its Subsidiaries, but the Participant nevertheless believes that the Participant has received and will receive sufficient consideration and other benefits as an employee of the Company or one of its Subsidiaries, and as otherwise provided hereunder, to clearly justify such restrictions which, in any event (given the Participant’s education, skills and ability), the Participant does not believe would prevent the Participant from otherwise earning a living. The Participant agrees that the Restrictive Covenants do not confer a benefit upon the Company and its Subsidiaries that is disproportionate to the detriment of the Participant.</w:t>
      </w:r>
    </w:p>
    <w:p>
      <w:pPr>
        <w:spacing w:after="0" w:line="232" w:lineRule="exact"/>
        <w:rPr>
          <w:rFonts w:ascii="Times New Roman" w:cs="Times New Roman" w:eastAsia="Times New Roman" w:hAnsi="Times New Roman"/>
          <w:sz w:val="18"/>
          <w:szCs w:val="18"/>
          <w:color w:val="auto"/>
        </w:rPr>
      </w:pPr>
    </w:p>
    <w:p>
      <w:pPr>
        <w:jc w:val="both"/>
        <w:ind w:right="60" w:firstLine="1304"/>
        <w:spacing w:after="0" w:line="252" w:lineRule="auto"/>
        <w:tabs>
          <w:tab w:leader="none" w:pos="17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agrees that a breach by the Participant of any of the covenants in this Section 13 would cause immediate and irreparable harm to the Company that would be difficult or impossible to measure, and that damages to the Company for any such injury would therefore be an inadequate remedy for any such breach. Therefore, the Participant agrees that in the event of any breach or threatened breach of any provision of this Section 13, the Company (or its applicable Subsidiary, as the case may be) shall be entitled, in addition to and without limitation upon all other remedies the Company (or any of its Subsidiaries) may have under this Award Document, at law or otherwise, to obtain specific performance, injunctive relief and/or other appropriate relief (without posting any bond or deposit) in order to enforce or prevent any violations of the provisions of this Section 13, or require the Participant to account for and pay over to the Company all compensation, profits, moneys, accruals, increments or other benefits derived from or received as a result of any transactions constituting a breach of this Section 13 if and when final judgment of a court of competent jurisdiction or arbitrator, as applicable, is so entered against the Participant. The Participant further agrees that the applicable period of time any Restrictive Covenant is in effect following the date of the Participant’s termination of Continuous Service shall be extended by the same amount of time that the Participant is in breach of any Restrictive Covenant following the date on which the Participant’s Continuous Service terminates. The Participant further agrees that in the event of any breach of any provision of this Section 13, in addition to and without limitation upon all other remedies the Company (or any of its Subsidiaries) may have under this Award Document, at law or otherwise, this Award (to the extent outstanding at the time of such breach) shall automatically terminate and be forfeited as of the time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PERFORMANCE STOCK UNIT AWARD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Measures and Goals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To be inserted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Performance Measures and Goals</w:t>
      </w:r>
    </w:p>
    <w:p>
      <w:pPr>
        <w:sectPr>
          <w:pgSz w:w="11900" w:h="16838" w:orient="portrait"/>
          <w:cols w:equalWidth="0" w:num="1">
            <w:col w:w="9019"/>
          </w:cols>
          <w:pgMar w:left="1440" w:top="1386"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B-1</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PERFORMANCE STOCK UNIT AWARD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Measures and Goals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Measurement Period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To be inserted</w:t>
      </w: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1386" w:right="144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PERFORMANCE STOCK UNIT AWARD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Measures and Goals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Measurement Period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To be inserted</w:t>
      </w: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1386"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B-3</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PERFORMANCE STOCK UNIT AWARD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Measures and Goals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Third Measurement Period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To be inserted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9019"/>
          </w:cols>
          <w:pgMar w:left="1440" w:top="1386" w:right="1440" w:bottom="1440" w:gutter="0" w:footer="0" w:header="0"/>
        </w:sectPr>
      </w:pPr>
    </w:p>
    <w:bookmarkStart w:id="63" w:name="page64"/>
    <w:bookmarkEnd w:id="63"/>
    <w:p>
      <w:pPr>
        <w:spacing w:after="0" w:line="200" w:lineRule="exact"/>
        <w:rPr>
          <w:sz w:val="20"/>
          <w:szCs w:val="20"/>
          <w:color w:val="auto"/>
        </w:rPr>
      </w:pPr>
    </w:p>
    <w:p>
      <w:pPr>
        <w:spacing w:after="0" w:line="2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11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ADDITIONAL TERMS AND CONDITIONS OF RESTRICTED STOCK UNIT AWARD DOCUMENT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NON-U.S. EMPLOYEES</w:t>
      </w:r>
    </w:p>
    <w:p>
      <w:pPr>
        <w:spacing w:after="0" w:line="216"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Plan Participation for Non-U.S. Participants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Participant understands that this Appendix A contains additional terms and conditions that, together with the Plan, the Grant Notice and the Standard Terms and Conditions,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w:t>
      </w:r>
      <w:r>
        <w:rPr>
          <w:rFonts w:ascii="Times New Roman" w:cs="Times New Roman" w:eastAsia="Times New Roman" w:hAnsi="Times New Roman"/>
          <w:sz w:val="18"/>
          <w:szCs w:val="18"/>
          <w:i w:val="1"/>
          <w:iCs w:val="1"/>
          <w:color w:val="auto"/>
        </w:rPr>
        <w:t>Capitalized terms used but not defined in this Appendix A shall have the same meanings assigned to them in the Plan,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Grant Notice and the Standard Terms and Conditions.</w:t>
      </w:r>
    </w:p>
    <w:p>
      <w:pPr>
        <w:spacing w:after="0" w:line="193"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supplements Section 5 of the Standard Terms and Conditions:</w:t>
      </w:r>
    </w:p>
    <w:p>
      <w:pPr>
        <w:spacing w:after="0" w:line="2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Participant acknowledges that, regardless of any action taken by the Company or, if different, the Participant’s employer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the ultimate liability for all income tax, social insurance, payroll tax, fringe benefits tax, payment on account or other tax-related items related to the Participant’s participation in the Plan and this Award and legally or deemed legally applicable to the Participant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is and remains the Participant’s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RSUs; and (b) are not obligated to structure the terms of the grant or any aspect of the RSUs to reduce or eliminate the Participant’s liability for Tax-Related Items or achieve any particular tax result. If the Participant is or becomes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Participant agrees, in connection with any relevant taxable or tax withholding event, as applicable, to make adequate arrangements satisfactory to the Company and/or the Employer to satisfy all Tax-Related Items. In this regard, the Participant authorizes the Company and/or the Employer to satisfy the obligations with regard to all Tax-Related Items by one or a combination of the methods set forth in Section 8(f) of the Plan and Section 5 of the Standard Terms and Conditions. In addition, the Participant authorizes withholding from proceeds of the sale of shares of Common Stock acquired upon settlement of the RSUs either through a voluntary sale or through a mandatory sale arranged by the Company (on the Participant’s behalf pursuant to this authorization without further consent). If the Participant is subject to Section 16 of the Exchange Act, then withholding for Tax-Related Items shall be satisfied in accordance with Section 8(f) of the Plan, Section 5 of the Standard Terms and Conditions, and the withholding methodology approved by the Administrator for officers subject to Section 16 of the Exchange Act.</w:t>
      </w:r>
    </w:p>
    <w:p>
      <w:pPr>
        <w:spacing w:after="0" w:line="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and/or the Employer may withhold or account for Tax-Related Items by considering applicable minimum withholding amounts or other applicable withholding rates, including maximum applicable rates in the Participant’s jurisdiction. In the event of over-withholding, the Participant may receive a refund of any over-withheld amount in cash and will have no entitlement to the equivalent in Common Stock; otherwise, the Participant may be able to seek a refund from the local tax authorities. In the event of under-withholding, the Participant may be required to pay any additional Tax-Related Items directly to the applicable tax authority or to the Company and/or the Employer. If the Tax-Related Items are satisfied by withholding in shares of Common Stock, for tax purposes, the Participant is deemed to have been issued the full number of shares subject to the vested RSUs, notwithstanding that a number of the shares of Common Stock is held back solely for the purpose of paying the Tax-Related Items.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Participant further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may refuse to issue or deliver the shares of Common Stock or the proceeds from the sale of shares if the Participant fails to comply with the Participant’s obligations in connection with the Tax-Related Items.</w:t>
      </w:r>
    </w:p>
    <w:p>
      <w:pPr>
        <w:spacing w:after="0" w:line="144"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accepting the RSUs and any shares of Common Stock, the Participant agrees that:</w:t>
      </w:r>
    </w:p>
    <w:p>
      <w:pPr>
        <w:spacing w:after="0" w:line="212" w:lineRule="exact"/>
        <w:rPr>
          <w:sz w:val="20"/>
          <w:szCs w:val="20"/>
          <w:color w:val="auto"/>
        </w:rPr>
      </w:pPr>
    </w:p>
    <w:p>
      <w:pPr>
        <w:ind w:firstLine="1304"/>
        <w:spacing w:after="0" w:line="250" w:lineRule="auto"/>
        <w:tabs>
          <w:tab w:leader="none" w:pos="19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amended, suspended or terminated by the Company at any time, to the extent permitted by the Plan;</w:t>
      </w:r>
    </w:p>
    <w:p>
      <w:pPr>
        <w:spacing w:after="0" w:line="149"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(including, but not limited to, the Employer) has any obligation to make any payment of any kind to the Participant under the Award Document and any rights the Participant may have under the Award Document may be raised only against the Company and not any Subsidiary (including, but not limited to, the Employer);</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RSUs or other grants, if any, will be at the sole discretion of the Company;</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voluntarily participating in the Plan;</w:t>
      </w:r>
    </w:p>
    <w:p>
      <w:pPr>
        <w:spacing w:after="0" w:line="184" w:lineRule="exact"/>
        <w:rPr>
          <w:rFonts w:ascii="Times New Roman" w:cs="Times New Roman" w:eastAsia="Times New Roman" w:hAnsi="Times New Roman"/>
          <w:sz w:val="18"/>
          <w:szCs w:val="18"/>
          <w:color w:val="auto"/>
        </w:rPr>
      </w:pPr>
    </w:p>
    <w:p>
      <w:pPr>
        <w:ind w:firstLine="1304"/>
        <w:spacing w:after="0" w:line="250" w:lineRule="auto"/>
        <w:tabs>
          <w:tab w:leader="none" w:pos="193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any shares of Common Stock acquired under the Plan, and the income from and value of same, are not intended to replace any pension rights or compensation;</w:t>
      </w:r>
    </w:p>
    <w:p>
      <w:pPr>
        <w:spacing w:after="0" w:line="13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of Common Stock underlying the RSUs is unknown, indeterminable, and cannot be predicted 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178"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RSUs and the shares of Common Stock acquired under the Plan, and the income from and value of same, are not granted as consideration for, or in connection with, the service the Participant may provide as a director of any Subsidiary;</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RSUs resulting from the termination of the Participant’s Continuous Service (for any reason whatsoever, whether or not later found to be invalid or in breach of employment laws in the jurisdiction where the Participant is employed or otherwise providing services, or the terms of the Participant’s employment or other service agreement, if any) or from the application of any clawback or recoupment policy adopted by the Company or imposed by applicable law;</w:t>
      </w:r>
    </w:p>
    <w:p>
      <w:pPr>
        <w:spacing w:after="0" w:line="172"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RSUs and the benefits evidenced by the Award Document do not create any entitlement to have the RSUs or any such benefits transferred to, or assumed by, another company nor to be exchanged, cashed out or substituted for, in connection with any corporate transaction affecting the shares; and</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Subsidiary shall be liable for any foreign exchange rate fluctuation between the Participant’s local currency and the U.S. dollar that may affect the value of the RSUs or of any amounts due to the Participant pursuant to the vesting of the RSUs or the subsequent sale of any shares of Common Stock acquired upon vesting.</w:t>
      </w:r>
    </w:p>
    <w:p>
      <w:pPr>
        <w:spacing w:after="0" w:line="1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Privacy</w:t>
      </w:r>
    </w:p>
    <w:p>
      <w:pPr>
        <w:spacing w:after="0" w:line="19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By accepting the RSUs via the Company’s acceptance procedure, the Participant is declaring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76" w:lineRule="exact"/>
        <w:rPr>
          <w:sz w:val="20"/>
          <w:szCs w:val="20"/>
          <w:color w:val="auto"/>
        </w:rPr>
      </w:pPr>
    </w:p>
    <w:p>
      <w:pPr>
        <w:jc w:val="both"/>
        <w:ind w:firstLine="1304"/>
        <w:spacing w:after="0" w:line="268" w:lineRule="auto"/>
        <w:tabs>
          <w:tab w:leader="none" w:pos="193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Declaration of Consent</w:t>
      </w:r>
      <w:r>
        <w:rPr>
          <w:rFonts w:ascii="Times New Roman" w:cs="Times New Roman" w:eastAsia="Times New Roman" w:hAnsi="Times New Roman"/>
          <w:sz w:val="18"/>
          <w:szCs w:val="18"/>
          <w:b w:val="1"/>
          <w:bCs w:val="1"/>
          <w:i w:val="1"/>
          <w:iCs w:val="1"/>
          <w:color w:val="auto"/>
        </w:rPr>
        <w:t>. The Participant understands that he or she needs to review the following information about the processing of the Participant’s personal data by or on behalf of the Company, the Employer and/or any Subsidiary as described in this Award Document and any other RSU grant materials (the “Personal Data”) and declare his or her consent. As regards the processing of the</w:t>
      </w:r>
    </w:p>
    <w:p>
      <w:pPr>
        <w:sectPr>
          <w:pgSz w:w="11900" w:h="16838" w:orient="portrait"/>
          <w:cols w:equalWidth="0" w:num="1">
            <w:col w:w="11240"/>
          </w:cols>
          <w:pgMar w:left="320" w:top="1390" w:right="339" w:bottom="1440" w:gutter="0" w:footer="0" w:header="0"/>
        </w:sectPr>
      </w:pPr>
    </w:p>
    <w:bookmarkStart w:id="65" w:name="page66"/>
    <w:bookmarkEnd w:id="65"/>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Participant’s Personal Data in connection with the Plan and this Award Document, the Participant understands that the Company is the controller of the Participant’s Personal Data.</w:t>
      </w:r>
    </w:p>
    <w:p>
      <w:pPr>
        <w:spacing w:after="0" w:line="155" w:lineRule="exact"/>
        <w:rPr>
          <w:sz w:val="20"/>
          <w:szCs w:val="20"/>
          <w:color w:val="auto"/>
        </w:rPr>
      </w:pPr>
    </w:p>
    <w:p>
      <w:pPr>
        <w:jc w:val="both"/>
        <w:ind w:firstLine="1304"/>
        <w:spacing w:after="0" w:line="256" w:lineRule="auto"/>
        <w:tabs>
          <w:tab w:leader="none" w:pos="193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Processing and Legal Basis</w:t>
      </w:r>
      <w:r>
        <w:rPr>
          <w:rFonts w:ascii="Times New Roman" w:cs="Times New Roman" w:eastAsia="Times New Roman" w:hAnsi="Times New Roman"/>
          <w:sz w:val="18"/>
          <w:szCs w:val="18"/>
          <w:b w:val="1"/>
          <w:bCs w:val="1"/>
          <w:i w:val="1"/>
          <w:iCs w:val="1"/>
          <w:color w:val="auto"/>
        </w:rPr>
        <w:t>. The Company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details of all RSUs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94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Participant understands that the Company transfers the Participant’s Personal Data, or parts thereof, to E*TRADE Financial Corporation Services, Inc. (and its affiliated companies), an independent service provider based in the United States or IBI Capital for Israeli employees, each of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93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xml:space="preserve"> 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Company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Company’s legal basis for the transfer of the Participant’s Personal Data is the Participant’s consent.</w:t>
      </w:r>
    </w:p>
    <w:p>
      <w:pPr>
        <w:spacing w:after="0" w:line="185"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4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xml:space="preserve"> The Company will hold and use the Data only as long as is necessary to implement, administer and manage participation in the Plan or as required to comply with tax, exchange control, labor and securities laws, other applicable law, exercise or defense of legal rights, and archiving, back-up and deletion processes. This period may extend beyond the Participant's period of employment with the Employer.</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93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Voluntariness and Consequences of Denial/Withdrawal of Consent</w:t>
      </w:r>
      <w:r>
        <w:rPr>
          <w:rFonts w:ascii="Times New Roman" w:cs="Times New Roman" w:eastAsia="Times New Roman" w:hAnsi="Times New Roman"/>
          <w:sz w:val="18"/>
          <w:szCs w:val="18"/>
          <w:b w:val="1"/>
          <w:bCs w:val="1"/>
          <w:i w:val="1"/>
          <w:iCs w:val="1"/>
          <w:color w:val="auto"/>
        </w:rPr>
        <w:t>. Participation in the Plan is voluntary and the Participant is providing the consents herein on a purely voluntary basis. If the Participant does not consent, or later seeks to revoke their consent, the Participant's salary from or employment or other service with the Employer will not be affected; the only consequence of refusing or withdrawing consent is that the Company would not be able to grant RSUs or other equity awards to the Participant or administer or maintain such awards.</w:t>
      </w:r>
    </w:p>
    <w:p>
      <w:pPr>
        <w:spacing w:after="0" w:line="176"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93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w:t>
      </w:r>
    </w:p>
    <w:p>
      <w:pPr>
        <w:sectPr>
          <w:pgSz w:w="11900" w:h="16838" w:orient="portrait"/>
          <w:cols w:equalWidth="0" w:num="1">
            <w:col w:w="11240"/>
          </w:cols>
          <w:pgMar w:left="320" w:top="1386" w:right="33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85" w:lineRule="exact"/>
        <w:rPr>
          <w:sz w:val="20"/>
          <w:szCs w:val="20"/>
          <w:color w:val="auto"/>
        </w:rPr>
      </w:pPr>
    </w:p>
    <w:p>
      <w:pPr>
        <w:jc w:val="both"/>
        <w:ind w:firstLine="1304"/>
        <w:spacing w:after="0" w:line="256" w:lineRule="auto"/>
        <w:tabs>
          <w:tab w:leader="none" w:pos="1934"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Alternate Basis and Additional Consents.</w:t>
      </w:r>
      <w:r>
        <w:rPr>
          <w:rFonts w:ascii="Times New Roman" w:cs="Times New Roman" w:eastAsia="Times New Roman" w:hAnsi="Times New Roman"/>
          <w:sz w:val="18"/>
          <w:szCs w:val="18"/>
          <w:b w:val="1"/>
          <w:bCs w:val="1"/>
          <w:i w:val="1"/>
          <w:iCs w:val="1"/>
          <w:color w:val="auto"/>
        </w:rPr>
        <w:t xml:space="preserve"> Finally, the Participant understands that the Company may rely on a different basis for the processing or transfer of Personal Data in the future and/or request that the Participant provide another data privacy consent. If applicable, the Participant agrees that upon request of the Company or the Employer, the Participant will provide an executed acknowledgement or data privacy consent form (or any other agreements or consents) that the Company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Company and/or the Employer.</w:t>
      </w:r>
    </w:p>
    <w:p>
      <w:pPr>
        <w:spacing w:after="0" w:line="16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Acceptance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 agrees that the Company may, in its sole discretion, decide to deliver by email or other electronic means any documents relating to the Plan or the RSUs. Further, the Participant agrees to receive such documents by electronic delivery and agrees to participate in the Plan through an on-line or electronic system established and maintained by the Company or by a third party designated by the Company.</w:t>
      </w:r>
    </w:p>
    <w:p>
      <w:pPr>
        <w:spacing w:after="0" w:line="158"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Trading/Market Abuse Laws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Participant agrees to comply with the Company’s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RSUs) or rights linked to the value of Common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Company insider trading policy. The Participant is responsible for ensuring compliance with any applicable restrictions and should consult his or her personal legal advisor on this matter.</w:t>
      </w:r>
    </w:p>
    <w:p>
      <w:pPr>
        <w:spacing w:after="0" w:line="204"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 Tax and/or Foreign Asset/Account Reporting</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RSUs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In addition, the Participant agrees to take any and</w:t>
      </w:r>
    </w:p>
    <w:p>
      <w:pPr>
        <w:sectPr>
          <w:pgSz w:w="11900" w:h="16838" w:orient="portrait"/>
          <w:cols w:equalWidth="0" w:num="1">
            <w:col w:w="11240"/>
          </w:cols>
          <w:pgMar w:left="320" w:top="1386"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all actions, and consent to any and all actions taken by the Company or the Employer as may be required to allow the Company or the Employer to comply with local laws, rules and regulations in the Participant's country of residence (and country of employment, if different). The Participant acknowledges that it is the Participant’s responsibility to be compliant with such regulations, and the Participant should consult his or her personal legal advisor for any details.</w:t>
      </w:r>
    </w:p>
    <w:p>
      <w:pPr>
        <w:spacing w:after="0" w:line="189"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Language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Participant acknowledges that he or she is sufficiently proficient in English, or has consulted with an advisor who is sufficiently proficient in English so as to allow the Participant to understand the terms and conditions of this Award Document. Furthermore, if the Award Document or any other document related to the Plan has been translated into a language other than English and the meaning of the translated version is different than the English version, the English version will control, unless otherwise required by applicable law.</w:t>
      </w:r>
    </w:p>
    <w:p>
      <w:pPr>
        <w:sectPr>
          <w:pgSz w:w="11900" w:h="16838" w:orient="portrait"/>
          <w:cols w:equalWidth="0" w:num="1">
            <w:col w:w="11240"/>
          </w:cols>
          <w:pgMar w:left="320" w:top="139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2"/>
          <w:szCs w:val="22"/>
          <w:b w:val="1"/>
          <w:bCs w:val="1"/>
          <w:color w:val="auto"/>
        </w:rPr>
        <w:t>WESTERN DIGITAL CORPORATION 2021 LONG-TERM INCENTIVE PLAN AMENDED AND RESTATED NON-EMPLOYEE DIRECTOR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GRANT PROGRAM</w:t>
      </w:r>
    </w:p>
    <w:p>
      <w:pPr>
        <w:spacing w:after="0" w:line="203" w:lineRule="exact"/>
        <w:rPr>
          <w:sz w:val="20"/>
          <w:szCs w:val="20"/>
          <w:color w:val="auto"/>
        </w:rPr>
      </w:pPr>
    </w:p>
    <w:p>
      <w:pPr>
        <w:jc w:val="both"/>
        <w:ind w:firstLine="8"/>
        <w:spacing w:after="0" w:line="211" w:lineRule="auto"/>
        <w:tabs>
          <w:tab w:leader="none" w:pos="648"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Establishment</w:t>
      </w:r>
      <w:r>
        <w:rPr>
          <w:rFonts w:ascii="Times New Roman" w:cs="Times New Roman" w:eastAsia="Times New Roman" w:hAnsi="Times New Roman"/>
          <w:sz w:val="22"/>
          <w:szCs w:val="22"/>
          <w:color w:val="auto"/>
        </w:rPr>
        <w:t>. The Company maintains the Western Digital Corporation Non-Employee Director 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(the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which is hereby amended and restated in its entirety effective as of August 27, 2025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This amendment and restatement of the Program is effective as to grants on and after the Effective Date; awards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Program prior to the Effective Date are governed by the applicable terms of the Program as in effect on the date of grant of the award. Any shares of Common Stock issued with respect to Restricted Stock Unit Awards granted under the Program shall be charged against the applicable share limits of the Western Digital Corporation 2021 Long-Term Incentive Plan, as may be amended and/or restated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For the avoidance of doubt, the grant of a Cash Award, and its subsequent settlement, shall in no event reduce the number of shares of Common Stock available for issuance under the Plan. Except as otherwise expressly provided herein, the provisions of the Plan shall govern all awards made pursuant to the Program. Capitalized terms are defined in the Plan if not defined herein.</w:t>
      </w:r>
    </w:p>
    <w:p>
      <w:pPr>
        <w:spacing w:after="0" w:line="151" w:lineRule="exact"/>
        <w:rPr>
          <w:rFonts w:ascii="Times New Roman" w:cs="Times New Roman" w:eastAsia="Times New Roman" w:hAnsi="Times New Roman"/>
          <w:sz w:val="22"/>
          <w:szCs w:val="22"/>
          <w:b w:val="1"/>
          <w:bCs w:val="1"/>
          <w:color w:val="auto"/>
        </w:rPr>
      </w:pPr>
    </w:p>
    <w:p>
      <w:pPr>
        <w:jc w:val="both"/>
        <w:ind w:firstLine="8"/>
        <w:spacing w:after="0" w:line="218" w:lineRule="auto"/>
        <w:tabs>
          <w:tab w:leader="none" w:pos="648"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color w:val="auto"/>
        </w:rPr>
        <w:t>. The purpose of the Program is to promote the success of the Company and the interests of its stockholders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providing a means to attract and retain qualified persons who are not officers or employees of the Company or one of its Subsidiaries to serve as members of the Board (“</w:t>
      </w:r>
      <w:r>
        <w:rPr>
          <w:rFonts w:ascii="Times New Roman" w:cs="Times New Roman" w:eastAsia="Times New Roman" w:hAnsi="Times New Roman"/>
          <w:sz w:val="22"/>
          <w:szCs w:val="22"/>
          <w:b w:val="1"/>
          <w:bCs w:val="1"/>
          <w:color w:val="auto"/>
        </w:rPr>
        <w:t>Non-Employee Directors</w:t>
      </w:r>
      <w:r>
        <w:rPr>
          <w:rFonts w:ascii="Times New Roman" w:cs="Times New Roman" w:eastAsia="Times New Roman" w:hAnsi="Times New Roman"/>
          <w:sz w:val="22"/>
          <w:szCs w:val="22"/>
          <w:color w:val="auto"/>
        </w:rPr>
        <w:t>”) through an opportunity to receive Cash Awards or to acquire an ownership interest in the Company and more closely aligning the interests of Non-Employee Directors and stockholders.</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11" w:lineRule="auto"/>
        <w:tabs>
          <w:tab w:leader="none" w:pos="648"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Participation</w:t>
      </w:r>
      <w:r>
        <w:rPr>
          <w:rFonts w:ascii="Times New Roman" w:cs="Times New Roman" w:eastAsia="Times New Roman" w:hAnsi="Times New Roman"/>
          <w:sz w:val="22"/>
          <w:szCs w:val="22"/>
          <w:color w:val="auto"/>
        </w:rPr>
        <w:t>. A Restricted Stock Unit Award under the Program shall be made only to Non-Employee Directors,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evidenced by a Notice of Award of Restricted Stock Units substantially in the form attached as </w:t>
      </w:r>
      <w:r>
        <w:rPr>
          <w:rFonts w:ascii="Times New Roman" w:cs="Times New Roman" w:eastAsia="Times New Roman" w:hAnsi="Times New Roman"/>
          <w:sz w:val="22"/>
          <w:szCs w:val="22"/>
          <w:u w:val="single" w:color="auto"/>
          <w:color w:val="auto"/>
        </w:rPr>
        <w:t>Exhibit 1</w:t>
      </w:r>
      <w:r>
        <w:rPr>
          <w:rFonts w:ascii="Times New Roman" w:cs="Times New Roman" w:eastAsia="Times New Roman" w:hAnsi="Times New Roman"/>
          <w:sz w:val="22"/>
          <w:szCs w:val="22"/>
          <w:color w:val="auto"/>
        </w:rPr>
        <w:t xml:space="preserve"> hereto and shall be further subject to such other terms and conditions set forth therein. As used in the Program, the term “</w:t>
      </w:r>
      <w:r>
        <w:rPr>
          <w:rFonts w:ascii="Times New Roman" w:cs="Times New Roman" w:eastAsia="Times New Roman" w:hAnsi="Times New Roman"/>
          <w:sz w:val="22"/>
          <w:szCs w:val="22"/>
          <w:b w:val="1"/>
          <w:bCs w:val="1"/>
          <w:color w:val="auto"/>
        </w:rPr>
        <w:t>Restricted Stock Unit</w:t>
      </w:r>
      <w:r>
        <w:rPr>
          <w:rFonts w:ascii="Times New Roman" w:cs="Times New Roman" w:eastAsia="Times New Roman" w:hAnsi="Times New Roman"/>
          <w:sz w:val="22"/>
          <w:szCs w:val="22"/>
          <w:color w:val="auto"/>
        </w:rPr>
        <w:t>” shall mean a non-voting unit of measurement which is deemed for bookkeeping purposes to be equivalent to one outstanding share of Common Stock (subject to adjustment as provided in Section 9 of the Plan) solely for purposes of the Program. Restricted Stock Units shall be used solely as a device for the determination of the number of shares of Common Stock to eventually be delivered to a Non-Employee Director if Restricted Stock Units held by such Non-Employee Director vest pursuant to Section 7 or Section 9. Restricted Stock Units shall not be treated as property or as a trust fund of any kind. Restricted Stock Units granted to a Non-Employee Director pursuant to the Program shall be credited to an unfunded bookkeeping account maintained by the Company on behalf of the Non-Employee Director (a “</w:t>
      </w:r>
      <w:r>
        <w:rPr>
          <w:rFonts w:ascii="Times New Roman" w:cs="Times New Roman" w:eastAsia="Times New Roman" w:hAnsi="Times New Roman"/>
          <w:sz w:val="22"/>
          <w:szCs w:val="22"/>
          <w:b w:val="1"/>
          <w:bCs w:val="1"/>
          <w:color w:val="auto"/>
        </w:rPr>
        <w:t>Program Account</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22"/>
          <w:szCs w:val="22"/>
          <w:color w:val="auto"/>
        </w:rPr>
        <w:t>Notwithstanding anything to the contrary herein, any Non-Employee Director who serves as a member of the Board pursuant to a contractual right of an investor of the Company (an “Investor Designated Director”) shall receive his or her award in the form of a Cash Award in lieu of a Restricted Stock Unit Award. As used in the Program, the term “Cash Award” shall mean an award of cash that is granted under the Plan. A Cash Award under the Program shall be made only to Investor Designated Directors and shall be further subject to such other terms and conditions set forth therein.</w:t>
      </w:r>
    </w:p>
    <w:p>
      <w:pPr>
        <w:spacing w:after="0" w:line="17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Annual Restricted Stock Unit Awards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96" w:right="339" w:bottom="1440" w:gutter="0" w:footer="0" w:header="0"/>
        </w:sectPr>
      </w:pPr>
    </w:p>
    <w:bookmarkStart w:id="69" w:name="page70"/>
    <w:bookmarkEnd w:id="69"/>
    <w:p>
      <w:pPr>
        <w:jc w:val="both"/>
        <w:ind w:left="660"/>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i w:val="1"/>
          <w:iCs w:val="1"/>
          <w:color w:val="auto"/>
        </w:rPr>
        <w:t>Annual Awards</w:t>
      </w:r>
      <w:r>
        <w:rPr>
          <w:rFonts w:ascii="Times New Roman" w:cs="Times New Roman" w:eastAsia="Times New Roman" w:hAnsi="Times New Roman"/>
          <w:sz w:val="22"/>
          <w:szCs w:val="22"/>
          <w:color w:val="auto"/>
        </w:rPr>
        <w:t>. On the date of and immediately following the Company’s regular annual meeting of stockholders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each year during the term of the Plan commencing with 2021, each Non-Employee Director who is not an Investor Designated Director then in office shall be granted automatically (without any action by the Board or the Administrator) a Restricted Stock Unit Award with respect to a number (rounded down to the nearest whole number) of Restricted Stock Units equal to (i) $240,000 ($290,000 in the case of a Non-Employee Director then serving as Chair of the Board and $280,000 in the case of a Non-Employee Director then serving as Lead Independent Director), divided by (ii) the 20-day trailing average of the closing prices (in regular trading) of a share of Common Stock on The Nasdaq Stock Market prior to, and exclusive of, the applicable annual meeting date (subject to adjustment as provided in Section 9 of the Plan). An individual who was previously a member of the Board, who then ceased to be a member of the Board for any reason, and who then again becomes a Non-Employee Director shall thereupon again become eligible to be granted Restricted Stock Units under this Section 4.1.</w:t>
      </w:r>
    </w:p>
    <w:p>
      <w:pPr>
        <w:spacing w:after="0" w:line="145" w:lineRule="exact"/>
        <w:rPr>
          <w:sz w:val="20"/>
          <w:szCs w:val="20"/>
          <w:color w:val="auto"/>
        </w:rPr>
      </w:pPr>
    </w:p>
    <w:p>
      <w:pPr>
        <w:jc w:val="both"/>
        <w:ind w:left="660"/>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4.2 </w:t>
      </w:r>
      <w:r>
        <w:rPr>
          <w:rFonts w:ascii="Times New Roman" w:cs="Times New Roman" w:eastAsia="Times New Roman" w:hAnsi="Times New Roman"/>
          <w:sz w:val="21"/>
          <w:szCs w:val="21"/>
          <w:b w:val="1"/>
          <w:bCs w:val="1"/>
          <w:i w:val="1"/>
          <w:iCs w:val="1"/>
          <w:color w:val="auto"/>
        </w:rPr>
        <w:t>Initial Award for New Directors</w:t>
      </w:r>
      <w:r>
        <w:rPr>
          <w:rFonts w:ascii="Times New Roman" w:cs="Times New Roman" w:eastAsia="Times New Roman" w:hAnsi="Times New Roman"/>
          <w:sz w:val="21"/>
          <w:szCs w:val="21"/>
          <w:color w:val="auto"/>
        </w:rPr>
        <w:t>. Upon first being appointed or elected to the Board, a Non-Employee Director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who is not an Investor Designated Director and who has not previously served on the Board shall be granted automatically (without any action by the Board or the Administrator) a Restricted Stock Unit Award with respect to a number of Restricted Stock Units equal to (i) the number of Restricted Stock Units in the annual Restricted Stock Unit Award immediately preceding the date such Non-Employee Director is first appointed or elected to the Board, divided by</w:t>
      </w:r>
    </w:p>
    <w:p>
      <w:pPr>
        <w:spacing w:after="0" w:line="3" w:lineRule="exact"/>
        <w:rPr>
          <w:sz w:val="20"/>
          <w:szCs w:val="20"/>
          <w:color w:val="auto"/>
        </w:rPr>
      </w:pPr>
    </w:p>
    <w:p>
      <w:pPr>
        <w:ind w:left="660" w:hanging="4"/>
        <w:spacing w:after="0" w:line="225" w:lineRule="auto"/>
        <w:tabs>
          <w:tab w:leader="none" w:pos="98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365, multiplied by (iii) the number of days from the date such Non-Employee Director is first appointed or elected to the Board to the scheduled date of the Company’s next annual meeting of stockholders.</w:t>
      </w:r>
    </w:p>
    <w:p>
      <w:pPr>
        <w:spacing w:after="0" w:line="144" w:lineRule="exact"/>
        <w:rPr>
          <w:sz w:val="20"/>
          <w:szCs w:val="20"/>
          <w:color w:val="auto"/>
        </w:rPr>
      </w:pPr>
    </w:p>
    <w:p>
      <w:pPr>
        <w:jc w:val="both"/>
        <w:ind w:left="660"/>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b w:val="1"/>
          <w:bCs w:val="1"/>
          <w:i w:val="1"/>
          <w:iCs w:val="1"/>
          <w:color w:val="auto"/>
        </w:rPr>
        <w:t>Transfer Restrictions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granted pursuant to this Section 4 shall be non-transferable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subject in any manner to sale, transfer, anticipation, alienation, assignment, pledge, encumbrance or charge and any shares of Common Stock issuable pursuant to the Restricted Stock Units shall be delivered only to (or for the account of) the Non-Employee Director to whom such Restricted Stock Units were granted.</w:t>
      </w:r>
    </w:p>
    <w:p>
      <w:pPr>
        <w:spacing w:after="0" w:line="146"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Annual Cash Awards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b w:val="1"/>
          <w:bCs w:val="1"/>
          <w:color w:val="auto"/>
        </w:rPr>
      </w:pPr>
    </w:p>
    <w:p>
      <w:pPr>
        <w:jc w:val="both"/>
        <w:ind w:left="660"/>
        <w:spacing w:after="0" w:line="21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b w:val="1"/>
          <w:bCs w:val="1"/>
          <w:i w:val="1"/>
          <w:iCs w:val="1"/>
          <w:color w:val="auto"/>
        </w:rPr>
        <w:t>Annual Awards</w:t>
      </w:r>
      <w:r>
        <w:rPr>
          <w:rFonts w:ascii="Times New Roman" w:cs="Times New Roman" w:eastAsia="Times New Roman" w:hAnsi="Times New Roman"/>
          <w:sz w:val="22"/>
          <w:szCs w:val="22"/>
          <w:color w:val="auto"/>
        </w:rPr>
        <w:t>. On the date of and immediately following the Company’s regular annual meeting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stockholders in each year during the term of the Plan commencing with 2023, each Investor Designated Director then in office shall be granted automatically (without any action by the Board or the Administrator) a Cash Award with a value equal to $240,000 ($290,000 in the case of an Investor Designated Director then serving as Chair of the Board and $280,000 in the case of an Investor Designated Director then serving as Lead Independent Director). An individual who was previously a member of the Board, who then ceased to be a member of the Board for any reason, and who then again becomes an Investor Designated Director shall thereupon again become eligible to be granted a Cash Award under this Section 5.1.</w:t>
      </w:r>
    </w:p>
    <w:p>
      <w:pPr>
        <w:spacing w:after="0" w:line="147" w:lineRule="exact"/>
        <w:rPr>
          <w:rFonts w:ascii="Times New Roman" w:cs="Times New Roman" w:eastAsia="Times New Roman" w:hAnsi="Times New Roman"/>
          <w:sz w:val="22"/>
          <w:szCs w:val="22"/>
          <w:b w:val="1"/>
          <w:bCs w:val="1"/>
          <w:color w:val="auto"/>
        </w:rPr>
      </w:pPr>
    </w:p>
    <w:p>
      <w:pPr>
        <w:jc w:val="both"/>
        <w:ind w:left="660"/>
        <w:spacing w:after="0" w:line="21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b w:val="1"/>
          <w:bCs w:val="1"/>
          <w:i w:val="1"/>
          <w:iCs w:val="1"/>
          <w:color w:val="auto"/>
        </w:rPr>
        <w:t>Initial Award for New Directors</w:t>
      </w:r>
      <w:r>
        <w:rPr>
          <w:rFonts w:ascii="Times New Roman" w:cs="Times New Roman" w:eastAsia="Times New Roman" w:hAnsi="Times New Roman"/>
          <w:sz w:val="22"/>
          <w:szCs w:val="22"/>
          <w:color w:val="auto"/>
        </w:rPr>
        <w:t>. Upon first being appointed or elected to the Board, an Investor Designated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 who has not previously served on the Board shall be granted automatically (without any action by the Board or the Administrator) a Cash Award in an amount equal to (i) $240,000 ($290,000 in the case of an Investor Designated Director then serving as Chair of the Board and $280,000 in the case of an Investor Designated Director then serving as Lead Independent Director) divided by (ii) 365, multiplied by (iii) the number of days from the date such Investor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89" w:right="339" w:bottom="1440" w:gutter="0" w:footer="0" w:header="0"/>
        </w:sectPr>
      </w:pPr>
    </w:p>
    <w:bookmarkStart w:id="70" w:name="page71"/>
    <w:bookmarkEnd w:id="70"/>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Director is first appointed or elected to the Board to the scheduled date of the Company’s next annual meeting of stockholders.</w:t>
      </w:r>
    </w:p>
    <w:p>
      <w:pPr>
        <w:spacing w:after="0" w:line="144" w:lineRule="exact"/>
        <w:rPr>
          <w:sz w:val="20"/>
          <w:szCs w:val="20"/>
          <w:color w:val="auto"/>
        </w:rPr>
      </w:pPr>
    </w:p>
    <w:p>
      <w:pPr>
        <w:jc w:val="both"/>
        <w:ind w:left="660"/>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5.3 </w:t>
      </w:r>
      <w:r>
        <w:rPr>
          <w:rFonts w:ascii="Times New Roman" w:cs="Times New Roman" w:eastAsia="Times New Roman" w:hAnsi="Times New Roman"/>
          <w:sz w:val="22"/>
          <w:szCs w:val="22"/>
          <w:b w:val="1"/>
          <w:bCs w:val="1"/>
          <w:i w:val="1"/>
          <w:iCs w:val="1"/>
          <w:color w:val="auto"/>
        </w:rPr>
        <w:t>Transfer Restrictions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Awards granted pursuant to this Section 5 shall be non-transferable and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in any manner to sale, transfer, anticipation, alienation, assignment, pledge, encumbrance or charge and any cash payable pursuant to the Cash Award shall be delivered only to the Investor Designated Director to whom such Cash Award was granted, or his or her designee, if applicable.</w:t>
      </w:r>
    </w:p>
    <w:p>
      <w:pPr>
        <w:spacing w:after="0" w:line="146"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and Voting Rights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b w:val="1"/>
          <w:bCs w:val="1"/>
          <w:color w:val="auto"/>
        </w:rPr>
      </w:pPr>
    </w:p>
    <w:p>
      <w:pPr>
        <w:jc w:val="both"/>
        <w:ind w:left="660"/>
        <w:spacing w:after="0" w:line="21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22"/>
          <w:szCs w:val="22"/>
          <w:b w:val="1"/>
          <w:bCs w:val="1"/>
          <w:i w:val="1"/>
          <w:iCs w:val="1"/>
          <w:color w:val="auto"/>
        </w:rPr>
        <w:t>Limitation of Rights Associated with Restricted Stock Units</w:t>
      </w:r>
      <w:r>
        <w:rPr>
          <w:rFonts w:ascii="Times New Roman" w:cs="Times New Roman" w:eastAsia="Times New Roman" w:hAnsi="Times New Roman"/>
          <w:sz w:val="22"/>
          <w:szCs w:val="22"/>
          <w:color w:val="auto"/>
        </w:rPr>
        <w:t>. A Non-Employee Director shall have no rights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 of the Company, no dividend rights (except as expressly provided in Section 6.2 with respect to dividend equivalent rights) and no voting rights, with respect to Restricted Stock Units granted pursuant to the Program and any shares of Common Stock underlying or issuable in respect of such Restricted Stock Units until such shares of Common Stock are actually issued to and held of record by the Non-Employee Director. No adjustments will be made for dividends or other rights of a holder for which the record date is prior to the date of issuance of the stock certificate.</w:t>
      </w:r>
    </w:p>
    <w:p>
      <w:pPr>
        <w:spacing w:after="0" w:line="145" w:lineRule="exact"/>
        <w:rPr>
          <w:rFonts w:ascii="Times New Roman" w:cs="Times New Roman" w:eastAsia="Times New Roman" w:hAnsi="Times New Roman"/>
          <w:sz w:val="22"/>
          <w:szCs w:val="22"/>
          <w:b w:val="1"/>
          <w:bCs w:val="1"/>
          <w:color w:val="auto"/>
        </w:rPr>
      </w:pPr>
    </w:p>
    <w:p>
      <w:pPr>
        <w:jc w:val="both"/>
        <w:ind w:left="660"/>
        <w:spacing w:after="0" w:line="20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22"/>
          <w:szCs w:val="22"/>
          <w:b w:val="1"/>
          <w:bCs w:val="1"/>
          <w:i w:val="1"/>
          <w:iCs w:val="1"/>
          <w:color w:val="auto"/>
        </w:rPr>
        <w:t>Dividend Equivalent Rights</w:t>
      </w:r>
      <w:r>
        <w:rPr>
          <w:rFonts w:ascii="Times New Roman" w:cs="Times New Roman" w:eastAsia="Times New Roman" w:hAnsi="Times New Roman"/>
          <w:sz w:val="22"/>
          <w:szCs w:val="22"/>
          <w:color w:val="auto"/>
        </w:rPr>
        <w:t>. As of any date that the Company pays a dividend (other than in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upon issued and outstanding Common Stock, or makes a distribution (other than in shares of Common Stock) with respect thereto, a Non-Employee Director’s Program Account shall be credited with an additional number (rounded down to the nearest whole number) of Restricted Stock Units equal to (i) the “fair value” of any dividend (or other distribution) with respect to one share of Common Stock, multiplied by (ii) the number of unpaid Restricted Stock Units credited to the Non-Employee Director’s Program Account immediately prior to such dividend or distribution, divided by (iii) the Fair Market Value of a share of Common Stock on the date of payment of such dividend or distribution. In the case of a cash dividend or distribution, the “fair value” thereof shall be the amount of such cash, and, in the case of any other dividend or distribution (other than in shares of Common Stock), the “fair value” thereof shall be such amount as shall be determined in good faith by the Administrator. Restricted Stock Units credited pursuant to the foregoing provisions of this Section 6.2 shall be subject to the same vesting, payment and other terms, conditions and restrictions as the original Restricted Stock Units to which they relate. No adjustment shall be made pursuant to Section 9 of the Plan as to Restricted Stock Units granted pursuant to the Program in connection with any dividend (other than in shares of Common Stock) or distribution (other than in shares of Common Stock) for which dividend equivalents are credited pursuant to the foregoing provisions of this Section 6.2. Restricted Stock Units granted pursuant to the Program shall otherwise be subject to adjustment pursuant to Section 9 of the Plan (for example, and without limitation, in connection with a split or reverse split of the outstanding Common Stock).</w:t>
      </w:r>
    </w:p>
    <w:p>
      <w:pPr>
        <w:spacing w:after="0" w:line="162" w:lineRule="exact"/>
        <w:rPr>
          <w:rFonts w:ascii="Times New Roman" w:cs="Times New Roman" w:eastAsia="Times New Roman" w:hAnsi="Times New Roman"/>
          <w:sz w:val="22"/>
          <w:szCs w:val="22"/>
          <w:b w:val="1"/>
          <w:bCs w:val="1"/>
          <w:color w:val="auto"/>
        </w:rPr>
      </w:pPr>
    </w:p>
    <w:p>
      <w:pPr>
        <w:jc w:val="both"/>
        <w:ind w:firstLine="8"/>
        <w:spacing w:after="0" w:line="218" w:lineRule="auto"/>
        <w:tabs>
          <w:tab w:leader="none" w:pos="64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Subject to Section 9 hereof and Section 9 of the Plan, a Restricted Stock Unit Award or Cash Award granted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Non-Employee Director pursuant to the Program (whether pursuant to Section 4, Section 5 or Section 6.2) (an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shall vest and become payable as to 100% of the total number of Restricted Stock Units or cash, as applicable, subject thereto on the first to occur of (i) the first anniversary of the date of grant of the Award or (ii) immediately prior to the Company’s first regular meeting of stockholders following the date of grant of the Award.</w:t>
      </w:r>
    </w:p>
    <w:p>
      <w:pPr>
        <w:spacing w:after="0" w:line="147" w:lineRule="exact"/>
        <w:rPr>
          <w:rFonts w:ascii="Times New Roman" w:cs="Times New Roman" w:eastAsia="Times New Roman" w:hAnsi="Times New Roman"/>
          <w:sz w:val="22"/>
          <w:szCs w:val="22"/>
          <w:b w:val="1"/>
          <w:bCs w:val="1"/>
          <w:color w:val="auto"/>
        </w:rPr>
      </w:pPr>
    </w:p>
    <w:p>
      <w:pPr>
        <w:ind w:right="20" w:firstLine="8"/>
        <w:spacing w:after="0" w:line="238" w:lineRule="auto"/>
        <w:tabs>
          <w:tab w:leader="none" w:pos="64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Continuation of Services</w:t>
      </w:r>
      <w:r>
        <w:rPr>
          <w:rFonts w:ascii="Times New Roman" w:cs="Times New Roman" w:eastAsia="Times New Roman" w:hAnsi="Times New Roman"/>
          <w:sz w:val="22"/>
          <w:szCs w:val="22"/>
          <w:color w:val="auto"/>
        </w:rPr>
        <w:t>. The vesting schedule requires continued service through each applicable vesting date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 to the vesting of the applicable installment of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71" w:name="page72"/>
    <w:bookmarkEnd w:id="71"/>
    <w:p>
      <w:pPr>
        <w:jc w:val="both"/>
        <w:spacing w:after="0" w:line="215" w:lineRule="auto"/>
        <w:rPr>
          <w:sz w:val="20"/>
          <w:szCs w:val="20"/>
          <w:color w:val="auto"/>
        </w:rPr>
      </w:pPr>
      <w:r>
        <w:rPr>
          <w:rFonts w:ascii="Times New Roman" w:cs="Times New Roman" w:eastAsia="Times New Roman" w:hAnsi="Times New Roman"/>
          <w:sz w:val="22"/>
          <w:szCs w:val="22"/>
          <w:color w:val="auto"/>
        </w:rPr>
        <w:t>and the rights and benefits under the Program. Service for only a portion of the vesting period, even if a substantial portion, will not entitle a Non-Employee Director to any proportionate vesting or avoid or mitigate a termination of rights and benefits upon or following a termination of services as provided in Section 9 below. Nothing contained in the Program constitutes a continued service commitment by the Company, confers upon a Non-Employee Director any right to remain in service to the Company, interferes with the right of the Company at any time to terminate such service, or affects the right of the Company to increase or decrease a Non-Employee Director’s other compensation.</w:t>
      </w:r>
    </w:p>
    <w:p>
      <w:pPr>
        <w:spacing w:after="0" w:line="148" w:lineRule="exact"/>
        <w:rPr>
          <w:sz w:val="20"/>
          <w:szCs w:val="20"/>
          <w:color w:val="auto"/>
        </w:rPr>
      </w:pPr>
    </w:p>
    <w:p>
      <w:pPr>
        <w:jc w:val="both"/>
        <w:ind w:firstLine="8"/>
        <w:spacing w:after="0" w:line="227" w:lineRule="auto"/>
        <w:tabs>
          <w:tab w:leader="none" w:pos="648"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Directorship</w:t>
      </w:r>
      <w:r>
        <w:rPr>
          <w:rFonts w:ascii="Times New Roman" w:cs="Times New Roman" w:eastAsia="Times New Roman" w:hAnsi="Times New Roman"/>
          <w:sz w:val="22"/>
          <w:szCs w:val="22"/>
          <w:color w:val="auto"/>
        </w:rPr>
        <w:t>. Subject to earlier termination pursuant to Section 9 of the Plan, if a Non-Employee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 incurs a Separation from Service (as defined below) for any reason, the following rules shall apply with respect to any Award granted to the Non-Employee Director pursuant to Section 4 or 5 above:</w:t>
      </w:r>
    </w:p>
    <w:p>
      <w:pPr>
        <w:spacing w:after="0" w:line="177" w:lineRule="exact"/>
        <w:rPr>
          <w:rFonts w:ascii="Times New Roman" w:cs="Times New Roman" w:eastAsia="Times New Roman" w:hAnsi="Times New Roman"/>
          <w:sz w:val="22"/>
          <w:szCs w:val="22"/>
          <w:b w:val="1"/>
          <w:bCs w:val="1"/>
          <w:color w:val="auto"/>
        </w:rPr>
      </w:pPr>
    </w:p>
    <w:p>
      <w:pPr>
        <w:jc w:val="both"/>
        <w:ind w:left="1300" w:hanging="644"/>
        <w:spacing w:after="0" w:line="257" w:lineRule="auto"/>
        <w:tabs>
          <w:tab w:leader="none" w:pos="1295"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expressly provided below in this Section 9, all Awards granted to the Non-Employee Director pursuant to the Program that have not vested as of the Non-Employee Director’s Separation from Service, shall immediately terminate without payment therefor;</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5"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Non-Employee Director’s Separation from Service occurs due to his or her death or Disability (as defined below), all Awards granted to the Non-Employee Director pursuant to the Program shall immediately vest and become payable as provided in Section 10 below; and</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5"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Non-Employee Director ceases to be a member of the Board due to his or her Removal (as defined below), all then-unvested Awards granted to the Non-Employee Director pursuant to the Program shall immediately terminate without payment therefor.</w:t>
      </w:r>
    </w:p>
    <w:p>
      <w:pPr>
        <w:spacing w:after="0" w:line="1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For purposes of this Section 9, the term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shall mean a period of disability during which a Non-Employee Director qualified for permanent disability benefits under the Company’s long-term disability plan, or, if the Non-Employee Director does not participate in such a plan, a period of disability during which the Non-Employee Director would have qualified for permanent disability benefits under such a plan had the Non-Employee Director been a participant in such a plan, as determined in the sole discretion of the Administrator. If the Company does not sponsor such a plan, or discontinues to sponsor such a plan, Disability shall be determined by the Administrator in its sole discretion. For purposes of this Section 9, the term “</w:t>
      </w:r>
      <w:r>
        <w:rPr>
          <w:rFonts w:ascii="Times New Roman" w:cs="Times New Roman" w:eastAsia="Times New Roman" w:hAnsi="Times New Roman"/>
          <w:sz w:val="21"/>
          <w:szCs w:val="21"/>
          <w:b w:val="1"/>
          <w:bCs w:val="1"/>
          <w:color w:val="auto"/>
        </w:rPr>
        <w:t>Removal</w:t>
      </w:r>
      <w:r>
        <w:rPr>
          <w:rFonts w:ascii="Times New Roman" w:cs="Times New Roman" w:eastAsia="Times New Roman" w:hAnsi="Times New Roman"/>
          <w:sz w:val="21"/>
          <w:szCs w:val="21"/>
          <w:color w:val="auto"/>
        </w:rPr>
        <w:t>” shall mean the removal of a Non-Employee Director from the Board, with or without cause, in accordance with the Company’s Certificate of Incorporation, Bylaws or the Delaware General Corporation Law. For purposes of this Section 9, the term “</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with respect to a Non-Employee Director, shall mean the date the Non-Employee Director ceases to be a member of the Board (regardless of the reason); provided, however, that if the Non-Employee Director is immediately thereafter employed by the Company or one of its Subsidiaries, such director’s Separation from Service shall be the date such director incurs a “separation from service” as such term is defined for purposes of Section 409A of the Code.</w:t>
      </w:r>
    </w:p>
    <w:p>
      <w:pPr>
        <w:spacing w:after="0" w:line="143" w:lineRule="exact"/>
        <w:rPr>
          <w:sz w:val="20"/>
          <w:szCs w:val="20"/>
          <w:color w:val="auto"/>
        </w:rPr>
      </w:pPr>
    </w:p>
    <w:p>
      <w:pPr>
        <w:ind w:firstLine="8"/>
        <w:spacing w:after="0" w:line="238" w:lineRule="auto"/>
        <w:tabs>
          <w:tab w:leader="none" w:pos="648"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Timing and Manner of Payment of Awards</w:t>
      </w:r>
      <w:r>
        <w:rPr>
          <w:rFonts w:ascii="Times New Roman" w:cs="Times New Roman" w:eastAsia="Times New Roman" w:hAnsi="Times New Roman"/>
          <w:sz w:val="22"/>
          <w:szCs w:val="22"/>
          <w:color w:val="auto"/>
        </w:rPr>
        <w:t>. Except as provided in Section 11 below, on or within thirty (30)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following the first to occur of (i) the first anniversary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72" w:name="page73"/>
    <w:bookmarkEnd w:id="72"/>
    <w:p>
      <w:pPr>
        <w:jc w:val="both"/>
        <w:spacing w:after="0" w:line="208" w:lineRule="auto"/>
        <w:rPr>
          <w:sz w:val="20"/>
          <w:szCs w:val="20"/>
          <w:color w:val="auto"/>
        </w:rPr>
      </w:pPr>
      <w:r>
        <w:rPr>
          <w:rFonts w:ascii="Times New Roman" w:cs="Times New Roman" w:eastAsia="Times New Roman" w:hAnsi="Times New Roman"/>
          <w:sz w:val="22"/>
          <w:szCs w:val="22"/>
          <w:color w:val="auto"/>
        </w:rPr>
        <w:t>date of grant of the Award, or (ii) the Non-Employee Director’s Separation from Service, the Company shall deliver to the Non-Employee Director a number of shares of Common Stock (either by delivering one or more certificates for such shares or by entering such shares in book entry form, as determined by the Company in its sole discretion) equal to the number of Restricted Stock Units (if any), or an amount in cash, as applicable, that vested with respect to the corresponding Award in accordance with the provisions hereof, subject to adjustment as provided in Section 9 of the Plan; provided, however, that, to the extent permitted by the Company’s Amended and Restated Deferred Compensation Plan, as it may be amended from time to time (the “</w:t>
      </w:r>
      <w:r>
        <w:rPr>
          <w:rFonts w:ascii="Times New Roman" w:cs="Times New Roman" w:eastAsia="Times New Roman" w:hAnsi="Times New Roman"/>
          <w:sz w:val="22"/>
          <w:szCs w:val="22"/>
          <w:b w:val="1"/>
          <w:bCs w:val="1"/>
          <w:color w:val="auto"/>
        </w:rPr>
        <w:t>Deferred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Compensation Plan</w:t>
      </w:r>
      <w:r>
        <w:rPr>
          <w:rFonts w:ascii="Times New Roman" w:cs="Times New Roman" w:eastAsia="Times New Roman" w:hAnsi="Times New Roman"/>
          <w:sz w:val="22"/>
          <w:szCs w:val="22"/>
          <w:color w:val="auto"/>
        </w:rPr>
        <w:t>”), a Non-Employee Director may elect to defer receipt of any or all shares of Common Stock payable,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payable, as applicable, with respect to an Award that vests pursuant to the Program. Such elections shall be made, and any such deferral shall be effected and administered, in accordance with the Deferred Compensation Plan. The Company’s obligation to deliver shares of Common Stock or cash, as applicable, with respect to a vested Award is subject to the condition precedent that the Non-Employee Director (or other person entitled under the Plan to receive shares of Common Stock or cash, as applicable, with respect to the vested Award) deliver to the Company any representations or other documents or assurances the Company may require with respect to compliance with applicable laws. A Non-Employee Director shall have no further rights with respect to any Restricted Stock Units that are paid or that are terminated pursuant to Section 9 hereof or Section 9 of the Plan, and such Restricted Stock Units shall be removed from the Non-Employee Director’s Program Account upon the date of such payment or termination.</w:t>
      </w:r>
    </w:p>
    <w:p>
      <w:pPr>
        <w:spacing w:after="0" w:line="160" w:lineRule="exact"/>
        <w:rPr>
          <w:sz w:val="20"/>
          <w:szCs w:val="20"/>
          <w:color w:val="auto"/>
        </w:rPr>
      </w:pPr>
    </w:p>
    <w:p>
      <w:pPr>
        <w:jc w:val="both"/>
        <w:ind w:firstLine="8"/>
        <w:spacing w:after="0" w:line="214" w:lineRule="auto"/>
        <w:tabs>
          <w:tab w:leader="none" w:pos="636"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 Events</w:t>
      </w:r>
      <w:r>
        <w:rPr>
          <w:rFonts w:ascii="Times New Roman" w:cs="Times New Roman" w:eastAsia="Times New Roman" w:hAnsi="Times New Roman"/>
          <w:sz w:val="22"/>
          <w:szCs w:val="22"/>
          <w:color w:val="auto"/>
        </w:rPr>
        <w:t>. An Award may vest and become payable in connection with the occurrence of certain events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involving the Company as provided for in Section 9 of the Plan; provided, however, that, notwithstanding anything to the contrary in the Program or the Plan, if the event giving rise to such accelerated vesting is not also a “change in the ownership or effective control” of the Company or a “change in the ownership of a substantial portion of the assets” of the Company for purposes of Section 409A of the Code, or an acceleration of payment of the Award would otherwise result in any tax liability pursuant to Section 409A of the Code, then payment with respect to such vested Award shall not be made until such Award would have become vested and payable without regard to this Section 11 or Section 9 of the Plan.</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08" w:lineRule="auto"/>
        <w:tabs>
          <w:tab w:leader="none" w:pos="648"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Plan Provisions; Maximum Number of Shares; Amendment; Administration; Construction</w:t>
      </w:r>
      <w:r>
        <w:rPr>
          <w:rFonts w:ascii="Times New Roman" w:cs="Times New Roman" w:eastAsia="Times New Roman" w:hAnsi="Times New Roman"/>
          <w:sz w:val="22"/>
          <w:szCs w:val="22"/>
          <w:color w:val="auto"/>
        </w:rPr>
        <w:t>. Awards granted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Program shall otherwise be subject to the terms of the Plan (including, without limitation, the provisions of Section 9 of the Plan). If Restricted Stock Unit Awards otherwise required pursuant to the Program would otherwise exceed any applicable share limit under Section 3(a) of the Plan, such grants shall be made pro-rata to Non-Employee Directors entitled to such grants. The Board may from time to time amend the Program without stockholder approval; provided that no such amendment shall materially and adversely affect the rights of a Non-Employee Director as to an Award granted under the Program before the adoption of such amendment. The Board may amend, modify, suspend or terminate outstanding Awards; provided, however, that outstanding Awards shall not be amended, modified, suspended or terminated so as to impair any rights of the recipient of the Award without the consent of such recipient. If any such amendment or modification to an outstanding Award has the result of accelerating the vesting of such Award, then any election that had been made to defer receipt of payment with respect to all or any portion of the Award pursuant to the Deferred Compensation Plan shall be disregarded. The Program does not limit the Board’s authority to make other, discretionary grants of Awards to Non-Employee Directors pursuant to the Plan. The Administrator’s power and authority to construe and interpret the Plan and Awards thereunder pursuant to Section 2 of the Plan shall extend to the Program and Awards granted hereunder. As provided in Section 2(f) of the Plan, all determinations, interpretations and constructions made by the Administrator in good faith will not be subject to review by any person and will be final, binding and conclusive on all persons. It is intended that the terms of the Program and all Awards granted under the Program will not result in the imposition of any tax liability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73" w:name="page74"/>
    <w:bookmarkEnd w:id="73"/>
    <w:p>
      <w:pPr>
        <w:spacing w:after="0" w:line="236" w:lineRule="auto"/>
        <w:rPr>
          <w:sz w:val="20"/>
          <w:szCs w:val="20"/>
          <w:color w:val="auto"/>
        </w:rPr>
      </w:pPr>
      <w:r>
        <w:rPr>
          <w:rFonts w:ascii="Times New Roman" w:cs="Times New Roman" w:eastAsia="Times New Roman" w:hAnsi="Times New Roman"/>
          <w:sz w:val="22"/>
          <w:szCs w:val="22"/>
          <w:color w:val="auto"/>
        </w:rPr>
        <w:t>to Section 409A of the Code. The Program and all Awards granted hereunder shall be construed and interpreted consistent with that intent.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Irving Tan, certify that:</w:t>
      </w:r>
    </w:p>
    <w:p>
      <w:pPr>
        <w:spacing w:after="0" w:line="104"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220" w:firstLine="8"/>
        <w:spacing w:after="0" w:line="266"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Irving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Irving Tan</w:t>
      </w:r>
    </w:p>
    <w:p>
      <w:pPr>
        <w:spacing w:after="0" w:line="1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2025</w:t>
      </w:r>
    </w:p>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104" w:lineRule="exact"/>
        <w:rPr>
          <w:sz w:val="20"/>
          <w:szCs w:val="20"/>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220" w:firstLine="8"/>
        <w:spacing w:after="0" w:line="266"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Kris Sennesael</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2025</w:t>
      </w:r>
    </w:p>
    <w:p>
      <w:pPr>
        <w:sectPr>
          <w:pgSz w:w="11900" w:h="16838" w:orient="portrait"/>
          <w:cols w:equalWidth="0" w:num="1">
            <w:col w:w="11240"/>
          </w:cols>
          <w:pgMar w:left="320" w:top="887" w:right="339" w:bottom="1440" w:gutter="0" w:footer="0" w:header="0"/>
        </w:sectPr>
      </w:pPr>
    </w:p>
    <w:bookmarkStart w:id="76" w:name="page77"/>
    <w:bookmarkEnd w:id="76"/>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660" w:firstLine="8"/>
        <w:spacing w:after="0" w:line="282" w:lineRule="auto"/>
        <w:tabs>
          <w:tab w:leader="none" w:pos="2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October 3, 2025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Irving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Irving Tan</w:t>
      </w:r>
    </w:p>
    <w:p>
      <w:pPr>
        <w:spacing w:after="0" w:line="1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6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2025</w:t>
      </w:r>
    </w:p>
    <w:p>
      <w:pPr>
        <w:sectPr>
          <w:pgSz w:w="11900" w:h="16838" w:orient="portrait"/>
          <w:cols w:equalWidth="0" w:num="1">
            <w:col w:w="11240"/>
          </w:cols>
          <w:pgMar w:left="320" w:top="887" w:right="339" w:bottom="1440" w:gutter="0" w:footer="0" w:header="0"/>
        </w:sectPr>
      </w:pPr>
    </w:p>
    <w:bookmarkStart w:id="77" w:name="page78"/>
    <w:bookmarkEnd w:id="77"/>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660" w:firstLine="8"/>
        <w:spacing w:after="0" w:line="282" w:lineRule="auto"/>
        <w:tabs>
          <w:tab w:leader="none" w:pos="2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October 3, 2025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861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Kris Sennesael</w:t>
      </w:r>
    </w:p>
    <w:p>
      <w:pPr>
        <w:spacing w:after="0" w:line="1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lvl w:ilvl="1">
      <w:lvlJc w:val="left"/>
      <w:lvlText w:val="%2"/>
      <w:numFmt w:val="decimal"/>
      <w:start w:val="104"/>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1."/>
      <w:numFmt w:val="decimal"/>
      <w:start w:val="2"/>
    </w:lvl>
    <w:lvl w:ilvl="1">
      <w:lvlJc w:val="left"/>
      <w:lvlText w:val="(%2)"/>
      <w:numFmt w:val="lowerLetter"/>
      <w:start w:val="1"/>
    </w:lvl>
  </w:abstractNum>
  <w:abstractNum w:abstractNumId="18">
    <w:nsid w:val="580BD78F"/>
    <w:multiLevelType w:val="hybridMultilevel"/>
    <w:lvl w:ilvl="0">
      <w:lvlJc w:val="left"/>
      <w:lvlText w:val="(%1)"/>
      <w:numFmt w:val="lowerLetter"/>
      <w:start w:val="2"/>
    </w:lvl>
  </w:abstractNum>
  <w:abstractNum w:abstractNumId="19">
    <w:nsid w:val="153EA438"/>
    <w:multiLevelType w:val="hybridMultilevel"/>
    <w:lvl w:ilvl="0">
      <w:lvlJc w:val="left"/>
      <w:lvlText w:val="(%1)"/>
      <w:numFmt w:val="lowerRoman"/>
      <w:start w:val="1"/>
    </w:lvl>
  </w:abstractNum>
  <w:abstractNum w:abstractNumId="20">
    <w:nsid w:val="3855585C"/>
    <w:multiLevelType w:val="hybridMultilevel"/>
    <w:lvl w:ilvl="0">
      <w:lvlJc w:val="left"/>
      <w:lvlText w:val="(%1)"/>
      <w:numFmt w:val="lowerLetter"/>
      <w:start w:val="3"/>
    </w:lvl>
  </w:abstractNum>
  <w:abstractNum w:abstractNumId="21">
    <w:nsid w:val="70A64E2A"/>
    <w:multiLevelType w:val="hybridMultilevel"/>
    <w:lvl w:ilvl="0">
      <w:lvlJc w:val="left"/>
      <w:lvlText w:val="(%1)"/>
      <w:numFmt w:val="lowerRoman"/>
      <w:start w:val="1"/>
    </w:lvl>
  </w:abstractNum>
  <w:abstractNum w:abstractNumId="22">
    <w:nsid w:val="6A2342EC"/>
    <w:multiLevelType w:val="hybridMultilevel"/>
    <w:lvl w:ilvl="0">
      <w:lvlJc w:val="left"/>
      <w:lvlText w:val="(%1)"/>
      <w:numFmt w:val="lowerLetter"/>
      <w:start w:val="4"/>
    </w:lvl>
  </w:abstractNum>
  <w:abstractNum w:abstractNumId="23">
    <w:nsid w:val="2A487CB0"/>
    <w:multiLevelType w:val="hybridMultilevel"/>
    <w:lvl w:ilvl="0">
      <w:lvlJc w:val="left"/>
      <w:lvlText w:val="(%1)"/>
      <w:numFmt w:val="lowerRoman"/>
      <w:start w:val="1"/>
    </w:lvl>
  </w:abstractNum>
  <w:abstractNum w:abstractNumId="24">
    <w:nsid w:val="1D4ED43B"/>
    <w:multiLevelType w:val="hybridMultilevel"/>
    <w:lvl w:ilvl="0">
      <w:lvlJc w:val="left"/>
      <w:lvlText w:val="(%1)"/>
      <w:numFmt w:val="lowerRoman"/>
      <w:start w:val="2"/>
    </w:lvl>
  </w:abstractNum>
  <w:abstractNum w:abstractNumId="25">
    <w:nsid w:val="725A06FB"/>
    <w:multiLevelType w:val="hybridMultilevel"/>
    <w:lvl w:ilvl="0">
      <w:lvlJc w:val="left"/>
      <w:lvlText w:val="%1"/>
      <w:numFmt w:val="decimal"/>
      <w:start w:val="1"/>
    </w:lvl>
    <w:lvl w:ilvl="1">
      <w:lvlJc w:val="left"/>
      <w:lvlText w:val="(%2)"/>
      <w:numFmt w:val="lowerLetter"/>
      <w:start w:val="5"/>
    </w:lvl>
  </w:abstractNum>
  <w:abstractNum w:abstractNumId="26">
    <w:nsid w:val="2CD89A32"/>
    <w:multiLevelType w:val="hybridMultilevel"/>
    <w:lvl w:ilvl="0">
      <w:lvlJc w:val="left"/>
      <w:lvlText w:val="%1."/>
      <w:numFmt w:val="decimal"/>
      <w:start w:val="3"/>
    </w:lvl>
    <w:lvl w:ilvl="1">
      <w:lvlJc w:val="left"/>
      <w:lvlText w:val="(%2)"/>
      <w:numFmt w:val="lowerLetter"/>
      <w:start w:val="1"/>
    </w:lvl>
  </w:abstractNum>
  <w:abstractNum w:abstractNumId="27">
    <w:nsid w:val="57E4CCAF"/>
    <w:multiLevelType w:val="hybridMultilevel"/>
    <w:lvl w:ilvl="0">
      <w:lvlJc w:val="left"/>
      <w:lvlText w:val="%1"/>
      <w:numFmt w:val="decimal"/>
      <w:start w:val="1"/>
    </w:lvl>
    <w:lvl w:ilvl="1">
      <w:lvlJc w:val="left"/>
      <w:lvlText w:val="(%2)"/>
      <w:numFmt w:val="lowerLetter"/>
      <w:start w:val="2"/>
    </w:lvl>
  </w:abstractNum>
  <w:abstractNum w:abstractNumId="28">
    <w:nsid w:val="7A6D8D3C"/>
    <w:multiLevelType w:val="hybridMultilevel"/>
    <w:lvl w:ilvl="0">
      <w:lvlJc w:val="left"/>
      <w:lvlText w:val="%1."/>
      <w:numFmt w:val="decimal"/>
      <w:start w:val="4"/>
    </w:lvl>
    <w:lvl w:ilvl="1">
      <w:lvlJc w:val="left"/>
      <w:lvlText w:val="%2"/>
      <w:numFmt w:val="lowerLetter"/>
      <w:start w:val="1"/>
    </w:lvl>
  </w:abstractNum>
  <w:abstractNum w:abstractNumId="29">
    <w:nsid w:val="4B588F54"/>
    <w:multiLevelType w:val="hybridMultilevel"/>
    <w:lvl w:ilvl="0">
      <w:lvlJc w:val="left"/>
      <w:lvlText w:val="%1."/>
      <w:numFmt w:val="decimal"/>
      <w:start w:val="5"/>
    </w:lvl>
  </w:abstractNum>
  <w:abstractNum w:abstractNumId="30">
    <w:nsid w:val="542289EC"/>
    <w:multiLevelType w:val="hybridMultilevel"/>
    <w:lvl w:ilvl="0">
      <w:lvlJc w:val="left"/>
      <w:lvlText w:val="%1."/>
      <w:numFmt w:val="decimal"/>
      <w:start w:val="6"/>
    </w:lvl>
  </w:abstractNum>
  <w:abstractNum w:abstractNumId="31">
    <w:nsid w:val="6DE91B18"/>
    <w:multiLevelType w:val="hybridMultilevel"/>
    <w:lvl w:ilvl="0">
      <w:lvlJc w:val="left"/>
      <w:lvlText w:val="%1."/>
      <w:numFmt w:val="decimal"/>
      <w:start w:val="7"/>
    </w:lvl>
  </w:abstractNum>
  <w:abstractNum w:abstractNumId="32">
    <w:nsid w:val="38437FDB"/>
    <w:multiLevelType w:val="hybridMultilevel"/>
    <w:lvl w:ilvl="0">
      <w:lvlJc w:val="left"/>
      <w:lvlText w:val="%1."/>
      <w:numFmt w:val="decimal"/>
      <w:start w:val="8"/>
    </w:lvl>
  </w:abstractNum>
  <w:abstractNum w:abstractNumId="33">
    <w:nsid w:val="7644A45C"/>
    <w:multiLevelType w:val="hybridMultilevel"/>
    <w:lvl w:ilvl="0">
      <w:lvlJc w:val="left"/>
      <w:lvlText w:val="%1."/>
      <w:numFmt w:val="decimal"/>
      <w:start w:val="9"/>
    </w:lvl>
    <w:lvl w:ilvl="1">
      <w:lvlJc w:val="left"/>
      <w:lvlText w:val="(%2)"/>
      <w:numFmt w:val="lowerLetter"/>
      <w:start w:val="1"/>
    </w:lvl>
  </w:abstractNum>
  <w:abstractNum w:abstractNumId="34">
    <w:nsid w:val="32FFF902"/>
    <w:multiLevelType w:val="hybridMultilevel"/>
    <w:lvl w:ilvl="0">
      <w:lvlJc w:val="left"/>
      <w:lvlText w:val="%1."/>
      <w:numFmt w:val="decimal"/>
      <w:start w:val="11"/>
    </w:lvl>
  </w:abstractNum>
  <w:abstractNum w:abstractNumId="35">
    <w:nsid w:val="684A481A"/>
    <w:multiLevelType w:val="hybridMultilevel"/>
    <w:lvl w:ilvl="0">
      <w:lvlJc w:val="left"/>
      <w:lvlText w:val="%1."/>
      <w:numFmt w:val="decimal"/>
      <w:start w:val="12"/>
    </w:lvl>
  </w:abstractNum>
  <w:abstractNum w:abstractNumId="36">
    <w:nsid w:val="579478FE"/>
    <w:multiLevelType w:val="hybridMultilevel"/>
    <w:lvl w:ilvl="0">
      <w:lvlJc w:val="left"/>
      <w:lvlText w:val="%1."/>
      <w:numFmt w:val="decimal"/>
      <w:start w:val="13"/>
    </w:lvl>
    <w:lvl w:ilvl="1">
      <w:lvlJc w:val="left"/>
      <w:lvlText w:val="(%2)"/>
      <w:numFmt w:val="lowerLetter"/>
      <w:start w:val="1"/>
    </w:lvl>
  </w:abstractNum>
  <w:abstractNum w:abstractNumId="37">
    <w:nsid w:val="749ABB43"/>
    <w:multiLevelType w:val="hybridMultilevel"/>
    <w:lvl w:ilvl="0">
      <w:lvlJc w:val="left"/>
      <w:lvlText w:val="(%1)"/>
      <w:numFmt w:val="lowerLetter"/>
      <w:start w:val="3"/>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2"/>
    </w:lvl>
  </w:abstractNum>
  <w:abstractNum w:abstractNumId="40">
    <w:nsid w:val="79A1DEAA"/>
    <w:multiLevelType w:val="hybridMultilevel"/>
    <w:lvl w:ilvl="0">
      <w:lvlJc w:val="left"/>
      <w:lvlText w:val="%1."/>
      <w:numFmt w:val="decimal"/>
      <w:start w:val="3"/>
    </w:lvl>
  </w:abstractNum>
  <w:abstractNum w:abstractNumId="41">
    <w:nsid w:val="75C6C33A"/>
    <w:multiLevelType w:val="hybridMultilevel"/>
    <w:lvl w:ilvl="0">
      <w:lvlJc w:val="left"/>
      <w:lvlText w:val="%1"/>
      <w:numFmt w:val="decimal"/>
      <w:start w:val="1"/>
    </w:lvl>
    <w:lvl w:ilvl="1">
      <w:lvlJc w:val="left"/>
      <w:lvlText w:val="(%2)"/>
      <w:numFmt w:val="lowerLetter"/>
      <w:start w:val="1"/>
    </w:lvl>
  </w:abstractNum>
  <w:abstractNum w:abstractNumId="42">
    <w:nsid w:val="12E685FB"/>
    <w:multiLevelType w:val="hybridMultilevel"/>
    <w:lvl w:ilvl="0">
      <w:lvlJc w:val="left"/>
      <w:lvlText w:val="%1."/>
      <w:numFmt w:val="decimal"/>
      <w:start w:val="4"/>
    </w:lvl>
    <w:lvl w:ilvl="1">
      <w:lvlJc w:val="left"/>
      <w:lvlText w:val="%2"/>
      <w:numFmt w:val="lowerLetter"/>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2"/>
    </w:lvl>
  </w:abstractNum>
  <w:abstractNum w:abstractNumId="45">
    <w:nsid w:val="374A3FE6"/>
    <w:multiLevelType w:val="hybridMultilevel"/>
    <w:lvl w:ilvl="0">
      <w:lvlJc w:val="left"/>
      <w:lvlText w:val="%1"/>
      <w:numFmt w:val="decimal"/>
      <w:start w:val="1"/>
    </w:lvl>
    <w:lvl w:ilvl="1">
      <w:lvlJc w:val="left"/>
      <w:lvlText w:val="(%2)"/>
      <w:numFmt w:val="lowerLetter"/>
      <w:start w:val="8"/>
    </w:lvl>
  </w:abstractNum>
  <w:abstractNum w:abstractNumId="46">
    <w:nsid w:val="4F4EF005"/>
    <w:multiLevelType w:val="hybridMultilevel"/>
    <w:lvl w:ilvl="0">
      <w:lvlJc w:val="left"/>
      <w:lvlText w:val="%1."/>
      <w:numFmt w:val="decimal"/>
      <w:start w:val="5"/>
    </w:lvl>
    <w:lvl w:ilvl="1">
      <w:lvlJc w:val="left"/>
      <w:lvlText w:val="%2"/>
      <w:numFmt w:val="lowerLetter"/>
      <w:start w:val="1"/>
    </w:lvl>
  </w:abstractNum>
  <w:abstractNum w:abstractNumId="47">
    <w:nsid w:val="23F9C13C"/>
    <w:multiLevelType w:val="hybridMultilevel"/>
    <w:lvl w:ilvl="0">
      <w:lvlJc w:val="left"/>
      <w:lvlText w:val="%1."/>
      <w:numFmt w:val="decimal"/>
      <w:start w:val="6"/>
    </w:lvl>
  </w:abstractNum>
  <w:abstractNum w:abstractNumId="48">
    <w:nsid w:val="649BB77C"/>
    <w:multiLevelType w:val="hybridMultilevel"/>
    <w:lvl w:ilvl="0">
      <w:lvlJc w:val="left"/>
      <w:lvlText w:val="%1."/>
      <w:numFmt w:val="decimal"/>
      <w:start w:val="7"/>
    </w:lvl>
  </w:abstractNum>
  <w:abstractNum w:abstractNumId="49">
    <w:nsid w:val="275AC794"/>
    <w:multiLevelType w:val="hybridMultilevel"/>
    <w:lvl w:ilvl="0">
      <w:lvlJc w:val="left"/>
      <w:lvlText w:val="%1."/>
      <w:numFmt w:val="decimal"/>
      <w:start w:val="8"/>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4"/>
    </w:lvl>
  </w:abstractNum>
  <w:abstractNum w:abstractNumId="52">
    <w:nsid w:val="180115BE"/>
    <w:multiLevelType w:val="hybridMultilevel"/>
    <w:lvl w:ilvl="0">
      <w:lvlJc w:val="left"/>
      <w:lvlText w:val="(%1)"/>
      <w:numFmt w:val="lowerRoman"/>
      <w:start w:val="2"/>
    </w:lvl>
  </w:abstractNum>
  <w:abstractNum w:abstractNumId="53">
    <w:nsid w:val="235BA861"/>
    <w:multiLevelType w:val="hybridMultilevel"/>
    <w:lvl w:ilvl="0">
      <w:lvlJc w:val="left"/>
      <w:lvlText w:val="%1."/>
      <w:numFmt w:val="decimal"/>
      <w:start w:val="5"/>
    </w:lvl>
  </w:abstractNum>
  <w:abstractNum w:abstractNumId="54">
    <w:nsid w:val="47398C89"/>
    <w:multiLevelType w:val="hybridMultilevel"/>
    <w:lvl w:ilvl="0">
      <w:lvlJc w:val="left"/>
      <w:lvlText w:val="%1."/>
      <w:numFmt w:val="decimal"/>
      <w:start w:val="6"/>
    </w:lvl>
  </w:abstractNum>
  <w:abstractNum w:abstractNumId="55">
    <w:nsid w:val="354FE9F9"/>
    <w:multiLevelType w:val="hybridMultilevel"/>
    <w:lvl w:ilvl="0">
      <w:lvlJc w:val="left"/>
      <w:lvlText w:val="%1."/>
      <w:numFmt w:val="decimal"/>
      <w:start w:val="9"/>
    </w:lvl>
    <w:lvl w:ilvl="1">
      <w:lvlJc w:val="left"/>
      <w:lvlText w:val="•"/>
      <w:numFmt w:val="bullet"/>
      <w:start w:val="1"/>
    </w:lvl>
  </w:abstractNum>
  <w:abstractNum w:abstractNumId="56">
    <w:nsid w:val="15B5AF5C"/>
    <w:multiLevelType w:val="hybridMultilevel"/>
    <w:lvl w:ilvl="0">
      <w:lvlJc w:val="left"/>
      <w:lvlText w:val="%1."/>
      <w:numFmt w:val="decimal"/>
      <w:start w:val="10"/>
    </w:lvl>
  </w:abstractNum>
  <w:abstractNum w:abstractNumId="57">
    <w:nsid w:val="741226BB"/>
    <w:multiLevelType w:val="hybridMultilevel"/>
    <w:lvl w:ilvl="0">
      <w:lvlJc w:val="left"/>
      <w:lvlText w:val="%1."/>
      <w:numFmt w:val="decimal"/>
      <w:start w:val="1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lowerRoman"/>
      <w:start w:val="1"/>
    </w:lvl>
  </w:abstractNum>
  <w:abstractNum w:abstractNumId="61">
    <w:nsid w:val="6157409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09" Type="http://schemas.openxmlformats.org/officeDocument/2006/relationships/hyperlink" Target="https://www.sec.gov/Archives/edgar/data/106040/000119312525033383/d847507dex21.htm" TargetMode="External"/><Relationship Id="rId110" Type="http://schemas.openxmlformats.org/officeDocument/2006/relationships/hyperlink" Target="https://www.sec.gov/Archives/edgar/data/106040/000010604024000031/wdc-2024q4ex31.htm" TargetMode="External"/><Relationship Id="rId111" Type="http://schemas.openxmlformats.org/officeDocument/2006/relationships/hyperlink" Target="https://www.sec.gov/Archives/edgar/data/106040/000119312523020502/d425756dex31.htm" TargetMode="External"/><Relationship Id="rId112" Type="http://schemas.openxmlformats.org/officeDocument/2006/relationships/hyperlink" Target="https://www.sec.gov/Archives/edgar/data/106040/000119312525054005/d93969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2025-10-31T05:19:17Z</dcterms:created>
  <dcterms:modified xsi:type="dcterms:W3CDTF">2025-10-31T05:19:17Z</dcterms:modified>
</cp:coreProperties>
</file>