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46990</wp:posOffset>
            </wp:positionV>
            <wp:extent cx="27686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40005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(Mark One)</w:t>
      </w:r>
    </w:p>
    <w:p>
      <w:pPr>
        <w:spacing w:after="0" w:line="55"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July 3, 2020</w:t>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55"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3"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63500</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294640</wp:posOffset>
            </wp:positionV>
            <wp:extent cx="296608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608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WESTERN DIGITAL CORPORATION</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53340</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1180" w:type="dxa"/>
            <w:vAlign w:val="bottom"/>
          </w:tcPr>
          <w:p>
            <w:pPr>
              <w:spacing w:after="0"/>
              <w:rPr>
                <w:sz w:val="18"/>
                <w:szCs w:val="18"/>
                <w:color w:val="auto"/>
              </w:rPr>
            </w:pPr>
          </w:p>
        </w:tc>
        <w:tc>
          <w:tcPr>
            <w:tcW w:w="20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Delaware</w:t>
            </w: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jc w:val="right"/>
              <w:ind w:right="732"/>
              <w:spacing w:after="0"/>
              <w:rPr>
                <w:sz w:val="20"/>
                <w:szCs w:val="20"/>
                <w:color w:val="auto"/>
              </w:rPr>
            </w:pPr>
            <w:r>
              <w:rPr>
                <w:rFonts w:ascii="Arial" w:cs="Arial" w:eastAsia="Arial" w:hAnsi="Arial"/>
                <w:sz w:val="16"/>
                <w:szCs w:val="16"/>
                <w:b w:val="1"/>
                <w:bCs w:val="1"/>
                <w:color w:val="auto"/>
              </w:rPr>
              <w:t>33-0956711</w:t>
            </w:r>
          </w:p>
        </w:tc>
      </w:tr>
      <w:tr>
        <w:trPr>
          <w:trHeight w:val="181"/>
        </w:trPr>
        <w:tc>
          <w:tcPr>
            <w:tcW w:w="1180" w:type="dxa"/>
            <w:vAlign w:val="bottom"/>
          </w:tcPr>
          <w:p>
            <w:pPr>
              <w:spacing w:after="0"/>
              <w:rPr>
                <w:sz w:val="15"/>
                <w:szCs w:val="15"/>
                <w:color w:val="auto"/>
              </w:rPr>
            </w:pPr>
          </w:p>
        </w:tc>
        <w:tc>
          <w:tcPr>
            <w:tcW w:w="2040" w:type="dxa"/>
            <w:vAlign w:val="bottom"/>
            <w:gridSpan w:val="3"/>
          </w:tcPr>
          <w:p>
            <w:pPr>
              <w:jc w:val="center"/>
              <w:ind w:right="80"/>
              <w:spacing w:after="0"/>
              <w:rPr>
                <w:sz w:val="20"/>
                <w:szCs w:val="20"/>
                <w:color w:val="auto"/>
              </w:rPr>
            </w:pPr>
            <w:r>
              <w:rPr>
                <w:rFonts w:ascii="Arial" w:cs="Arial" w:eastAsia="Arial" w:hAnsi="Arial"/>
                <w:sz w:val="13"/>
                <w:szCs w:val="13"/>
                <w:i w:val="1"/>
                <w:iCs w:val="1"/>
                <w:color w:val="auto"/>
                <w:w w:val="91"/>
              </w:rPr>
              <w:t>(State or other jurisdiction of</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60"/>
        </w:trPr>
        <w:tc>
          <w:tcPr>
            <w:tcW w:w="1180" w:type="dxa"/>
            <w:vAlign w:val="bottom"/>
          </w:tcPr>
          <w:p>
            <w:pPr>
              <w:spacing w:after="0"/>
              <w:rPr>
                <w:sz w:val="13"/>
                <w:szCs w:val="13"/>
                <w:color w:val="auto"/>
              </w:rPr>
            </w:pPr>
          </w:p>
        </w:tc>
        <w:tc>
          <w:tcPr>
            <w:tcW w:w="2040" w:type="dxa"/>
            <w:vAlign w:val="bottom"/>
            <w:gridSpan w:val="3"/>
          </w:tcPr>
          <w:p>
            <w:pPr>
              <w:jc w:val="center"/>
              <w:ind w:right="80"/>
              <w:spacing w:after="0"/>
              <w:rPr>
                <w:sz w:val="20"/>
                <w:szCs w:val="20"/>
                <w:color w:val="auto"/>
              </w:rPr>
            </w:pPr>
            <w:r>
              <w:rPr>
                <w:rFonts w:ascii="Arial" w:cs="Arial" w:eastAsia="Arial" w:hAnsi="Arial"/>
                <w:sz w:val="13"/>
                <w:szCs w:val="13"/>
                <w:i w:val="1"/>
                <w:iCs w:val="1"/>
                <w:color w:val="auto"/>
                <w:w w:val="92"/>
              </w:rPr>
              <w:t>incorporation or organization)</w:t>
            </w:r>
          </w:p>
        </w:tc>
        <w:tc>
          <w:tcPr>
            <w:tcW w:w="1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780" w:type="dxa"/>
            <w:vAlign w:val="bottom"/>
          </w:tcPr>
          <w:p>
            <w:pPr>
              <w:jc w:val="center"/>
              <w:ind w:left="352"/>
              <w:spacing w:after="0"/>
              <w:rPr>
                <w:sz w:val="20"/>
                <w:szCs w:val="20"/>
                <w:color w:val="auto"/>
              </w:rPr>
            </w:pPr>
            <w:r>
              <w:rPr>
                <w:rFonts w:ascii="Arial" w:cs="Arial" w:eastAsia="Arial" w:hAnsi="Arial"/>
                <w:sz w:val="13"/>
                <w:szCs w:val="13"/>
                <w:i w:val="1"/>
                <w:iCs w:val="1"/>
                <w:color w:val="auto"/>
                <w:w w:val="89"/>
              </w:rPr>
              <w:t>(I.R.S. Employer Identification No.)</w:t>
            </w:r>
          </w:p>
        </w:tc>
      </w:tr>
      <w:tr>
        <w:trPr>
          <w:trHeight w:val="260"/>
        </w:trPr>
        <w:tc>
          <w:tcPr>
            <w:tcW w:w="2400" w:type="dxa"/>
            <w:vAlign w:val="bottom"/>
            <w:gridSpan w:val="2"/>
          </w:tcPr>
          <w:p>
            <w:pPr>
              <w:ind w:left="480"/>
              <w:spacing w:after="0"/>
              <w:rPr>
                <w:sz w:val="20"/>
                <w:szCs w:val="20"/>
                <w:color w:val="auto"/>
              </w:rPr>
            </w:pPr>
            <w:r>
              <w:rPr>
                <w:rFonts w:ascii="Arial" w:cs="Arial" w:eastAsia="Arial" w:hAnsi="Arial"/>
                <w:sz w:val="14"/>
                <w:szCs w:val="14"/>
                <w:b w:val="1"/>
                <w:bCs w:val="1"/>
                <w:color w:val="auto"/>
              </w:rPr>
              <w:t>5601 Great Oaks Parkway</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San Jose,</w:t>
            </w:r>
          </w:p>
        </w:tc>
        <w:tc>
          <w:tcPr>
            <w:tcW w:w="3660" w:type="dxa"/>
            <w:vAlign w:val="bottom"/>
            <w:gridSpan w:val="3"/>
          </w:tcPr>
          <w:p>
            <w:pPr>
              <w:ind w:left="100"/>
              <w:spacing w:after="0"/>
              <w:rPr>
                <w:sz w:val="20"/>
                <w:szCs w:val="20"/>
                <w:color w:val="auto"/>
              </w:rPr>
            </w:pPr>
            <w:r>
              <w:rPr>
                <w:rFonts w:ascii="Arial" w:cs="Arial" w:eastAsia="Arial" w:hAnsi="Arial"/>
                <w:sz w:val="14"/>
                <w:szCs w:val="14"/>
                <w:b w:val="1"/>
                <w:bCs w:val="1"/>
                <w:color w:val="auto"/>
              </w:rPr>
              <w:t>California</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20" w:type="dxa"/>
            <w:vAlign w:val="bottom"/>
            <w:gridSpan w:val="2"/>
          </w:tcPr>
          <w:p>
            <w:pPr>
              <w:jc w:val="right"/>
              <w:ind w:right="952"/>
              <w:spacing w:after="0"/>
              <w:rPr>
                <w:sz w:val="20"/>
                <w:szCs w:val="20"/>
                <w:color w:val="auto"/>
              </w:rPr>
            </w:pPr>
            <w:r>
              <w:rPr>
                <w:rFonts w:ascii="Arial" w:cs="Arial" w:eastAsia="Arial" w:hAnsi="Arial"/>
                <w:sz w:val="14"/>
                <w:szCs w:val="14"/>
                <w:b w:val="1"/>
                <w:bCs w:val="1"/>
                <w:color w:val="auto"/>
              </w:rPr>
              <w:t>95119</w:t>
            </w:r>
          </w:p>
        </w:tc>
      </w:tr>
      <w:tr>
        <w:trPr>
          <w:trHeight w:val="185"/>
        </w:trPr>
        <w:tc>
          <w:tcPr>
            <w:tcW w:w="3220" w:type="dxa"/>
            <w:vAlign w:val="bottom"/>
            <w:gridSpan w:val="4"/>
          </w:tcPr>
          <w:p>
            <w:pPr>
              <w:jc w:val="center"/>
              <w:ind w:left="1030"/>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1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80" w:type="dxa"/>
            <w:vAlign w:val="bottom"/>
          </w:tcPr>
          <w:p>
            <w:pPr>
              <w:jc w:val="center"/>
              <w:ind w:left="332"/>
              <w:spacing w:after="0"/>
              <w:rPr>
                <w:sz w:val="20"/>
                <w:szCs w:val="20"/>
                <w:color w:val="auto"/>
              </w:rPr>
            </w:pPr>
            <w:r>
              <w:rPr>
                <w:rFonts w:ascii="Arial" w:cs="Arial" w:eastAsia="Arial" w:hAnsi="Arial"/>
                <w:sz w:val="13"/>
                <w:szCs w:val="13"/>
                <w:i w:val="1"/>
                <w:iCs w:val="1"/>
                <w:color w:val="auto"/>
                <w:w w:val="87"/>
              </w:rPr>
              <w:t>(Zip Code)</w:t>
            </w:r>
          </w:p>
        </w:tc>
      </w:tr>
      <w:tr>
        <w:trPr>
          <w:trHeight w:val="374"/>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60" w:type="dxa"/>
            <w:vAlign w:val="bottom"/>
            <w:gridSpan w:val="9"/>
          </w:tcPr>
          <w:p>
            <w:pPr>
              <w:jc w:val="center"/>
              <w:ind w:right="2012"/>
              <w:spacing w:after="0"/>
              <w:rPr>
                <w:sz w:val="20"/>
                <w:szCs w:val="20"/>
                <w:color w:val="auto"/>
              </w:rPr>
            </w:pPr>
            <w:r>
              <w:rPr>
                <w:rFonts w:ascii="Arial" w:cs="Arial" w:eastAsia="Arial" w:hAnsi="Arial"/>
                <w:sz w:val="16"/>
                <w:szCs w:val="16"/>
                <w:b w:val="1"/>
                <w:bCs w:val="1"/>
                <w:color w:val="auto"/>
                <w:w w:val="90"/>
              </w:rPr>
              <w:t>Registrant’s telephone number, including area code: (408) 717-6000</w:t>
            </w:r>
          </w:p>
        </w:tc>
      </w:tr>
      <w:tr>
        <w:trPr>
          <w:trHeight w:val="74"/>
        </w:trPr>
        <w:tc>
          <w:tcPr>
            <w:tcW w:w="1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780" w:type="dxa"/>
            <w:vAlign w:val="bottom"/>
          </w:tcPr>
          <w:p>
            <w:pPr>
              <w:spacing w:after="0"/>
              <w:rPr>
                <w:sz w:val="6"/>
                <w:szCs w:val="6"/>
                <w:color w:val="auto"/>
              </w:rPr>
            </w:pPr>
          </w:p>
        </w:tc>
      </w:tr>
      <w:tr>
        <w:trPr>
          <w:trHeight w:val="352"/>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5"/>
          </w:tcPr>
          <w:p>
            <w:pPr>
              <w:jc w:val="center"/>
              <w:ind w:right="1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11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gridSpan w:val="3"/>
          </w:tcPr>
          <w:p>
            <w:pPr>
              <w:jc w:val="center"/>
              <w:ind w:left="361"/>
              <w:spacing w:after="0"/>
              <w:rPr>
                <w:sz w:val="20"/>
                <w:szCs w:val="20"/>
                <w:color w:val="auto"/>
              </w:rPr>
            </w:pPr>
            <w:r>
              <w:rPr>
                <w:rFonts w:ascii="Arial" w:cs="Arial" w:eastAsia="Arial" w:hAnsi="Arial"/>
                <w:sz w:val="16"/>
                <w:szCs w:val="16"/>
                <w:b w:val="1"/>
                <w:bCs w:val="1"/>
                <w:color w:val="auto"/>
                <w:w w:val="90"/>
              </w:rPr>
              <w:t>Trading symbol(s)</w:t>
            </w:r>
          </w:p>
        </w:tc>
        <w:tc>
          <w:tcPr>
            <w:tcW w:w="360" w:type="dxa"/>
            <w:vAlign w:val="bottom"/>
          </w:tcPr>
          <w:p>
            <w:pPr>
              <w:spacing w:after="0"/>
              <w:rPr>
                <w:sz w:val="18"/>
                <w:szCs w:val="18"/>
                <w:color w:val="auto"/>
              </w:rPr>
            </w:pPr>
          </w:p>
        </w:tc>
        <w:tc>
          <w:tcPr>
            <w:tcW w:w="3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38"/>
        </w:trPr>
        <w:tc>
          <w:tcPr>
            <w:tcW w:w="3220" w:type="dxa"/>
            <w:vAlign w:val="bottom"/>
            <w:gridSpan w:val="4"/>
          </w:tcPr>
          <w:p>
            <w:pPr>
              <w:jc w:val="center"/>
              <w:ind w:left="310"/>
              <w:spacing w:after="0"/>
              <w:rPr>
                <w:sz w:val="20"/>
                <w:szCs w:val="20"/>
                <w:color w:val="auto"/>
              </w:rPr>
            </w:pPr>
            <w:r>
              <w:rPr>
                <w:rFonts w:ascii="Arial" w:cs="Arial" w:eastAsia="Arial" w:hAnsi="Arial"/>
                <w:sz w:val="14"/>
                <w:szCs w:val="14"/>
                <w:color w:val="auto"/>
                <w:w w:val="91"/>
              </w:rPr>
              <w:t>Common Stock, $.01 Par Value Per Share</w:t>
            </w:r>
          </w:p>
        </w:tc>
        <w:tc>
          <w:tcPr>
            <w:tcW w:w="1420" w:type="dxa"/>
            <w:vAlign w:val="bottom"/>
          </w:tcPr>
          <w:p>
            <w:pPr>
              <w:spacing w:after="0"/>
              <w:rPr>
                <w:sz w:val="20"/>
                <w:szCs w:val="20"/>
                <w:color w:val="auto"/>
              </w:rPr>
            </w:pPr>
          </w:p>
        </w:tc>
        <w:tc>
          <w:tcPr>
            <w:tcW w:w="2240" w:type="dxa"/>
            <w:vAlign w:val="bottom"/>
            <w:gridSpan w:val="2"/>
          </w:tcPr>
          <w:p>
            <w:pPr>
              <w:jc w:val="center"/>
              <w:ind w:right="980"/>
              <w:spacing w:after="0"/>
              <w:rPr>
                <w:sz w:val="20"/>
                <w:szCs w:val="20"/>
                <w:color w:val="auto"/>
              </w:rPr>
            </w:pPr>
            <w:r>
              <w:rPr>
                <w:rFonts w:ascii="Arial" w:cs="Arial" w:eastAsia="Arial" w:hAnsi="Arial"/>
                <w:sz w:val="14"/>
                <w:szCs w:val="14"/>
                <w:color w:val="auto"/>
              </w:rPr>
              <w:t>WDC</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80" w:type="dxa"/>
            <w:vAlign w:val="bottom"/>
          </w:tcPr>
          <w:p>
            <w:pPr>
              <w:jc w:val="center"/>
              <w:ind w:right="172"/>
              <w:spacing w:after="0"/>
              <w:rPr>
                <w:sz w:val="20"/>
                <w:szCs w:val="20"/>
                <w:color w:val="auto"/>
              </w:rPr>
            </w:pPr>
            <w:r>
              <w:rPr>
                <w:rFonts w:ascii="Arial" w:cs="Arial" w:eastAsia="Arial" w:hAnsi="Arial"/>
                <w:sz w:val="14"/>
                <w:szCs w:val="14"/>
                <w:color w:val="auto"/>
                <w:w w:val="95"/>
              </w:rPr>
              <w:t>The Nasdaq Stock Market LLC</w:t>
            </w:r>
          </w:p>
        </w:tc>
      </w:tr>
      <w:tr>
        <w:trPr>
          <w:trHeight w:val="202"/>
        </w:trPr>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80" w:type="dxa"/>
            <w:vAlign w:val="bottom"/>
          </w:tcPr>
          <w:p>
            <w:pPr>
              <w:jc w:val="center"/>
              <w:ind w:right="152"/>
              <w:spacing w:after="0"/>
              <w:rPr>
                <w:sz w:val="20"/>
                <w:szCs w:val="20"/>
                <w:color w:val="auto"/>
              </w:rPr>
            </w:pPr>
            <w:r>
              <w:rPr>
                <w:rFonts w:ascii="Arial" w:cs="Arial" w:eastAsia="Arial" w:hAnsi="Arial"/>
                <w:sz w:val="14"/>
                <w:szCs w:val="14"/>
                <w:color w:val="auto"/>
                <w:w w:val="94"/>
              </w:rPr>
              <w:t>(Nasdaq Global Select Market)</w:t>
            </w:r>
          </w:p>
        </w:tc>
      </w:tr>
      <w:tr>
        <w:trPr>
          <w:trHeight w:val="34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5"/>
          </w:tcPr>
          <w:p>
            <w:pPr>
              <w:jc w:val="center"/>
              <w:ind w:right="19"/>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86"/>
        </w:trPr>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1"/>
              </w:rPr>
              <w:t>None</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80"/>
        </w:trPr>
        <w:tc>
          <w:tcPr>
            <w:tcW w:w="3120" w:type="dxa"/>
            <w:vAlign w:val="bottom"/>
            <w:gridSpan w:val="3"/>
          </w:tcPr>
          <w:p>
            <w:pPr>
              <w:spacing w:after="0"/>
              <w:rPr>
                <w:sz w:val="6"/>
                <w:szCs w:val="6"/>
                <w:color w:val="auto"/>
              </w:rPr>
            </w:pPr>
          </w:p>
        </w:tc>
        <w:tc>
          <w:tcPr>
            <w:tcW w:w="3760" w:type="dxa"/>
            <w:vAlign w:val="bottom"/>
            <w:tcBorders>
              <w:bottom w:val="single" w:sz="8" w:color="auto"/>
            </w:tcBorders>
            <w:gridSpan w:val="4"/>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780" w:type="dxa"/>
            <w:vAlign w:val="bottom"/>
          </w:tcPr>
          <w:p>
            <w:pPr>
              <w:spacing w:after="0"/>
              <w:rPr>
                <w:sz w:val="6"/>
                <w:szCs w:val="6"/>
                <w:color w:val="auto"/>
              </w:rPr>
            </w:pPr>
          </w:p>
        </w:tc>
      </w:tr>
      <w:tr>
        <w:trPr>
          <w:trHeight w:val="348"/>
        </w:trPr>
        <w:tc>
          <w:tcPr>
            <w:tcW w:w="6880" w:type="dxa"/>
            <w:vAlign w:val="bottom"/>
            <w:gridSpan w:val="7"/>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82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338"/>
        </w:trPr>
        <w:tc>
          <w:tcPr>
            <w:tcW w:w="6880" w:type="dxa"/>
            <w:vAlign w:val="bottom"/>
            <w:gridSpan w:val="7"/>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gridSpan w:val="2"/>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40" w:type="dxa"/>
            <w:vAlign w:val="bottom"/>
          </w:tcPr>
          <w:p>
            <w:pPr>
              <w:spacing w:after="0"/>
              <w:rPr>
                <w:sz w:val="24"/>
                <w:szCs w:val="24"/>
                <w:color w:val="auto"/>
              </w:rPr>
            </w:pPr>
          </w:p>
        </w:tc>
        <w:tc>
          <w:tcPr>
            <w:tcW w:w="278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26" w:lineRule="exact"/>
        <w:rPr>
          <w:sz w:val="24"/>
          <w:szCs w:val="24"/>
          <w:color w:val="auto"/>
        </w:rPr>
      </w:pPr>
    </w:p>
    <w:p>
      <w:pPr>
        <w:ind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18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6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p>
      <w:pPr>
        <w:ind w:left="460"/>
        <w:spacing w:after="0"/>
        <w:tabs>
          <w:tab w:leader="none" w:pos="2840" w:val="left"/>
          <w:tab w:leader="none" w:pos="4960" w:val="left"/>
          <w:tab w:leader="none" w:pos="7020" w:val="left"/>
          <w:tab w:leader="none" w:pos="92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Arial" w:cs="Arial" w:eastAsia="Arial" w:hAnsi="Arial"/>
          <w:sz w:val="13"/>
          <w:szCs w:val="13"/>
          <w:color w:val="auto"/>
        </w:rPr>
        <w:t>Emerging growth company</w:t>
      </w:r>
    </w:p>
    <w:p>
      <w:pPr>
        <w:spacing w:after="0" w:line="28" w:lineRule="exact"/>
        <w:rPr>
          <w:sz w:val="24"/>
          <w:szCs w:val="24"/>
          <w:color w:val="auto"/>
        </w:rPr>
      </w:pPr>
    </w:p>
    <w:p>
      <w:pPr>
        <w:ind w:left="1040"/>
        <w:spacing w:after="0" w:line="141" w:lineRule="exact"/>
        <w:tabs>
          <w:tab w:leader="none" w:pos="3260" w:val="left"/>
          <w:tab w:leader="none" w:pos="5500" w:val="left"/>
          <w:tab w:leader="none" w:pos="7740" w:val="left"/>
          <w:tab w:leader="none" w:pos="1000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38" w:lineRule="exact"/>
        <w:rPr>
          <w:sz w:val="24"/>
          <w:szCs w:val="24"/>
          <w:color w:val="auto"/>
        </w:rPr>
      </w:pPr>
    </w:p>
    <w:p>
      <w:pPr>
        <w:ind w:right="180" w:firstLine="324"/>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8" w:lineRule="exact"/>
        <w:rPr>
          <w:sz w:val="24"/>
          <w:szCs w:val="24"/>
          <w:color w:val="auto"/>
        </w:rPr>
      </w:pPr>
    </w:p>
    <w:p>
      <w:pPr>
        <w:ind w:right="14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13" w:lineRule="exact"/>
        <w:rPr>
          <w:sz w:val="24"/>
          <w:szCs w:val="24"/>
          <w:color w:val="auto"/>
        </w:rPr>
      </w:pPr>
    </w:p>
    <w:p>
      <w:pPr>
        <w:ind w:left="340"/>
        <w:spacing w:after="0" w:line="161" w:lineRule="exact"/>
        <w:tabs>
          <w:tab w:leader="none" w:pos="6380" w:val="left"/>
          <w:tab w:leader="none" w:pos="6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ind w:right="240" w:firstLine="324"/>
        <w:spacing w:after="0" w:line="273"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on January 3, 2020, the last business day of the registrant’s most recently completed second fiscal quarter, was $15.7 billion, based on the closing sale price as reported on the Nasdaq Global Select Market.</w:t>
      </w:r>
    </w:p>
    <w:p>
      <w:pPr>
        <w:spacing w:after="0" w:line="12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There were 302,525,787 shares of common stock, par value $0.01 per share, outstanding as of the close of business on August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64135</wp:posOffset>
            </wp:positionV>
            <wp:extent cx="2768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180"/>
          </w:cols>
          <w:pgMar w:left="320" w:top="1084" w:right="399" w:bottom="0" w:gutter="0" w:footer="0" w:header="0"/>
        </w:sectPr>
      </w:pPr>
    </w:p>
    <w:p>
      <w:pPr>
        <w:spacing w:after="0" w:line="162" w:lineRule="exact"/>
        <w:rPr>
          <w:sz w:val="24"/>
          <w:szCs w:val="24"/>
          <w:color w:val="auto"/>
        </w:rPr>
      </w:pPr>
    </w:p>
    <w:p>
      <w:pPr>
        <w:ind w:right="100" w:firstLine="324"/>
        <w:spacing w:after="0" w:line="257" w:lineRule="auto"/>
        <w:rPr>
          <w:sz w:val="20"/>
          <w:szCs w:val="20"/>
          <w:color w:val="auto"/>
        </w:rPr>
      </w:pPr>
      <w:r>
        <w:rPr>
          <w:rFonts w:ascii="Arial" w:cs="Arial" w:eastAsia="Arial" w:hAnsi="Arial"/>
          <w:sz w:val="14"/>
          <w:szCs w:val="14"/>
          <w:color w:val="auto"/>
        </w:rPr>
        <w:t>Part III incorporates by reference certain information from the registrant’s definitive proxy statement (the “Proxy Statement”) for the 2020 Annual Meeting of Stockholders, which will be filed with the Securities and Exchange Commission within 120 days after the end of the 2020 fiscal year. Except with respect to information specifically incorporated by reference in this Form 10-K, the Proxy Statement is not deemed to be filed as part hereof.</w:t>
      </w:r>
    </w:p>
    <w:p>
      <w:pPr>
        <w:sectPr>
          <w:pgSz w:w="11900" w:h="16838" w:orient="portrait"/>
          <w:cols w:equalWidth="0" w:num="1">
            <w:col w:w="11180"/>
          </w:cols>
          <w:pgMar w:left="320" w:top="1084" w:right="39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840" w:type="dxa"/>
            <w:vAlign w:val="bottom"/>
          </w:tcPr>
          <w:p>
            <w:pPr>
              <w:spacing w:after="0"/>
              <w:rPr>
                <w:sz w:val="22"/>
                <w:szCs w:val="22"/>
                <w:color w:val="auto"/>
              </w:rPr>
            </w:pPr>
          </w:p>
        </w:tc>
        <w:tc>
          <w:tcPr>
            <w:tcW w:w="8760" w:type="dxa"/>
            <w:vAlign w:val="bottom"/>
          </w:tcPr>
          <w:p>
            <w:pPr>
              <w:jc w:val="center"/>
              <w:ind w:left="729"/>
              <w:spacing w:after="0"/>
              <w:rPr>
                <w:sz w:val="20"/>
                <w:szCs w:val="20"/>
                <w:color w:val="auto"/>
              </w:rPr>
            </w:pPr>
            <w:r>
              <w:rPr>
                <w:rFonts w:ascii="Arial" w:cs="Arial" w:eastAsia="Arial" w:hAnsi="Arial"/>
                <w:sz w:val="22"/>
                <w:szCs w:val="22"/>
                <w:b w:val="1"/>
                <w:bCs w:val="1"/>
                <w:color w:val="auto"/>
                <w:w w:val="99"/>
              </w:rPr>
              <w:t>WESTERN DIGITAL CORPORATION</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40" w:type="dxa"/>
            <w:vAlign w:val="bottom"/>
          </w:tcPr>
          <w:p>
            <w:pPr>
              <w:spacing w:after="0"/>
              <w:rPr>
                <w:sz w:val="24"/>
                <w:szCs w:val="24"/>
                <w:color w:val="auto"/>
              </w:rPr>
            </w:pPr>
          </w:p>
        </w:tc>
        <w:tc>
          <w:tcPr>
            <w:tcW w:w="8760" w:type="dxa"/>
            <w:vAlign w:val="bottom"/>
          </w:tcPr>
          <w:p>
            <w:pPr>
              <w:jc w:val="center"/>
              <w:ind w:left="729"/>
              <w:spacing w:after="0"/>
              <w:rPr>
                <w:sz w:val="20"/>
                <w:szCs w:val="20"/>
                <w:color w:val="auto"/>
              </w:rPr>
            </w:pPr>
            <w:r>
              <w:rPr>
                <w:rFonts w:ascii="Arial" w:cs="Arial" w:eastAsia="Arial" w:hAnsi="Arial"/>
                <w:sz w:val="22"/>
                <w:szCs w:val="22"/>
                <w:b w:val="1"/>
                <w:bCs w:val="1"/>
                <w:color w:val="auto"/>
              </w:rPr>
              <w:t>INDEX</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640" w:type="dxa"/>
            <w:vAlign w:val="bottom"/>
          </w:tcPr>
          <w:p>
            <w:pPr>
              <w:ind w:left="48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760" w:type="dxa"/>
            <w:vAlign w:val="bottom"/>
            <w:vMerge w:val="restart"/>
          </w:tcPr>
          <w:p>
            <w:pPr>
              <w:jc w:val="center"/>
              <w:ind w:left="729"/>
              <w:spacing w:after="0"/>
              <w:rPr>
                <w:sz w:val="20"/>
                <w:szCs w:val="20"/>
                <w:color w:val="auto"/>
              </w:rPr>
            </w:pPr>
            <w:r>
              <w:rPr>
                <w:rFonts w:ascii="Arial" w:cs="Arial" w:eastAsia="Arial" w:hAnsi="Arial"/>
                <w:sz w:val="18"/>
                <w:szCs w:val="18"/>
                <w:b w:val="1"/>
                <w:bCs w:val="1"/>
                <w:color w:val="auto"/>
                <w:w w:val="98"/>
              </w:rPr>
              <w:t>PART I</w:t>
            </w: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Business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1A.</w:t>
            </w:r>
          </w:p>
        </w:tc>
        <w:tc>
          <w:tcPr>
            <w:tcW w:w="876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1640" w:type="dxa"/>
            <w:vAlign w:val="bottom"/>
          </w:tcPr>
          <w:p>
            <w:pPr>
              <w:jc w:val="center"/>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13</w:t>
              </w:r>
            </w:hyperlink>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1B.</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Unresolved Staff Comments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8760" w:type="dxa"/>
            <w:vAlign w:val="bottom"/>
          </w:tcPr>
          <w:p>
            <w:pPr>
              <w:ind w:left="160"/>
              <w:spacing w:after="0"/>
              <w:rPr>
                <w:sz w:val="20"/>
                <w:szCs w:val="20"/>
                <w:color w:val="auto"/>
              </w:rPr>
            </w:pPr>
            <w:r>
              <w:rPr>
                <w:rFonts w:ascii="Arial" w:cs="Arial" w:eastAsia="Arial" w:hAnsi="Arial"/>
                <w:sz w:val="18"/>
                <w:szCs w:val="18"/>
                <w:color w:val="auto"/>
              </w:rPr>
              <w:t>Properties</w:t>
            </w:r>
          </w:p>
        </w:tc>
        <w:tc>
          <w:tcPr>
            <w:tcW w:w="1640" w:type="dxa"/>
            <w:vAlign w:val="bottom"/>
          </w:tcPr>
          <w:p>
            <w:pPr>
              <w:jc w:val="cente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3.</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Legal Proceedings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4.</w:t>
            </w:r>
          </w:p>
        </w:tc>
        <w:tc>
          <w:tcPr>
            <w:tcW w:w="8760" w:type="dxa"/>
            <w:vAlign w:val="bottom"/>
          </w:tcPr>
          <w:p>
            <w:pPr>
              <w:ind w:left="160"/>
              <w:spacing w:after="0"/>
              <w:rPr>
                <w:sz w:val="20"/>
                <w:szCs w:val="20"/>
                <w:color w:val="auto"/>
              </w:rPr>
            </w:pPr>
            <w:r>
              <w:rPr>
                <w:rFonts w:ascii="Arial" w:cs="Arial" w:eastAsia="Arial" w:hAnsi="Arial"/>
                <w:sz w:val="18"/>
                <w:szCs w:val="18"/>
                <w:color w:val="auto"/>
              </w:rPr>
              <w:t>Mine Safety Disclosures</w:t>
            </w:r>
          </w:p>
        </w:tc>
        <w:tc>
          <w:tcPr>
            <w:tcW w:w="1640" w:type="dxa"/>
            <w:vAlign w:val="bottom"/>
          </w:tcPr>
          <w:p>
            <w:pPr>
              <w:jc w:val="cente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8760" w:type="dxa"/>
            <w:vAlign w:val="bottom"/>
          </w:tcPr>
          <w:p>
            <w:pPr>
              <w:jc w:val="center"/>
              <w:ind w:left="729"/>
              <w:spacing w:after="0"/>
              <w:rPr>
                <w:sz w:val="20"/>
                <w:szCs w:val="20"/>
                <w:color w:val="auto"/>
              </w:rPr>
            </w:pPr>
            <w:r>
              <w:rPr>
                <w:rFonts w:ascii="Arial" w:cs="Arial" w:eastAsia="Arial" w:hAnsi="Arial"/>
                <w:sz w:val="18"/>
                <w:szCs w:val="18"/>
                <w:b w:val="1"/>
                <w:bCs w:val="1"/>
                <w:color w:val="auto"/>
              </w:rPr>
              <w:t>PART II</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5.</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6"/>
              </w:rPr>
              <w:t>Market for Registrant’s Common Equity, Related Stockholder Matters and Issuer Purchases of Equity Securities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6.</w:t>
            </w:r>
          </w:p>
        </w:tc>
        <w:tc>
          <w:tcPr>
            <w:tcW w:w="8760" w:type="dxa"/>
            <w:vAlign w:val="bottom"/>
          </w:tcPr>
          <w:p>
            <w:pPr>
              <w:ind w:left="160"/>
              <w:spacing w:after="0"/>
              <w:rPr>
                <w:sz w:val="20"/>
                <w:szCs w:val="20"/>
                <w:color w:val="auto"/>
              </w:rPr>
            </w:pPr>
            <w:r>
              <w:rPr>
                <w:rFonts w:ascii="Arial" w:cs="Arial" w:eastAsia="Arial" w:hAnsi="Arial"/>
                <w:sz w:val="18"/>
                <w:szCs w:val="18"/>
                <w:color w:val="auto"/>
              </w:rPr>
              <w:t>Selected Financial Data</w:t>
            </w:r>
          </w:p>
        </w:tc>
        <w:tc>
          <w:tcPr>
            <w:tcW w:w="1640" w:type="dxa"/>
            <w:vAlign w:val="bottom"/>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35</w:t>
              </w:r>
            </w:hyperlink>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7.</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36</w:t>
              </w:r>
            </w:hyperlink>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7A.</w:t>
            </w:r>
          </w:p>
        </w:tc>
        <w:tc>
          <w:tcPr>
            <w:tcW w:w="876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1640" w:type="dxa"/>
            <w:vAlign w:val="bottom"/>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49</w:t>
              </w:r>
            </w:hyperlink>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8.</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Financial Statements and Supplementary Data</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50</w:t>
              </w:r>
            </w:hyperlink>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9.</w:t>
            </w:r>
          </w:p>
        </w:tc>
        <w:tc>
          <w:tcPr>
            <w:tcW w:w="8760" w:type="dxa"/>
            <w:vAlign w:val="bottom"/>
          </w:tcPr>
          <w:p>
            <w:pPr>
              <w:ind w:left="1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640" w:type="dxa"/>
            <w:vAlign w:val="bottom"/>
          </w:tcPr>
          <w:p>
            <w:pPr>
              <w:jc w:val="center"/>
              <w:spacing w:after="0"/>
              <w:rPr>
                <w:rFonts w:ascii="Arial" w:cs="Arial" w:eastAsia="Arial" w:hAnsi="Arial"/>
                <w:sz w:val="18"/>
                <w:szCs w:val="18"/>
                <w:color w:val="0000FF"/>
                <w:w w:val="93"/>
              </w:rPr>
            </w:pPr>
            <w:hyperlink w:anchor="page108">
              <w:r>
                <w:rPr>
                  <w:rFonts w:ascii="Arial" w:cs="Arial" w:eastAsia="Arial" w:hAnsi="Arial"/>
                  <w:sz w:val="18"/>
                  <w:szCs w:val="18"/>
                  <w:color w:val="0000FF"/>
                  <w:w w:val="93"/>
                </w:rPr>
                <w:t>109</w:t>
              </w:r>
            </w:hyperlink>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9A.</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Controls and Procedures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93"/>
              </w:rPr>
            </w:pPr>
            <w:hyperlink w:anchor="page109">
              <w:r>
                <w:rPr>
                  <w:rFonts w:ascii="Arial" w:cs="Arial" w:eastAsia="Arial" w:hAnsi="Arial"/>
                  <w:sz w:val="18"/>
                  <w:szCs w:val="18"/>
                  <w:color w:val="0000FF"/>
                  <w:w w:val="93"/>
                </w:rPr>
                <w:t>109</w:t>
              </w:r>
            </w:hyperlink>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9B.</w:t>
            </w:r>
          </w:p>
        </w:tc>
        <w:tc>
          <w:tcPr>
            <w:tcW w:w="876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1640" w:type="dxa"/>
            <w:vAlign w:val="bottom"/>
          </w:tcPr>
          <w:p>
            <w:pPr>
              <w:jc w:val="center"/>
              <w:spacing w:after="0"/>
              <w:rPr>
                <w:rFonts w:ascii="Arial" w:cs="Arial" w:eastAsia="Arial" w:hAnsi="Arial"/>
                <w:sz w:val="18"/>
                <w:szCs w:val="18"/>
                <w:color w:val="0000FF"/>
                <w:w w:val="86"/>
              </w:rPr>
            </w:pPr>
            <w:hyperlink w:anchor="page110">
              <w:r>
                <w:rPr>
                  <w:rFonts w:ascii="Arial" w:cs="Arial" w:eastAsia="Arial" w:hAnsi="Arial"/>
                  <w:sz w:val="18"/>
                  <w:szCs w:val="18"/>
                  <w:color w:val="0000FF"/>
                  <w:w w:val="86"/>
                </w:rPr>
                <w:t>110</w:t>
              </w:r>
            </w:hyperlink>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8760" w:type="dxa"/>
            <w:vAlign w:val="bottom"/>
          </w:tcPr>
          <w:p>
            <w:pPr>
              <w:jc w:val="center"/>
              <w:ind w:left="709"/>
              <w:spacing w:after="0"/>
              <w:rPr>
                <w:sz w:val="20"/>
                <w:szCs w:val="20"/>
                <w:color w:val="auto"/>
              </w:rPr>
            </w:pPr>
            <w:r>
              <w:rPr>
                <w:rFonts w:ascii="Arial" w:cs="Arial" w:eastAsia="Arial" w:hAnsi="Arial"/>
                <w:sz w:val="18"/>
                <w:szCs w:val="18"/>
                <w:b w:val="1"/>
                <w:bCs w:val="1"/>
                <w:color w:val="auto"/>
              </w:rPr>
              <w:t>PART III</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10.</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Director, Executive Officers and Corporate Governance</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6"/>
              </w:rPr>
            </w:pPr>
            <w:hyperlink w:anchor="page111">
              <w:r>
                <w:rPr>
                  <w:rFonts w:ascii="Arial" w:cs="Arial" w:eastAsia="Arial" w:hAnsi="Arial"/>
                  <w:sz w:val="18"/>
                  <w:szCs w:val="18"/>
                  <w:color w:val="0000FF"/>
                  <w:w w:val="86"/>
                </w:rPr>
                <w:t>111</w:t>
              </w:r>
            </w:hyperlink>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11.</w:t>
            </w:r>
          </w:p>
        </w:tc>
        <w:tc>
          <w:tcPr>
            <w:tcW w:w="8760" w:type="dxa"/>
            <w:vAlign w:val="bottom"/>
          </w:tcPr>
          <w:p>
            <w:pPr>
              <w:ind w:left="160"/>
              <w:spacing w:after="0"/>
              <w:rPr>
                <w:sz w:val="20"/>
                <w:szCs w:val="20"/>
                <w:color w:val="auto"/>
              </w:rPr>
            </w:pPr>
            <w:r>
              <w:rPr>
                <w:rFonts w:ascii="Arial" w:cs="Arial" w:eastAsia="Arial" w:hAnsi="Arial"/>
                <w:sz w:val="18"/>
                <w:szCs w:val="18"/>
                <w:color w:val="auto"/>
              </w:rPr>
              <w:t>Executive Compensation</w:t>
            </w:r>
          </w:p>
        </w:tc>
        <w:tc>
          <w:tcPr>
            <w:tcW w:w="1640" w:type="dxa"/>
            <w:vAlign w:val="bottom"/>
          </w:tcPr>
          <w:p>
            <w:pPr>
              <w:jc w:val="center"/>
              <w:spacing w:after="0"/>
              <w:rPr>
                <w:rFonts w:ascii="Arial" w:cs="Arial" w:eastAsia="Arial" w:hAnsi="Arial"/>
                <w:sz w:val="18"/>
                <w:szCs w:val="18"/>
                <w:color w:val="0000FF"/>
                <w:w w:val="86"/>
              </w:rPr>
            </w:pPr>
            <w:hyperlink w:anchor="page111">
              <w:r>
                <w:rPr>
                  <w:rFonts w:ascii="Arial" w:cs="Arial" w:eastAsia="Arial" w:hAnsi="Arial"/>
                  <w:sz w:val="18"/>
                  <w:szCs w:val="18"/>
                  <w:color w:val="0000FF"/>
                  <w:w w:val="86"/>
                </w:rPr>
                <w:t>111</w:t>
              </w:r>
            </w:hyperlink>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12.</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6"/>
              </w:rPr>
            </w:pPr>
            <w:hyperlink w:anchor="page111">
              <w:r>
                <w:rPr>
                  <w:rFonts w:ascii="Arial" w:cs="Arial" w:eastAsia="Arial" w:hAnsi="Arial"/>
                  <w:sz w:val="18"/>
                  <w:szCs w:val="18"/>
                  <w:color w:val="0000FF"/>
                  <w:w w:val="86"/>
                </w:rPr>
                <w:t>111</w:t>
              </w:r>
            </w:hyperlink>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13.</w:t>
            </w:r>
          </w:p>
        </w:tc>
        <w:tc>
          <w:tcPr>
            <w:tcW w:w="8760" w:type="dxa"/>
            <w:vAlign w:val="bottom"/>
          </w:tcPr>
          <w:p>
            <w:pPr>
              <w:ind w:left="1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640" w:type="dxa"/>
            <w:vAlign w:val="bottom"/>
          </w:tcPr>
          <w:p>
            <w:pPr>
              <w:jc w:val="center"/>
              <w:spacing w:after="0"/>
              <w:rPr>
                <w:rFonts w:ascii="Arial" w:cs="Arial" w:eastAsia="Arial" w:hAnsi="Arial"/>
                <w:sz w:val="18"/>
                <w:szCs w:val="18"/>
                <w:color w:val="0000FF"/>
                <w:w w:val="86"/>
              </w:rPr>
            </w:pPr>
            <w:hyperlink w:anchor="page111">
              <w:r>
                <w:rPr>
                  <w:rFonts w:ascii="Arial" w:cs="Arial" w:eastAsia="Arial" w:hAnsi="Arial"/>
                  <w:sz w:val="18"/>
                  <w:szCs w:val="18"/>
                  <w:color w:val="0000FF"/>
                  <w:w w:val="86"/>
                </w:rPr>
                <w:t>111</w:t>
              </w:r>
            </w:hyperlink>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14.</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Principal Accounting Fees and Services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6"/>
              </w:rPr>
            </w:pPr>
            <w:hyperlink w:anchor="page111">
              <w:r>
                <w:rPr>
                  <w:rFonts w:ascii="Arial" w:cs="Arial" w:eastAsia="Arial" w:hAnsi="Arial"/>
                  <w:sz w:val="18"/>
                  <w:szCs w:val="18"/>
                  <w:color w:val="0000FF"/>
                  <w:w w:val="86"/>
                </w:rPr>
                <w:t>111</w:t>
              </w:r>
            </w:hyperlink>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8760" w:type="dxa"/>
            <w:vAlign w:val="bottom"/>
          </w:tcPr>
          <w:p>
            <w:pPr>
              <w:jc w:val="center"/>
              <w:ind w:left="709"/>
              <w:spacing w:after="0"/>
              <w:rPr>
                <w:sz w:val="20"/>
                <w:szCs w:val="20"/>
                <w:color w:val="auto"/>
              </w:rPr>
            </w:pPr>
            <w:r>
              <w:rPr>
                <w:rFonts w:ascii="Arial" w:cs="Arial" w:eastAsia="Arial" w:hAnsi="Arial"/>
                <w:sz w:val="18"/>
                <w:szCs w:val="18"/>
                <w:b w:val="1"/>
                <w:bCs w:val="1"/>
                <w:color w:val="auto"/>
              </w:rPr>
              <w:t>PART IV</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Item 15.</w:t>
            </w: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Exhibits and Financial Statement Schedules</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6"/>
              </w:rPr>
            </w:pPr>
            <w:hyperlink w:anchor="page112">
              <w:r>
                <w:rPr>
                  <w:rFonts w:ascii="Arial" w:cs="Arial" w:eastAsia="Arial" w:hAnsi="Arial"/>
                  <w:sz w:val="18"/>
                  <w:szCs w:val="18"/>
                  <w:color w:val="0000FF"/>
                  <w:w w:val="86"/>
                </w:rPr>
                <w:t>112</w:t>
              </w:r>
            </w:hyperlink>
          </w:p>
        </w:tc>
        <w:tc>
          <w:tcPr>
            <w:tcW w:w="0" w:type="dxa"/>
            <w:vAlign w:val="bottom"/>
          </w:tcPr>
          <w:p>
            <w:pPr>
              <w:spacing w:after="0"/>
              <w:rPr>
                <w:sz w:val="1"/>
                <w:szCs w:val="1"/>
                <w:color w:val="auto"/>
              </w:rPr>
            </w:pPr>
          </w:p>
        </w:tc>
      </w:tr>
      <w:tr>
        <w:trPr>
          <w:trHeight w:val="243"/>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Item 16.</w:t>
            </w:r>
          </w:p>
        </w:tc>
        <w:tc>
          <w:tcPr>
            <w:tcW w:w="8760" w:type="dxa"/>
            <w:vAlign w:val="bottom"/>
          </w:tcPr>
          <w:p>
            <w:pPr>
              <w:ind w:left="160"/>
              <w:spacing w:after="0"/>
              <w:rPr>
                <w:sz w:val="20"/>
                <w:szCs w:val="20"/>
                <w:color w:val="auto"/>
              </w:rPr>
            </w:pPr>
            <w:r>
              <w:rPr>
                <w:rFonts w:ascii="Arial" w:cs="Arial" w:eastAsia="Arial" w:hAnsi="Arial"/>
                <w:sz w:val="18"/>
                <w:szCs w:val="18"/>
                <w:color w:val="auto"/>
              </w:rPr>
              <w:t>Form 10-K Summary</w:t>
            </w:r>
          </w:p>
        </w:tc>
        <w:tc>
          <w:tcPr>
            <w:tcW w:w="1640" w:type="dxa"/>
            <w:vAlign w:val="bottom"/>
          </w:tcPr>
          <w:p>
            <w:pPr>
              <w:jc w:val="center"/>
              <w:spacing w:after="0"/>
              <w:rPr>
                <w:rFonts w:ascii="Arial" w:cs="Arial" w:eastAsia="Arial" w:hAnsi="Arial"/>
                <w:sz w:val="18"/>
                <w:szCs w:val="18"/>
                <w:color w:val="0000FF"/>
                <w:w w:val="86"/>
              </w:rPr>
            </w:pPr>
            <w:hyperlink w:anchor="page116">
              <w:r>
                <w:rPr>
                  <w:rFonts w:ascii="Arial" w:cs="Arial" w:eastAsia="Arial" w:hAnsi="Arial"/>
                  <w:sz w:val="18"/>
                  <w:szCs w:val="18"/>
                  <w:color w:val="0000FF"/>
                  <w:w w:val="86"/>
                </w:rPr>
                <w:t>116</w:t>
              </w:r>
            </w:hyperlink>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1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9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Western Digital, the Western Digital logo, G-Technology,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FORWARD-LOOKING STATEMENTS</w:t>
      </w:r>
    </w:p>
    <w:p>
      <w:pPr>
        <w:spacing w:after="0" w:line="25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21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effects of the COVID-19 pandemic and measures intended to reduce its spread;</w:t>
      </w:r>
    </w:p>
    <w:p>
      <w:pPr>
        <w:spacing w:after="0" w:line="2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Flash Ventures joint venture with Kioxia Corporation, the flash industry and our flash wafer output plans;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pricing conditions for flash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cost saving initiatives;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product development and technology plans;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reinvestment in the business and ongoing deleveraging efforts;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share repurchase program and resumption of our quarterly cash dividend policy;</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repatriation of funds from our foreign operations;</w:t>
      </w:r>
    </w:p>
    <w:p>
      <w:pPr>
        <w:spacing w:after="0" w:line="9" w:lineRule="exact"/>
        <w:rPr>
          <w:rFonts w:ascii="Arial" w:cs="Arial" w:eastAsia="Arial" w:hAnsi="Arial"/>
          <w:sz w:val="18"/>
          <w:szCs w:val="18"/>
          <w:i w:val="1"/>
          <w:iCs w:val="1"/>
          <w:color w:val="auto"/>
        </w:rPr>
      </w:pPr>
    </w:p>
    <w:p>
      <w:pPr>
        <w:ind w:left="660" w:right="1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available liquidity to meet our working capital, debt and capital expenditure needs.</w:t>
      </w:r>
    </w:p>
    <w:p>
      <w:pPr>
        <w:spacing w:after="0" w:line="23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 Item 1A of this Annual Report on Form 10-K,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Western Digital Corporation (“Western Digital”) is a leading developer, manufacturer, and provider of data storage devices and solutions that address the evolving needs of information technology (“IT”) and the infrastructure that enables the proliferation of data in virtually every industry. We create environments for data to thrive. We are driving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broad portfolio of technology and products address the following key end markets: Client Devices; Data Center Devices and Solutions; and Client Solutions. We also generate license and royalty revenue from our extensive intellectual property (“IP”), which is included in each of these three end market categories.</w:t>
      </w:r>
    </w:p>
    <w:p>
      <w:pPr>
        <w:spacing w:after="0" w:line="21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Founded in 1970 in Santa Ana, California and now headquartered in San Jose, California, Western Digital has one of the technology industry’s most valuable patent portfolios with approximately 13,500 active patents worldwide. Since 2009, we have been a Standard &amp; Poor’s 500 (“S&amp;P 500”) company. We have a rich heritage of innovation and operational excellence, a wide range of IP assets and broad research and development (“R&amp;D”) capabilities. The unabated growth and value of data continues, creating a global need for a larger and more capable storage infrastructure. We continue to transform ourselves to address this growth by providing what we believe to be the broadest range of storage technologies in the industry with a comprehensive product portfolio and global reach. Our devices and solutions are made using either rotating magnetic technology, hard disk drives (“HDD”), or semiconductor technology, referred to as flash-based memory (“flash”).</w:t>
      </w:r>
    </w:p>
    <w:p>
      <w:pPr>
        <w:spacing w:after="0" w:line="20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enable cloud service providers to build more powerful, cost effective and efficient data centers. We have deep relationships with a large range of original equipment manufacturers (“OEM”) and data center customers currently addressing storage opportunities, such as storage subsystem suppliers, major server OEMs, Internet and social media infrastructure players, and personal computer (“PC”) and Mac™ OEMs. We have also built strong consumer brands by providing effective tools to manage fast-accumulating libraries of personal content. Western Digital data-centric solutions are comprised of the Western Digital®, G-Technology™, SanDisk® and WD® brands. Our products are sold through distribution, retail and direct channels worldwide. We are a vertically integrated company with deep capabilities to transform disk drive and flash-based components into products and solutions. We operate a series of joint ventures with Kioxia Corporation (“Kioxia,” formerly known as Toshiba Memory Corporation) that provide us with industry leading flash-based memory wafers that we use in our products (see “Ventures with Kioxia” section below).</w:t>
      </w:r>
    </w:p>
    <w:p>
      <w:pPr>
        <w:spacing w:after="0" w:line="20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are well positioned to capitalize on the ongoing expansion in digital content generation and management. This fundamental trend is linked directly to commercial enterprises’ and consumers’ need for data storage and extraction of value from the data. The ways in which people and organizations are creating and using data are changing and the amount of data considered useful to store is expanding. More digital content is being stored and managed in a cloud environment on both HDDs and flash-based solid state drives (“SSD”). With a focus on innovation and value creation, our goal is to grow through strong execution and targeted investments in data center infrastructure, mobility and the cloud.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56"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operate in the data storage and data management industry. Our devices and solutions provide a broad range of reliability, performance, storage capacity and data retention capabilities to our customers. The ability to capture and create value through the use of data analytics is increasingly important to our customers. In a connected global marketplace, across the data infrastructure, there has been a proliferation in the methods by and the rates at which content is generated, accessed, transformed, consumed and stored by end users. When combined with fast global networks, these trends create tremendous need for cost effective, high-performance and/or high-capacity storage solutions in edge and end-point use cases such as mobile, computing and consumer electronic devices, as well as in a wide range of storage systems, servers and data centers.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growth in computing complexity, cloud computing applications, connected mobile devices and Internet connected products is driving unabated growth in the volume of digital content to be stored. This growth has led to a creation of new form factors for data storage. The storage industry is increasingly utilizing tiered architectures with HDDs, SSDs and other non-volatile memory-based storage to address an expanding set of uses and applications. We continuously monitor the advantages, disadvantages and advances of the full array of storage technologies, including reviewing these technologies with our customers, to ensure we are appropriately resourced to meet our customers’ storage needs. Storage solutions that hold large amounts of data are key enablers of the trends seen in the evolution of a data driven economy, underpinned by the increase of digital content creation, consumption and monetization.</w:t>
      </w:r>
    </w:p>
    <w:p>
      <w:pPr>
        <w:spacing w:after="0" w:line="22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are a market and customer driven company, focused on growth, technology, innovation and value creation for our customers, employees and shareholders. We develop deep and collaborative relationships with our customers with a goal of enabling their continued success, an approach that has made us a trusted business partner in our served markets. As our portfolio of storage solutions expands further, we believe our customer engagement approach is one of the key factors that will help us continue to achieve strong financial performance over the long term. We continue to evolve our customer engagement and go-to-market model to address changing customer and market needs. We are well positioned to expand our value-creation model within an evolving and growing storage ecosystem with our diversified product platform and unique competitive advantages.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industry is highly competitive. We compete with manufacturers of HDDs and flash-based memory for client devices and solutions, and data center devices and solutions. In HDD, we compete with Seagate Technology plc and Toshiba Electronic Devices &amp; Storage Corporation. In flash, we compete with vertically integrated suppliers such as Intel Corporation, Kioxia, Micron Technology, Inc., Samsung Electronics Co., Ltd., SK hynix, Inc., Yangtze Memory Technologies Co., Ltd. and numerous smaller companies that assemble flash into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Our overall strategy is to leverage our technology, innovation and execution capabilities to be an industry-leading and broad-based developer, manufacturer and provider of storage devices and solutions that support the infrastructure that has enabled the unabated proliferation of data. We believe we are the only company in the world with large-scale capabilities to develop and manufacture a portfolio of integrated data storage solutions that are based on both rotating magnetic and flash memory technologies. We strive to successfully execute our strategy through the following foundational elements in order to deliver the best outcome for our customers, partners, investors and employees:</w:t>
      </w:r>
    </w:p>
    <w:p>
      <w:pPr>
        <w:spacing w:after="0" w:line="203" w:lineRule="exact"/>
        <w:rPr>
          <w:sz w:val="20"/>
          <w:szCs w:val="20"/>
          <w:color w:val="auto"/>
        </w:rPr>
      </w:pPr>
    </w:p>
    <w:p>
      <w:pPr>
        <w:ind w:left="660" w:right="2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Technology Leadership: </w:t>
      </w:r>
      <w:r>
        <w:rPr>
          <w:rFonts w:ascii="Arial" w:cs="Arial" w:eastAsia="Arial" w:hAnsi="Arial"/>
          <w:sz w:val="18"/>
          <w:szCs w:val="18"/>
          <w:color w:val="auto"/>
        </w:rPr>
        <w:t>We continue to innovate and develop advanced technologies across platforms for both HDD and flash to deliver timely</w:t>
      </w:r>
      <w:r>
        <w:rPr>
          <w:rFonts w:ascii="Arial" w:cs="Arial" w:eastAsia="Arial" w:hAnsi="Arial"/>
          <w:sz w:val="18"/>
          <w:szCs w:val="18"/>
          <w:i w:val="1"/>
          <w:iCs w:val="1"/>
          <w:color w:val="auto"/>
        </w:rPr>
        <w:t xml:space="preserve"> </w:t>
      </w:r>
      <w:r>
        <w:rPr>
          <w:rFonts w:ascii="Arial" w:cs="Arial" w:eastAsia="Arial" w:hAnsi="Arial"/>
          <w:sz w:val="18"/>
          <w:szCs w:val="18"/>
          <w:color w:val="auto"/>
        </w:rPr>
        <w:t>new products and solutions to meet growing demands for scale, performance and cost efficiency in the market.</w:t>
      </w:r>
    </w:p>
    <w:p>
      <w:pPr>
        <w:spacing w:after="0" w:line="197"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Broad Product Portfolio: </w:t>
      </w:r>
      <w:r>
        <w:rPr>
          <w:rFonts w:ascii="Arial" w:cs="Arial" w:eastAsia="Arial" w:hAnsi="Arial"/>
          <w:sz w:val="18"/>
          <w:szCs w:val="18"/>
          <w:color w:val="auto"/>
        </w:rPr>
        <w:t>We leverage our capabilities in firmware, software and systems in both HDD and flash to deliver compelling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differentiated integrated storage solutions to our customers that offer the best combinations of performance, cost, power consumption, form factor, quality and reliability, while creating new use cases for our solutions in emerging markets.</w:t>
      </w:r>
    </w:p>
    <w:p>
      <w:pPr>
        <w:spacing w:after="0" w:line="210" w:lineRule="exact"/>
        <w:rPr>
          <w:rFonts w:ascii="Arial" w:cs="Arial" w:eastAsia="Arial" w:hAnsi="Arial"/>
          <w:sz w:val="18"/>
          <w:szCs w:val="18"/>
          <w:i w:val="1"/>
          <w:iCs w:val="1"/>
          <w:color w:val="auto"/>
        </w:rPr>
      </w:pPr>
    </w:p>
    <w:p>
      <w:pPr>
        <w:ind w:left="660" w:right="100" w:hanging="328"/>
        <w:spacing w:after="0" w:line="259"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Operational Excellence: </w:t>
      </w:r>
      <w:r>
        <w:rPr>
          <w:rFonts w:ascii="Arial" w:cs="Arial" w:eastAsia="Arial" w:hAnsi="Arial"/>
          <w:sz w:val="18"/>
          <w:szCs w:val="18"/>
          <w:color w:val="auto"/>
        </w:rPr>
        <w:t>We are focused on delivering the best value for our customers in data center, client and consumer markets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relentless focus on appropriately scaling our operations across both HDD and flash technologies to efficiently support business growth, achieving best in class cost, quality and cycle-time, maintaining industry leading manufacturing capabilities, and having a competitive advantage in supply-chain management.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strategy provides the following benefits, which distinguish us in the dynamic and competitive data storage industry:</w:t>
      </w:r>
    </w:p>
    <w:p>
      <w:pPr>
        <w:spacing w:after="0" w:line="252" w:lineRule="exact"/>
        <w:rPr>
          <w:sz w:val="20"/>
          <w:szCs w:val="20"/>
          <w:color w:val="auto"/>
        </w:rPr>
      </w:pPr>
    </w:p>
    <w:p>
      <w:pPr>
        <w:ind w:left="660" w:right="160" w:hanging="328"/>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differentiates us as the leading developer and manufacturer of integrated products and solutions based on both HDD and flash, making us a more strategic supply partner to our large-scale customers who have storage needs across the data infrastructure ecosystem;</w:t>
      </w:r>
    </w:p>
    <w:p>
      <w:pPr>
        <w:spacing w:after="0" w:line="173"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enables scaling for efficiency and flexibility, allowing us to leverage our HDD and flash R&amp;D and capital expenditures to deliver storage solutions to multiple markets;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results in continued diversification of our HDD and flash storage solutions portfolio and entry into additional growing adjacent markets; and</w:t>
      </w:r>
    </w:p>
    <w:p>
      <w:pPr>
        <w:spacing w:after="0" w:line="263"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allows us to achieve strong financial performance, including healthy cash generation, thereby enabling organic and inorganic business investments and facilitating our ongoing deleveraging efforts.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Storage Solutions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offer a broad line of data storage solutions to meet the evolving storage needs of end markets which include the following:</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Client Devices</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Client Devices consist of HDDs and SSDs for computing devices, such as desktop and notebook PCs, smart video systems, gaming consoles and set top boxes; flash-based embedded storage products for mobile phones, tablets, notebook PCs and other portable and wearable devices, automotive, Internet of Things (“IoT”), industrial and connected home applications; and flash-based memory wafers and components. Our HDDs and SSDs are designed for use in devices requiring high performance, reliability and capacity with various attributes such as low cost per gigabyte (“GB”), quiet acoustics, low power consumption and protection against shocks.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Data Center Devices and Solutions</w:t>
      </w:r>
    </w:p>
    <w:p>
      <w:pPr>
        <w:spacing w:after="0" w:line="25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Data Center Devices and Solutions consist of high-capacity enterprise HDDs and high-performance enterprise SSDs, and platforms. Our capacity enterprise helium hard drives provide high capacity storage needs and low total cost of ownership per GB for the growing cloud data center market. These drives are primarily for use in data storage systems, in tiered storage models and where data must be stored reliably for years. Our high-performance enterprise class SSDs include high-performance flash-based SSDs and software solutions which are optimized for performance applications providing a range of capacity and performance levels primarily for use in enterprise servers, supporting high volume on-line transactions, data analysis and other enterprise applications. We also provide higher value data storage platforms to the market.</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Client Solutions</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Client Solutions consist of HDDs and SSDs embedded into external storage products and removable flash-based products, which include cards, universal serial bus (“USB”) flash drives and wireless drives. Our external HDD storage products in both mobile and desktop form factors provide affordable, high quality, reliable storage for backup and capacity expansion that are designed to keep digital content secure. We offer client portable SSDs with a range of capacities and performance characteristics to address a broad spectrum of the client storage market. Our removable cards are designed primarily for use in consumer devices, such as mobile phones, tablets, imaging systems, still cameras, action video cameras and smart video systems. Our USB flash drives are used in the computing and consumer markets and are designed for high-performance and reliability. Our wireless drive products allow in-field back up of created content, as well as wireless streaming of high-definition movies, photos, music and documents to tablets, smartphones and PCs.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Rotating Magnetic Storage</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HDDs provide non-volatile data storage based on the recording of magnetic information on a rotating disk. We have successfully developed and commercialized HDDs that operate in an enclosed helium environment, instead of air, delivering industry leading HDD capacity and performance attributes. Our improvements in HDD capacity, which lower product costs over time, have been enabled largely through advancements in recording head and magnetic media technology. We develop and manufacture substantially all of the recording heads and magnetic media used in our hard drive products. We invest considerable resources in R&amp;D, manufacturing infrastructure and capital equipment for recording head and media technology, as well as other aspects of the magnetic recording system such as HDD mechanics, controller and firmware technology, in order to secure our competitive position and cost structure. To support our ongoing efforts of driving innovation and continued areal density leadership, we are actively investing in both microwave-assisted magnetic recording (“MAMR”) and heat-assisted magnetic recording (“HAMR”) technology. As part of our energy-assisted recording technology roadmap, in 2019 we introduced our 16-, 18-, and 20-terabyte drives that are using energy-assisted perpendicular magnetic recording (“ePMR”) technology.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Solid State Storage</w:t>
      </w:r>
    </w:p>
    <w:p>
      <w:pPr>
        <w:spacing w:after="0" w:line="25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Solid state storage products provide non-volatile data storage based on flash technology. We develop and manufacture solid state storage products in different form factors for a variety of different markets, including enterprise or cloud storage, client storage, automotive, mobile devices and removable memory devices.</w:t>
      </w:r>
    </w:p>
    <w:p>
      <w:pPr>
        <w:spacing w:after="0" w:line="211"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Our solid state storage products utilize our captive flash-based technology which we develop and manufacture through our business ventures with Kioxia. We devote significant research and development resources to the development of highly reliable, high-performance, cost-effective flash-based technology. Over time, we have successfully developed and commercialized an increased number of storage bits per cell in an increasingly smaller form factor, further driving cost reductions. Following our introduction and commercialization in 2018 of products based on 4-bits-per-cell architectures (“QLC technology”) and on 3-dimensional flash technology (“3D NAND”), which we refer to as BiCS4, we started shipping products based on QLC and our 4th generation 96-layer BiCS4 technologies in 2019. Our BiCS4 QLC technology delivers an industry-leading storage capacity of 1.33 terabits on a single chip. We have also begun initial shipments of our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generation 112-layer BiCS5 products. In addition, we implemented our advanced UFS and e.MMC interface in a new portfolio of advanced embedded flash drives to empower smartphone users to unlock the full potential of today’s data-driven applications and experiences. We also provide a range of embedded storage solutions for customers developing high-end, highly demanding, and data-intensive automotive applications.</w:t>
      </w:r>
    </w:p>
    <w:p>
      <w:pPr>
        <w:spacing w:after="0" w:line="23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expect to develop and commercialize additional generations of 3D NAND technologies over the next several years while continuing to utilize our older technology for certain markets and applications.</w:t>
      </w:r>
    </w:p>
    <w:p>
      <w:pPr>
        <w:spacing w:after="0" w:line="19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are leveraging our expertise, resources and strategic investments in non-volatile memories to explore a wide spectrum of persistent memory and storage class memory technologies. We have also initiated, defined and developed standards to meet new market needs and to promote wide acceptance of flash storage standards through interoperability and ease-of-use.</w:t>
      </w:r>
    </w:p>
    <w:p>
      <w:pPr>
        <w:spacing w:after="0" w:line="21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 xml:space="preserve">Our products generally leverage a common platform for various products within product families, and in some cases across product families, resulting in the commonality of components which reduces our exposure to changes in demand, facilitates inventory management and allows us to achieve lower costs through purchasing economies. This platform strategy also enables our customers to leverage their qualification efforts onto successive product models. For a discussion of associated risks,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 xml:space="preserve">We devote substantial resources to the development of new products and the improvement of existing products. We focus our engineering efforts on coordinating our product design and manufacturing processes to bring our products to market in a cost-effective and timely manner.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Information</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rely on a combination of patents, trademarks, copyright and trade secret laws, confidentiality procedures and licensing arrangements to protect our IP rights.</w:t>
      </w:r>
    </w:p>
    <w:p>
      <w:pPr>
        <w:spacing w:after="0" w:line="19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approximately 13,500 active patents worldwide and have many patent applications in process. We continually seek additional United States (“U.S.”) and international patents on our technology. We believe that, although our active patents and patent applications have considerable value, the successful manufacturing and marketing of our products also depends upon the technical and managerial competence of our staff. Accordingly, the patents held and applied for cannot alone ensure our future success.</w:t>
      </w:r>
    </w:p>
    <w:p>
      <w:pPr>
        <w:spacing w:after="0" w:line="21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addition to patent protection of certain IP rights, we consider elements of our product designs and processes to be proprietary and confidential. We believe that our non-patented IP, particularly some of our process technology, is an important factor in our success. We rely upon non-disclosure agreements,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laws of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220" w:lineRule="exact"/>
        <w:rPr>
          <w:sz w:val="20"/>
          <w:szCs w:val="20"/>
          <w:color w:val="auto"/>
        </w:rPr>
      </w:pPr>
      <w:r>
        <w:rPr>
          <w:rFonts w:ascii="Arial" w:cs="Arial" w:eastAsia="Arial" w:hAnsi="Arial"/>
          <w:sz w:val="18"/>
          <w:szCs w:val="18"/>
          <w:color w:val="auto"/>
        </w:rPr>
        <w:t xml:space="preserve">We rely on certain technology that we license from other parties to manufacture and sell our products. We believe that we have adequate cross-licenses and other agreements in place in addition to our own IP portfolio to compete successfully in the storage industry.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believe that we have significant know-how, unique product manufacturing processes, test and tooling, execution skills, human resources and training to continue to be successful and to grow our manufacturing operations as necessary. We strive to maintain manufacturing flexibility, high manufacturing yields, reliable products and high-quality components. The critical elements of our production of HDD and flash-based products are high-volume and utilization, low-cost assembly and testing, strict adherence to quality metrics and maintaining close relationships with our strategic component suppliers to access best-in-class technology and manufacturing capacity. We continually monitor our manufacturing capabilities to respond to the changing requirements of our customers and maintain our competitiveness and position as a data technology leader.</w:t>
      </w:r>
    </w:p>
    <w:p>
      <w:pPr>
        <w:spacing w:after="0" w:line="20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HDD and flash-based product manufacturing are complex processes involving the production and assembly of precision components with narrow tolerances and rigorous testing. The manufacturing processes involve a number of steps that are dependent on each other and occur in “clean room” environments that demand skill in process engineering and efficient space utilization to control the operating costs of these manufacturing environments. We continually evaluate our manufacturing processes in an effort to increase productivity, sustain and improve quality and decrease manufacturing costs. We continually evaluate which steps in the manufacturing process would benefit from automation and how automated manufacturing processes can improve productivity and reduce manufacturing costs.</w:t>
      </w:r>
    </w:p>
    <w:p>
      <w:pPr>
        <w:spacing w:after="0" w:line="21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Substantially all of our flash-based supply requirements for our flash-based products is obtained from our business ventures with Kioxia, which provide us with leading-edge, high-quality and low-cost flash memory wafers. This represents our captive supply and we are obligated to take our share of the output from these ventures or pay the fixed costs associated with that capacity. See “Ventures with Kioxia” below for additional information. While substantially all of our flash memory supply utilized for our products is purchased from these ventures, from time-to-time, we also purchase flash memory from other flash manufacturers, which we refer to as non-captive. While we do not unilaterally control the operations of our ventures with Kioxia, we believe that our business venture relationship with Kioxia helps us to reduce the costs of producing our products, increases our ability to control the quality of our products and speeds delivery of our products to our customers. Our vertically integrated manufacturing operations for our flash-based products are concentrated in three locations, with our business ventures with Kioxia located primarily in Yokkaichi, Japan, and our in-house assembly and test operations located in Shanghai, China and Penang, Malaysia.</w:t>
      </w:r>
    </w:p>
    <w:p>
      <w:pPr>
        <w:spacing w:after="0" w:line="20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We also leverage the efficiencies of contract manufacturers when strategically advantageous.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Supplies</w:t>
      </w:r>
    </w:p>
    <w:p>
      <w:pPr>
        <w:spacing w:after="0" w:line="25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HDD consists primarily of recording heads, magnetic media and a printed circuit board assembly. We design and manufacture substantially all of the recording heads and magnetic media required for our products. As a result, we are more dependent upon our own development and execution efforts and less reliant on recording head and magnetic media technologies developed by other manufacturers. We depend on an external supply base for all remaining components and materials for use in our HDD product design, manufacturing, and testing.</w:t>
      </w:r>
    </w:p>
    <w:p>
      <w:pPr>
        <w:spacing w:after="0" w:line="19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flash-based products consist of flash memory, controllers and firmwares. Substantially all of our flash-based memory is supplied by our business ventures with Kioxia. Controllers are primarily designed in-house and manufactured by third-party foundries or acquired from third-party suppliers. We believe the use of our in-house assembly and test facilities, as well as contract manufacturers, provides flexibility and gives us access to increased production capacity. We have developed deep relationships with these vendors and Kioxia to establish continuous supply of flash-based memory and controllers.</w:t>
      </w:r>
    </w:p>
    <w:p>
      <w:pPr>
        <w:spacing w:after="0" w:line="21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 xml:space="preserve">We generally retain multiple suppliers for our component requirements but, for business or technology reasons, we source some of our components from a limited number of sole or single source providers. Currently, we believe that there are no major issues with component availability.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Ventures with Kioxia</w:t>
      </w:r>
    </w:p>
    <w:p>
      <w:pPr>
        <w:spacing w:after="0" w:line="256"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We and Kioxia currently operate three business ventures in 300-millimeter flash-based manufacturing facilities in Japan, which provide us leading-edge, cost-competitive flash-based memory wafers for our end products. Through Flash Partners Ltd., Flash Alliance Ltd., and Flash Forward Ltd., which we collectively refer to as Flash Ventures, we and Kioxia collaborate in the development and manufacture of flash-based memory wafers using semiconductor manufacturing equipment owned or leased by each of the Flash Venture entities. We hold a 49.9% ownership position in each of the Flash Venture entities. Each Flash Venture entity purchases wafers from Kioxia at cost and then resells those wafers to us and Kioxia at cost plus a small mark-up. We are obligated to pay for variable costs incurred in producing our share of Flash Ventures’ flash-based memory wafer supply, based on our three-month forecast, which generally equals 50% of Flash Ventures’ output. In addition, we are obligated to pay for half of Flash Ventures’ fixed costs regardless of the output we choose to purchase. We are also obligated to fund 49.9% to 50% of each Flash Ventures entity’s capital investments to the extent that Flash Ventures entity’s operating cash flow is insufficient to fund these investments. We co-develop flash technologies (including process technology and memory design) with Kioxia and contribute IP for Flash Ventures’ use.</w:t>
      </w:r>
    </w:p>
    <w:p>
      <w:pPr>
        <w:spacing w:after="0" w:line="21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agreements governing the operations of the Flash Venture entities also set out a framework for any investment by the joint venture partners in flash manufacturing capacity. Since its inception, Flash Ventures’ primary manufacturing site has been located in Yokkaichi, Japan. The Yokkaichi site, which is owned and operated by Kioxia, currently includes five wafer fabrication facilities. We have jointly invested, and intend to continue to jointly invest, with Kioxia in manufacturing equipment for the Yokkaichi fabrication facilities. In May 2019, we entered into additional agreements to extend Flash Ventures to a new wafer fabrication facility, known as “K1.” Located in Kitakami, Japan, K1 is operated by Kioxia Iwate Corporation, a wholly owned subsidiary of Kioxia. The primary purpose of K1 is to provide clean room space to continue the transition of existing flash-based wafer capacity to newer technology nodes. Output from the initial production line at K1 began in the third quarter of fiscal year 2020. Meaningful output from K1 is not expected to begin until the end of calendar year 2020.</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a discussion of risks associated with our business ventures with Kioxia, see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this Annual Report on Form 10-K.</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56" w:lineRule="exact"/>
        <w:rPr>
          <w:sz w:val="20"/>
          <w:szCs w:val="20"/>
          <w:color w:val="auto"/>
        </w:rPr>
      </w:pPr>
    </w:p>
    <w:p>
      <w:pPr>
        <w:jc w:val="both"/>
        <w:ind w:right="220" w:firstLine="324"/>
        <w:spacing w:after="0" w:line="257" w:lineRule="auto"/>
        <w:rPr>
          <w:sz w:val="20"/>
          <w:szCs w:val="20"/>
          <w:color w:val="auto"/>
        </w:rPr>
      </w:pPr>
      <w:r>
        <w:rPr>
          <w:rFonts w:ascii="Arial" w:cs="Arial" w:eastAsia="Arial" w:hAnsi="Arial"/>
          <w:sz w:val="18"/>
          <w:szCs w:val="18"/>
          <w:color w:val="auto"/>
        </w:rPr>
        <w:t xml:space="preserve">We maintain sales offices in selected parts of the world including the major geographies of the Americas, Asia Pacific, Europe and the Middle East. Our international sales, which include sales to foreign subsidiaries of U.S. companies but do not include sales to U.S. subsidiaries of foreign companies, represented 72%, 78% and 78% of our net revenue for 2020, 2019 and 2018, respectively. Sales to international customers are subject to certain risks not normally encountered in domestic operations, including exposure to tariffs and various trade regulations.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21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perform our marketing and advertising functions internally and through outside firms utilizing both consumer media and trade publications targeting various reseller and end-user categories. We also maintain customer relationships through direct communication and by providing information and support through our website. In accordance with standard storage industry practice, we provide distributors and retailers with limited price protection and programs under which we reimburse certain marketing expenditures. We also provide distributors, resellers and OEMs with other sales incentive programs. While these groups of customers make up our end markets, some of these customers cross into multiple groups. We define these customers as follows:</w:t>
      </w:r>
    </w:p>
    <w:p>
      <w:pPr>
        <w:spacing w:after="0" w:line="18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Original Equipment Manufacturers. </w:t>
      </w:r>
      <w:r>
        <w:rPr>
          <w:rFonts w:ascii="Arial" w:cs="Arial" w:eastAsia="Arial" w:hAnsi="Arial"/>
          <w:sz w:val="18"/>
          <w:szCs w:val="18"/>
          <w:color w:val="auto"/>
        </w:rPr>
        <w:t>OEMs purchase our products either directly or through a contract manufacturer such as an original design</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 and assemble them into the devices they build and market under their own brands. OEMs typically seek to qualify two or more providers for each generation of products and generally will purchase products from those vendors for the life of that product. Many of our OEM customers utilize just-in-time inventory management processes. As a result, for certain OEMs, we maintain a base stock of finished goods inventory in facilities located near or adjacent to the OEM’s operations. In addition, we sell flash storage solutions directly to customers that offer our products under their own brand name in the retail market, which we also classify as OEMs.</w:t>
      </w:r>
    </w:p>
    <w:p>
      <w:pPr>
        <w:spacing w:after="0" w:line="21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i w:val="1"/>
          <w:iCs w:val="1"/>
          <w:color w:val="auto"/>
        </w:rPr>
        <w:t xml:space="preserve">Cloud. </w:t>
      </w:r>
      <w:r>
        <w:rPr>
          <w:rFonts w:ascii="Arial" w:cs="Arial" w:eastAsia="Arial" w:hAnsi="Arial"/>
          <w:sz w:val="16"/>
          <w:szCs w:val="16"/>
          <w:color w:val="auto"/>
        </w:rPr>
        <w:t>A large and growing customer base are those who integrate our storage solutions to provide services to other companies and end users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cloud. This customer base includes hyper-scale users that utilize our storage solutions to provide cloud-based services and infrastructure including information technology services, social media, gaming, streaming media, research and other services to an ever-increasing market. This group of customers purchase either directly, through an integrator, an original design manufacturer (“ODM”), an OEM or a combination of channels.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40" w:firstLine="324"/>
        <w:spacing w:after="0" w:line="286" w:lineRule="auto"/>
        <w:rPr>
          <w:sz w:val="20"/>
          <w:szCs w:val="20"/>
          <w:color w:val="auto"/>
        </w:rPr>
      </w:pPr>
      <w:r>
        <w:rPr>
          <w:rFonts w:ascii="Arial" w:cs="Arial" w:eastAsia="Arial" w:hAnsi="Arial"/>
          <w:sz w:val="17"/>
          <w:szCs w:val="17"/>
          <w:i w:val="1"/>
          <w:iCs w:val="1"/>
          <w:color w:val="auto"/>
        </w:rPr>
        <w:t xml:space="preserve">Distributors. </w:t>
      </w:r>
      <w:r>
        <w:rPr>
          <w:rFonts w:ascii="Arial" w:cs="Arial" w:eastAsia="Arial" w:hAnsi="Arial"/>
          <w:sz w:val="17"/>
          <w:szCs w:val="17"/>
          <w:color w:val="auto"/>
        </w:rPr>
        <w:t>We use a broad group of distributors to sell our products to non-direct customers such as small computer and consumer electronics</w:t>
      </w:r>
      <w:r>
        <w:rPr>
          <w:rFonts w:ascii="Arial" w:cs="Arial" w:eastAsia="Arial" w:hAnsi="Arial"/>
          <w:sz w:val="17"/>
          <w:szCs w:val="17"/>
          <w:i w:val="1"/>
          <w:iCs w:val="1"/>
          <w:color w:val="auto"/>
        </w:rPr>
        <w:t xml:space="preserve"> </w:t>
      </w:r>
      <w:r>
        <w:rPr>
          <w:rFonts w:ascii="Arial" w:cs="Arial" w:eastAsia="Arial" w:hAnsi="Arial"/>
          <w:sz w:val="17"/>
          <w:szCs w:val="17"/>
          <w:color w:val="auto"/>
        </w:rPr>
        <w:t>(“CE”) manufacturers, dealers, value-added resellers, systems integrators, online retailers and other resellers. Distributors generally enter into non-exclusive agreements with us for the purchase and redistribution of our products in specific territories.</w:t>
      </w:r>
    </w:p>
    <w:p>
      <w:pPr>
        <w:spacing w:after="0" w:line="192"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i w:val="1"/>
          <w:iCs w:val="1"/>
          <w:color w:val="auto"/>
        </w:rPr>
        <w:t xml:space="preserve">Retailers. </w:t>
      </w:r>
      <w:r>
        <w:rPr>
          <w:rFonts w:ascii="Arial" w:cs="Arial" w:eastAsia="Arial" w:hAnsi="Arial"/>
          <w:sz w:val="17"/>
          <w:szCs w:val="17"/>
          <w:color w:val="auto"/>
        </w:rPr>
        <w:t>We sell our branded products directly to a select group of major retailers such as computer superstores, warehouse clubs, online retailers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computer electronics stores, and authorize sales through distributors to smaller retailers. The retail channel complements our other sales channels while helping to build brand awareness for us and our products. We also sell our branded products through our websites.</w:t>
      </w:r>
    </w:p>
    <w:p>
      <w:pPr>
        <w:spacing w:after="0" w:line="19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 xml:space="preserve">For each of 2020, 2019 and 2018, no single customer accounted for 10% or more of our net revenue. For a discussion of associated risks,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of this Annual Report on Form 10-K. For additional information regarding revenue recognition and major customers, see Part II, Item 8, Note 1, </w:t>
      </w:r>
      <w:r>
        <w:rPr>
          <w:rFonts w:ascii="Arial" w:cs="Arial" w:eastAsia="Arial" w:hAnsi="Arial"/>
          <w:sz w:val="17"/>
          <w:szCs w:val="17"/>
          <w:i w:val="1"/>
          <w:iCs w:val="1"/>
          <w:color w:val="auto"/>
        </w:rPr>
        <w:t>Organization and Basis of Presentation,</w:t>
      </w:r>
      <w:r>
        <w:rPr>
          <w:rFonts w:ascii="Arial" w:cs="Arial" w:eastAsia="Arial" w:hAnsi="Arial"/>
          <w:sz w:val="17"/>
          <w:szCs w:val="17"/>
          <w:color w:val="auto"/>
        </w:rPr>
        <w:t xml:space="preserve"> and Note 10, </w:t>
      </w:r>
      <w:r>
        <w:rPr>
          <w:rFonts w:ascii="Arial" w:cs="Arial" w:eastAsia="Arial" w:hAnsi="Arial"/>
          <w:sz w:val="17"/>
          <w:szCs w:val="17"/>
          <w:i w:val="1"/>
          <w:iCs w:val="1"/>
          <w:color w:val="auto"/>
        </w:rPr>
        <w:t>Business Segment, Revenue Information, Geographic Information and Concentration</w:t>
      </w:r>
      <w:r>
        <w:rPr>
          <w:rFonts w:ascii="Arial" w:cs="Arial" w:eastAsia="Arial" w:hAnsi="Arial"/>
          <w:sz w:val="17"/>
          <w:szCs w:val="17"/>
          <w:color w:val="auto"/>
        </w:rPr>
        <w:t xml:space="preserve"> </w:t>
      </w:r>
      <w:r>
        <w:rPr>
          <w:rFonts w:ascii="Arial" w:cs="Arial" w:eastAsia="Arial" w:hAnsi="Arial"/>
          <w:sz w:val="17"/>
          <w:szCs w:val="17"/>
          <w:i w:val="1"/>
          <w:iCs w:val="1"/>
          <w:color w:val="auto"/>
        </w:rPr>
        <w:t>of Risk</w:t>
      </w:r>
      <w:r>
        <w:rPr>
          <w:rFonts w:ascii="Arial" w:cs="Arial" w:eastAsia="Arial" w:hAnsi="Arial"/>
          <w:sz w:val="17"/>
          <w:szCs w:val="17"/>
          <w:color w:val="auto"/>
        </w:rPr>
        <w:t>, of the Notes to Consolidated Financial Statements included in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 substantial portion of our orders are generally for shipments within 60 days of the placement of the order. Customers’ purchase orders may be canceled with relatively short notice to us, with little or no cost to the customer, or modified by customers to provide for delivery at a later date. In addition, for many of our OEMs utilizing just-in-time inventory, we do not generally require firm order commitments and instead receive a periodic forecast of requirements. Therefore, backlog information as of the end of a particular period is not necessarily indicative of future levels of our revenue and profit and may not be comparable to prior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 xml:space="preserve">We have historically experienced seasonal fluctuations in our business with higher levels of demand in the first and second quarters of our fiscal year as a result of increased customer spending. Seasonality can also be impacted by the growth in emerging markets and macroeconomic conditions.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25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We generally warrant our newly manufactured products against defects in materials and workmanship from one to five years from the date of sale depending on the type of product, with a small number of products having a warranty ranging up to ten years or more. Our warranty obligation is generally limited to repair or replacement. We have engaged third parties in various countries in multiple regions to provide various levels of testing, processing, or recertification of returned products for our customers. For additional information regarding our service and warranty policy, see Part II, Item 8, Note 1, </w:t>
      </w:r>
      <w:r>
        <w:rPr>
          <w:rFonts w:ascii="Arial" w:cs="Arial" w:eastAsia="Arial" w:hAnsi="Arial"/>
          <w:sz w:val="18"/>
          <w:szCs w:val="18"/>
          <w:i w:val="1"/>
          <w:iCs w:val="1"/>
          <w:color w:val="auto"/>
        </w:rPr>
        <w:t xml:space="preserve">Organization and Basis of Presentation, </w:t>
      </w:r>
      <w:r>
        <w:rPr>
          <w:rFonts w:ascii="Arial" w:cs="Arial" w:eastAsia="Arial" w:hAnsi="Arial"/>
          <w:sz w:val="18"/>
          <w:szCs w:val="18"/>
          <w:color w:val="auto"/>
        </w:rPr>
        <w:t>and Note 3,</w:t>
      </w:r>
      <w:r>
        <w:rPr>
          <w:rFonts w:ascii="Arial" w:cs="Arial" w:eastAsia="Arial" w:hAnsi="Arial"/>
          <w:sz w:val="18"/>
          <w:szCs w:val="18"/>
          <w:i w:val="1"/>
          <w:iCs w:val="1"/>
          <w:color w:val="auto"/>
        </w:rPr>
        <w:t xml:space="preserve"> Supplemental Financial Statement Data, </w:t>
      </w:r>
      <w:r>
        <w:rPr>
          <w:rFonts w:ascii="Arial" w:cs="Arial" w:eastAsia="Arial" w:hAnsi="Arial"/>
          <w:sz w:val="18"/>
          <w:szCs w:val="18"/>
          <w:color w:val="auto"/>
        </w:rPr>
        <w:t>of the Notes to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subject to a variety of U.S. and foreign laws and regulations in connection with our operations and relating to the protection of the environment, including those governing discharges of pollutants into the air and water, the management and disposal of hazardous substances and the clean-up of contaminated sites. Some of our operations require environmental permits and controls to prevent and reduce air and water pollution. These permits are subject to modification, renewal and revocation by issuing authorities. We believe that we have obtained or are in the process of obtaining all necessary environmental permits for our operations.</w:t>
      </w:r>
    </w:p>
    <w:p>
      <w:pPr>
        <w:spacing w:after="0" w:line="21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have established environmental management systems and continually update our environmental policies and standard operating procedures for our operations worldwide. We believe that our operations are in material compliance with applicable environmental laws, regulations and permits. We budget for operating and capital costs on an ongoing basis to comply with environmental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properties have in some cases been operated for many years and may contain soil or groundwater contamination. In certain of our facilities we are undertaking voluntary monitoring of soil and groundwater. Based on available information, including our voluntary monitoring activities, we do not believe that we have a current affirmative legal obligation for any remedial action.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As of July 3, 2020, we employed a total of approximately 63,800 employees worldwide, excluding temporary employees and contractors. Many of our employees are highly skilled and our continued success depends in part upon our ability to attract and retain such employees. Accordingly, we offer our employees compensation and benefit programs that we believe are, in the aggregate, competitive with those offered by our competitors.</w:t>
      </w:r>
    </w:p>
    <w:p>
      <w:pPr>
        <w:spacing w:after="0" w:line="192"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 xml:space="preserve">While the substantial majority of our employees are not party to a collective bargaining agreement, nearly half of our employees in Japan and China and a portion of our employees in Malaysia are subject to collective bargaining agreements. We consider our employee relations to be good.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256"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believe responsible and sustainable business practices support our long-term success. As a company, we are deeply committed to protecting and supporting our people, our environment, and our communities. That commitment is reflected through sustainability-focused initiatives as well as day-to-day activities, including our adoption of sustainability-focused policies and procedures, our publicly-recognized focus on fostering an inclusive workplace, our constant drive toward more efficient use of materials and energy, our careful and active management of our supply chain, our community-focused volunteerism programs and philanthropic initiatives, and our impactful, globally-integrated ethics and compliance program.</w:t>
      </w:r>
    </w:p>
    <w:p>
      <w:pPr>
        <w:spacing w:after="0" w:line="188" w:lineRule="exact"/>
        <w:rPr>
          <w:sz w:val="20"/>
          <w:szCs w:val="20"/>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seek to protect the human rights and civil liberties of our employees through policies, procedures, and programs that avoid risks of compulsory and child labor, both within our company and throughout our supply chain.</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foster a workplace of dignity, respect, diversity, and inclusion through our recruiting and advancement practices, internal communications, and employee resource groups.</w:t>
      </w:r>
    </w:p>
    <w:p>
      <w:pPr>
        <w:spacing w:after="0" w:line="197" w:lineRule="exact"/>
        <w:rPr>
          <w:rFonts w:ascii="Arial" w:cs="Arial" w:eastAsia="Arial" w:hAnsi="Arial"/>
          <w:sz w:val="18"/>
          <w:szCs w:val="18"/>
          <w:color w:val="auto"/>
        </w:rPr>
      </w:pPr>
    </w:p>
    <w:p>
      <w:pPr>
        <w:ind w:left="660" w:right="10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educate our employees annually on relevant ethics and compliance topics, publish accessible guidance on ethical issues and related company resources in our Global Code of Conduct, and encourage reporting of ethical concerns through any of several global and local reporting channels.</w:t>
      </w:r>
    </w:p>
    <w:p>
      <w:pPr>
        <w:spacing w:after="0" w:line="150" w:lineRule="exact"/>
        <w:rPr>
          <w:rFonts w:ascii="Arial" w:cs="Arial" w:eastAsia="Arial" w:hAnsi="Arial"/>
          <w:sz w:val="16"/>
          <w:szCs w:val="16"/>
          <w:color w:val="auto"/>
        </w:rPr>
      </w:pPr>
    </w:p>
    <w:p>
      <w:pPr>
        <w:ind w:left="660" w:right="8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support local communities throughout the world, focusing on hunger relief, environmental quality, and STEM (science, technology, engineering, and math) education, especially for underrepresented and underprivileged youth.</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utilize a robust integrated management system, with associated policies and procedures, to evaluate and manage occupational health and safety risks, environmental compliance, and chemical and hazardous substance risks.</w:t>
      </w:r>
    </w:p>
    <w:p>
      <w:pPr>
        <w:spacing w:after="0" w:line="197"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innovate to reduce the energy used by our products, the energy used to manufacture them, and the amount of new materials required to manufacture them.</w:t>
      </w:r>
    </w:p>
    <w:p>
      <w:pPr>
        <w:spacing w:after="0" w:line="197" w:lineRule="exact"/>
        <w:rPr>
          <w:rFonts w:ascii="Arial" w:cs="Arial" w:eastAsia="Arial" w:hAnsi="Arial"/>
          <w:sz w:val="18"/>
          <w:szCs w:val="18"/>
          <w:color w:val="auto"/>
        </w:rPr>
      </w:pPr>
    </w:p>
    <w:p>
      <w:pPr>
        <w:ind w:left="660" w:right="28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proactively protect the health and safety of our employees through policies and practices that help employees maintain safe distances from others (including remote work and social distancing at our facilities), ensure our facilities are regularly sanitized, and provide support to employees who have been or are at risk of being infected by dangerous viruses though an emergency leave plan for absences caused directly or indirectly by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We maintain an Internet website at </w:t>
      </w:r>
      <w:r>
        <w:rPr>
          <w:rFonts w:ascii="Arial" w:cs="Arial" w:eastAsia="Arial" w:hAnsi="Arial"/>
          <w:sz w:val="18"/>
          <w:szCs w:val="18"/>
          <w:i w:val="1"/>
          <w:iCs w:val="1"/>
          <w:color w:val="auto"/>
        </w:rPr>
        <w:t>www.wdc.com</w:t>
      </w:r>
      <w:r>
        <w:rPr>
          <w:rFonts w:ascii="Arial" w:cs="Arial" w:eastAsia="Arial" w:hAnsi="Arial"/>
          <w:sz w:val="18"/>
          <w:szCs w:val="18"/>
          <w:color w:val="auto"/>
        </w:rPr>
        <w:t xml:space="preserve">. The information on our website is not incorporated in this Annual Report on Form 10-K. Our Annual Report on Form 10-K, Quarterly Reports on Form 10-Q, Current Reports on Form 8-K and amendments to reports filed or furnished pursuant to Sections 13(a) and 15(d) of the Securities Exchange Act of 1934, as amended, are available on our website at </w:t>
      </w:r>
      <w:r>
        <w:rPr>
          <w:rFonts w:ascii="Arial" w:cs="Arial" w:eastAsia="Arial" w:hAnsi="Arial"/>
          <w:sz w:val="18"/>
          <w:szCs w:val="18"/>
          <w:i w:val="1"/>
          <w:iCs w:val="1"/>
          <w:color w:val="auto"/>
        </w:rPr>
        <w:t>www.wdc.com</w:t>
      </w:r>
      <w:r>
        <w:rPr>
          <w:rFonts w:ascii="Arial" w:cs="Arial" w:eastAsia="Arial" w:hAnsi="Arial"/>
          <w:sz w:val="18"/>
          <w:szCs w:val="18"/>
          <w:color w:val="auto"/>
        </w:rPr>
        <w:t xml:space="preserve">, free of charge, as soon as reasonably practicable after the electronic filing of these reports with, or furnishing of these reports to, the Securities and Exchange Commission (“SEC”).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 including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right="140" w:firstLine="324"/>
        <w:spacing w:after="0" w:line="296" w:lineRule="auto"/>
        <w:rPr>
          <w:sz w:val="20"/>
          <w:szCs w:val="20"/>
          <w:color w:val="auto"/>
        </w:rPr>
      </w:pPr>
      <w:r>
        <w:rPr>
          <w:rFonts w:ascii="Arial" w:cs="Arial" w:eastAsia="Arial" w:hAnsi="Arial"/>
          <w:sz w:val="16"/>
          <w:szCs w:val="16"/>
          <w:color w:val="auto"/>
        </w:rPr>
        <w:t>Our business, financial condition and operating results can be affected by a number of risks and uncertainties, whether currently known or unknown, any one or more of which could, directly or indirectly, cause our actual results of operations and financial condition to vary materially from past, or from anticipated future, results of operations and financial condition. The risks and uncertainties discussed below are not the only ones facing our business, but represent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COVID-19 pandemic and efforts to control its spread have impacted and will continue to impact our workforce and operations, and those of our strategic partners, customers, suppliers and logistics providers. These impacts have included and may continue to include under-absorbed overhead, increased logistics and other costs, decreased demand for our products and manufacturing challenges, including decreased product output. While our manufacturing facilities and those used by Flash Ventures are all currently operational, in some cases with exemptions from government restrictions, this is subject to change based on evolving conditions related to the pandemic.</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effects of the pandemic are uncertain and difficult to predict, but may include:</w:t>
      </w:r>
    </w:p>
    <w:p>
      <w:pPr>
        <w:spacing w:after="0" w:line="252" w:lineRule="exact"/>
        <w:rPr>
          <w:sz w:val="20"/>
          <w:szCs w:val="20"/>
          <w:color w:val="auto"/>
        </w:rPr>
      </w:pPr>
    </w:p>
    <w:p>
      <w:pPr>
        <w:ind w:left="660" w:right="2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disruptions to our supply chain, our operations or those of our strategic partners, customers or suppliers caused by employees or others contracting COVID-19, or governmental orders to contain the spread of COVID-19 such as travel restrictions, quarantines, shelter in place orders, trade controls, and business shutdowns;</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deepening of the global economic downturn or a recession causing a decrease or shift in short- or long-term demand for our products, resulting in industry oversupply and decreases of average selling prices (“ASPs”), which would adversely impact our profitability;</w:t>
      </w:r>
    </w:p>
    <w:p>
      <w:pPr>
        <w:spacing w:after="0" w:line="173" w:lineRule="exact"/>
        <w:rPr>
          <w:rFonts w:ascii="Arial" w:cs="Arial" w:eastAsia="Arial" w:hAnsi="Arial"/>
          <w:sz w:val="17"/>
          <w:szCs w:val="17"/>
          <w:color w:val="auto"/>
        </w:rPr>
      </w:pPr>
    </w:p>
    <w:p>
      <w:pPr>
        <w:ind w:left="660" w:right="2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Further deterioration of worldwide credit markets that may limit our ability or increase our cost to obtain external financing to fund our operations and capital expenditures and result in a higher rate of losses on our accounts receivables due to customer credit defaults;</w:t>
      </w:r>
    </w:p>
    <w:p>
      <w:pPr>
        <w:spacing w:after="0" w:line="173" w:lineRule="exact"/>
        <w:rPr>
          <w:rFonts w:ascii="Arial" w:cs="Arial" w:eastAsia="Arial" w:hAnsi="Arial"/>
          <w:sz w:val="17"/>
          <w:szCs w:val="17"/>
          <w:color w:val="auto"/>
        </w:rPr>
      </w:pPr>
    </w:p>
    <w:p>
      <w:pPr>
        <w:ind w:left="660" w:right="3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Extreme volatility in financial markets which has and may continue to adversely impact our stock price and our ability to access the financial markets on acceptable terms;</w:t>
      </w:r>
    </w:p>
    <w:p>
      <w:pPr>
        <w:spacing w:after="0" w:line="197" w:lineRule="exact"/>
        <w:rPr>
          <w:rFonts w:ascii="Arial" w:cs="Arial" w:eastAsia="Arial" w:hAnsi="Arial"/>
          <w:sz w:val="18"/>
          <w:szCs w:val="18"/>
          <w:color w:val="auto"/>
        </w:rPr>
      </w:pPr>
    </w:p>
    <w:p>
      <w:pPr>
        <w:jc w:val="both"/>
        <w:ind w:left="660" w:right="780" w:hanging="328"/>
        <w:spacing w:after="0" w:line="34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Increased data security and technology risk as many employees continue to work from home, including possible outages to systems and technologies critical to remote work and increased data privacy risk with cybercriminals attempting to take advantage of the disruption;</w:t>
      </w:r>
    </w:p>
    <w:p>
      <w:pPr>
        <w:spacing w:after="0" w:line="150" w:lineRule="exact"/>
        <w:rPr>
          <w:rFonts w:ascii="Arial" w:cs="Arial" w:eastAsia="Arial" w:hAnsi="Arial"/>
          <w:sz w:val="16"/>
          <w:szCs w:val="16"/>
          <w:color w:val="auto"/>
        </w:rPr>
      </w:pPr>
    </w:p>
    <w:p>
      <w:pPr>
        <w:ind w:left="660" w:right="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productivity or other disruptions of our operations if essential workers in our factories or those returning to our worksites are exposed to or spread COVID-19 to other employees;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Management’s ongoing commitment of significant time, attention and resources to respond to the pandemic.</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degree to which the pandemic ultimately impacts our business and results of operations will depend on future developments beyond our control which are highly uncertain and cannot be predicted at this time, including the severity and duration of the pandemic, the extent of actions to contain or treat COVID-19, the effectiveness of government stimulus programs, any possible resurgence of COVID-19 that may occur after the current outbreak subsides, how quickly and to what</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extent normal economic and operating activity can resume, and the severity and duration of the global economic downturn that results from the pandemic. The COVID-19 pandemic may also have the effect of heightening many of the other risks described in more detail in this “Risk Factors” section, such as those relating to adverse global or regional conditions, our highly competitive industry, supply chain disruption, demand conditions and our ability to forecast demand, cost saving initiatives, our indebtedness and liquidity, and cyber attacks.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Adverse global or regional conditions could harm our business, results of operations and financial condition.</w:t>
      </w:r>
    </w:p>
    <w:p>
      <w:pPr>
        <w:spacing w:after="0" w:line="252"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A large portion of our revenue is derived from our international operations, and many of our products and components are produced overseas. As a result, our business, results of operations and financial condition depend significantly on global and regional conditions. Adverse changes in global or regional economic conditions, including, but not limited to, volatility in the financial markets, tighter credit, slower growth in certain geographic regions, political uncertainty, other macroeconomic factors, and changes to social conditions, policies, rules and regulations, could significantly harm demand for our products, increase credit and collectability risks, result in revenue reductions, cause us to change our business practices, increase manufacturing and operating costs or result in impairment charges or other expenses.</w:t>
      </w:r>
    </w:p>
    <w:p>
      <w:pPr>
        <w:spacing w:after="0" w:line="20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revenue and future growth are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211" w:lineRule="exact"/>
        <w:rPr>
          <w:sz w:val="20"/>
          <w:szCs w:val="20"/>
          <w:color w:val="auto"/>
        </w:rPr>
      </w:pPr>
    </w:p>
    <w:p>
      <w:pPr>
        <w:ind w:left="660" w:right="8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requisite governmental permits and approvals, compliance with foreign laws and regulations and changes in foreign laws and regulations;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52"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restrictions, such as export controls, export bans, embargoes, sanctions, license and certification requirements (including semiconductor, encryption and other technology), new or increased tariffs and fees and complex customs regulations;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risks, our business, results of operations or financial condition could be adversely affected.</w:t>
      </w:r>
    </w:p>
    <w:p>
      <w:pPr>
        <w:spacing w:after="0" w:line="252"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We rely substantially on our business ventures with Kioxia for the development and supply of flash-based memory, which subjects us to risks and uncertainties that could harm our business, financial condition and operating results.</w:t>
      </w:r>
    </w:p>
    <w:p>
      <w:pPr>
        <w:spacing w:after="0" w:line="19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depend on our ventures with Kioxia to develop and manufacture our flash-based memory. We partner with Kioxia on the development of flash-based technology, including future generations of 3D NAND, as well as other non-volatile memory technology in support of Flash Ventures. Flash Ventures is subject to various risks that could harm the value of our investments, our revenue and costs, our future rate of spending, our technology plans and our future growth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Substantially all of our flash-based memory is supplied by Flash Ventures, which limits our ability to respond to market demand and supply changes. A failure to accurately forecast demand could cause us to over-invest or under-invest in technology transitions or the expansion of Flash Ventures’ capacity. Over-investment by us or our competitors could result in excess supply, which could cause significant decreases in our product prices, significant excess, obsolete inventory or inventory write-downs or under-utilization charges, and the potential impairment of our investments in Flash Ventures. On the other hand, if we under-invest in Flash Ventures or otherwise grow or transition Flash Ventures’ capacity more slowly than we expect or than the rest of the industry, we may not have enough supply of the right type of memory or at all to meet demand on a timely and cost effective basis and we may lose opportunities for revenue, gross margin and market share as a result. If our supply is limited, we may make strategic decisions with respect to the allocation of our supply among our products and customers, and these strategic allocation decisions may result in less favorable gross margin or damage certain customer relationships. We are contractually obligated to pay for 50% of the fixed costs of Flash Ventures regardless of whether we purchase any wafers from Flash Ventures. Furthermore, purchase orders placed with Flash Ventures and under the foundry arrangements with Kioxia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201"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Under the Flash Ventures agreements, we have limited power to unilaterally direct most of the activities that most significantly impact Flash Ventures’ performance and we have limited ability to source or fabricate flash-based memory outside of Flash Ventures. Lack of alignment with Kioxia with respect to Flash Ventures could adversely impact our ability to stay at the forefront of technological advancement and our investment in Flash Ventures and otherwise harm our business. Misalignment could arise due to changes in Kioxia’s strategic priorities, management, ownership and/or access to capital, which has changed significantly recently and could continue to change. Kioxia’s stakeholders may include, or have included in the past, flash and HDD competitors, customers, a private equity firm and a bank owned by the Government of Japan or public shareholders, if Kioxia publicly lists its shares in the future. Kioxia’s management changes, ownership and capital structure could lead to delays in decision-making, disputes, or changes in strategic direction that could adversely impact Flash Ventures and/or adversely affect our business prospects, results of operations and financial condition. There may exist conflicts of interest between Kioxia’s stakeholders and Flash Ventures or us with respect to, among other things, protecting and growing Flash Ventures’ business, IP and competitively sensitive confidential information.</w:t>
      </w:r>
    </w:p>
    <w:p>
      <w:pPr>
        <w:spacing w:after="0" w:line="212"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Flash Ventures requires significant investments by both Kioxia and us for technology transitions, including the transition to 3D NAND, and capacity expansions. In May 2019, Kioxia’s parent company, Kioxia Holdings Corporation (“KHC”), announced new financing in the amount of 1.2 trillion Japanese yen. KHC’s financing agreements and/or its high level of debt could limit Kioxia’s ability to timely fund or finance investments in Flash Ventures or our joint development efforts, as well as limit Flash Ventures’ ability to enter into lease financings. Availability of lease financings for Flash Ventures could also be limited by our and/or Kioxia’s financial performance. To the extent that lease financings for Flash Ventures are not accessible on favorable terms or at all, more cash would be required to fund investments. If Kioxia does not or we do not provide sufficient resources, or have adequate access to credit, to timely fund investments in Flash Ventures, our investments could be delayed or reduced. Delayed or reduced investment in manufacturing capacity or R&amp;D could harm Flash Ventures’ competitiveness and/or our investment in Flash Ventures. In addition, KHC’s financing arrangements might be secured by Kioxia’s equity interests in Flash Ventures, permitting the lenders to foreclose on those equity interests under certain circumstances.</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May 2019, we entered into definitive agreements with Kioxia regarding a new 3D NAND wafer fabrication facility in Kitakami, Iwate, Japan, known as “K1.” Output from Flash Ventures’ initial production line at K1 began in the third quarter of fiscal year 2020. As K1 is located at a new manufacturing site, K1 could be particularly susceptible to delays and other challenges in the production ramp and yields, qualification of wafers, shipment of samples to customers and customer approval processes. Further, although we intend to continue to jointly invest with Kioxia to ramp up manufacturing capacity at K1, there is no certainty as to when, and on what terms, we will do so. If and for so long as our share of the K1 capacity falls below a specified threshold, we will be responsible for bearing fixed costs associated with K1’s operations at that threshold, which could adversely affect our financial results.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80" w:firstLine="162"/>
        <w:spacing w:after="0" w:line="308" w:lineRule="auto"/>
        <w:rPr>
          <w:sz w:val="20"/>
          <w:szCs w:val="20"/>
          <w:color w:val="auto"/>
        </w:rPr>
      </w:pPr>
      <w:r>
        <w:rPr>
          <w:rFonts w:ascii="Arial" w:cs="Arial" w:eastAsia="Arial" w:hAnsi="Arial"/>
          <w:sz w:val="17"/>
          <w:szCs w:val="17"/>
          <w:b w:val="1"/>
          <w:bCs w:val="1"/>
          <w:i w:val="1"/>
          <w:iCs w:val="1"/>
          <w:color w:val="auto"/>
        </w:rPr>
        <w:t>We participate in a highly competitive industry that is subject to declining average selling prices (“ASPs”), volatile demand, rapid technological change and industry consolidation, all of which could adversely affect our operating results and financial condition.</w:t>
      </w:r>
    </w:p>
    <w:p>
      <w:pPr>
        <w:spacing w:after="0" w:line="17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Demand for our devices, software and solutions that we offer to our customers, which we refer to in this Item 1A as our “products”, depends in large part on the demand for systems (including personal computers and mobile devices) manufactured by our customers and on storage upgrades to existing systems. The demand for systems has been volatile in the past and often has had an exaggerated effect on the demand for our products in any given period. The prices of our products are influenced by, among other factors, the balance between supply and demand in the storage market, including the effects of new fab capacity, macroeconomic factors, business conditions, technology transitions and other actions taken by us or our competitors. The storage market has experienced volatile product life cycles, which can adversely affect our ability to recover the cost of product development, and periods of excess capacity, which can lead to liquidation of excess inventories, significant reductions in ASPs and adverse impacts on our revenue and gross margins.</w:t>
      </w:r>
    </w:p>
    <w:p>
      <w:pPr>
        <w:spacing w:after="0" w:line="19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 our ASPs and gross margins tend to decline when there is a shift in the mix of product sales, and sales of lower priced products increase relative to those of higher priced products. Further, we face potential gross margin pressures resulting from our ASPs declining more rapidly than our cost of revenue. Rapid technological changes often reduce the volume and profitability of sales of existing products and increase the risk of inventory obsolescence. Finally, the data storage industry has experienced consolidation over the past several years. Further consolidation across the industry could enhance the capacity, abilities and resources and lower the cost structure of some of our competitors, causing us to be at a competitive disadvantage. These factors may result in significant shifts in market share among the industry’s major participants, including a substantial decrease in our market share, all of which could adversely impact our operating results and financial condition.</w:t>
      </w:r>
    </w:p>
    <w:p>
      <w:pPr>
        <w:spacing w:after="0" w:line="20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addition, we compete based on our ability to offer our customers competitive solutions that provide the most current and desired products and service features. As we compete in new product areas, the overall complexity of our business may increase at an accelerated rate and may result in increases in R&amp;D expenses and substantial investments in manufacturing capability, technology enhancements and go-to-market capability. We must also qualify our products with customers through potentially lengthy testing processes, which may result in delayed, reduced or lost product sales. Some of our competitors offer products and technologies that we do not offer and may be able to use their broader product and technology portfolio to win sales from us, and some of our customers may be developing storage solutions internally, which may reduce their demand for our products. We expect that competition will continue to be intense, and there is a risk that our competitors may be able to gain a product offering or cost structure advantage over us, which may result in a loss of business to us. Further, some of our competitors may utilize certain pricing strategies, including offering products at prices at or below cost, that we may be unable to competitively match. We may also have difficulty effectively competing with manufacturers benefitting from governmental investments.</w:t>
      </w:r>
    </w:p>
    <w:p>
      <w:pPr>
        <w:spacing w:after="0" w:line="212"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b w:val="1"/>
          <w:bCs w:val="1"/>
          <w:i w:val="1"/>
          <w:iCs w:val="1"/>
          <w:color w:val="auto"/>
        </w:rPr>
        <w:t>If we do not properly manage technology transitions and product development and introduction, our competitiveness and operating results may be negatively affected.</w:t>
      </w:r>
    </w:p>
    <w:p>
      <w:pPr>
        <w:spacing w:after="0" w:line="19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storage markets in which we offer our products continuously undergo technology transitions that we must anticipate and adapt our existing products or develop new products to address in a timely manner. If we fail to implement new technologies successfully, if we are slower than our competitors at implementing new technologies, or if our technology transitions or product development are more costly to complete than anticipated, we may not be able to offer products our customers desire and our costs may not remain competitive, which would harm revenues, our gross margin and operating results.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the success of our technology transitions and product development and introduction depends on a number of other factors, including:</w:t>
      </w:r>
    </w:p>
    <w:p>
      <w:pPr>
        <w:spacing w:after="0" w:line="27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R&amp;D expenses and results;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6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vertical integration of some of our products, which may result in more capital expenditures and greater fixed costs than if we were not vertically integrated;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cost effectively respond to customer requests for new products or features and software associated with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new products.</w:t>
      </w:r>
    </w:p>
    <w:p>
      <w:pPr>
        <w:spacing w:after="0" w:line="25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Moving to new technologies and products may require us to align to, and build, a new supply base. Our success in new product areas may be dependent in part on our ability to develop close relationships with new suppliers and on our ability to enter into favorable supply agreements. Where this cannot be done, our business and operations may be adversely affected.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88" w:lineRule="exact"/>
        <w:rPr>
          <w:sz w:val="20"/>
          <w:szCs w:val="20"/>
          <w:color w:val="auto"/>
        </w:rPr>
      </w:pPr>
    </w:p>
    <w:p>
      <w:pPr>
        <w:jc w:val="both"/>
        <w:ind w:right="260" w:firstLine="324"/>
        <w:spacing w:after="0" w:line="311" w:lineRule="auto"/>
        <w:rPr>
          <w:sz w:val="20"/>
          <w:szCs w:val="20"/>
          <w:color w:val="auto"/>
        </w:rPr>
      </w:pPr>
      <w:r>
        <w:rPr>
          <w:rFonts w:ascii="Arial" w:cs="Arial" w:eastAsia="Arial" w:hAnsi="Arial"/>
          <w:sz w:val="16"/>
          <w:szCs w:val="16"/>
          <w:color w:val="auto"/>
        </w:rPr>
        <w:t>Additionally, new technologies and products could substitute for or replace our current technologies and products and make them obsolete. We also develop products to meet certain industry and technical standards, which may change. We could incur substantial costs as a result of shifts in technology and standards, such as adopting new standards or investing in different capital equipment or manufacturing processes to remain competitive.</w:t>
      </w:r>
    </w:p>
    <w:p>
      <w:pPr>
        <w:spacing w:after="0" w:line="176"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For additional technology transition risks related to Flash Ventures, see the risk factor entitled “</w:t>
      </w:r>
      <w:r>
        <w:rPr>
          <w:rFonts w:ascii="Arial" w:cs="Arial" w:eastAsia="Arial" w:hAnsi="Arial"/>
          <w:sz w:val="18"/>
          <w:szCs w:val="18"/>
          <w:i w:val="1"/>
          <w:iCs w:val="1"/>
          <w:color w:val="auto"/>
        </w:rPr>
        <w:t>We rely substantially on our business ventures with</w:t>
      </w:r>
      <w:r>
        <w:rPr>
          <w:rFonts w:ascii="Arial" w:cs="Arial" w:eastAsia="Arial" w:hAnsi="Arial"/>
          <w:sz w:val="18"/>
          <w:szCs w:val="18"/>
          <w:color w:val="auto"/>
        </w:rPr>
        <w:t xml:space="preserve"> </w:t>
      </w:r>
      <w:r>
        <w:rPr>
          <w:rFonts w:ascii="Arial" w:cs="Arial" w:eastAsia="Arial" w:hAnsi="Arial"/>
          <w:sz w:val="18"/>
          <w:szCs w:val="18"/>
          <w:i w:val="1"/>
          <w:iCs w:val="1"/>
          <w:color w:val="auto"/>
        </w:rPr>
        <w:t>Kioxia for the development and supply of flash-based memory, which subjects us to risks and uncertainties that could harm our business, financial condition and operating results.</w:t>
      </w:r>
      <w:r>
        <w:rPr>
          <w:rFonts w:ascii="Arial" w:cs="Arial" w:eastAsia="Arial" w:hAnsi="Arial"/>
          <w:sz w:val="18"/>
          <w:szCs w:val="18"/>
          <w:color w:val="auto"/>
        </w:rPr>
        <w: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strategic relationships subject us to risks that could adversely affect our business, financial condition and results of operations.</w:t>
      </w:r>
    </w:p>
    <w:p>
      <w:pPr>
        <w:spacing w:after="0" w:line="264"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have entered into strategic relationships with various partners for future product development, sales growth and the supply of technologies, components, equipment and materials for use in our product design and manufacturing, including our partnership with Kioxia for flash-based memory development and manufacturing. These strategic relationships are subject to various risks that could adversely affect the value of our investments and our results of operations and financial condition. These risks include, but are not limited to, the following:</w:t>
      </w:r>
    </w:p>
    <w:p>
      <w:pPr>
        <w:spacing w:after="0" w:line="198" w:lineRule="exact"/>
        <w:rPr>
          <w:sz w:val="20"/>
          <w:szCs w:val="20"/>
          <w:color w:val="auto"/>
        </w:rPr>
      </w:pPr>
    </w:p>
    <w:p>
      <w:pPr>
        <w:ind w:left="660" w:right="1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difficulties and delays in product and technology development at, ramping production at, and transferring technology to, our business ventures;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25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due to financial constraints, our co-venturers may be unable to meet their commitments to us or may pose credit risks for our transactions with them;</w:t>
      </w:r>
    </w:p>
    <w:p>
      <w:pPr>
        <w:spacing w:after="0" w:line="197"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210" w:lineRule="exact"/>
        <w:rPr>
          <w:rFonts w:ascii="Arial" w:cs="Arial" w:eastAsia="Arial" w:hAnsi="Arial"/>
          <w:sz w:val="18"/>
          <w:szCs w:val="18"/>
          <w:color w:val="auto"/>
        </w:rPr>
      </w:pPr>
    </w:p>
    <w:p>
      <w:pPr>
        <w:ind w:left="660" w:right="10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lose the rights to technology or products being developed by the strategic relationship, including if any of our co-venturers is acquired by another company or otherwise transfers its interest in the business venture, files for bankruptcy or experiences financial or other losses;</w:t>
      </w:r>
    </w:p>
    <w:p>
      <w:pPr>
        <w:spacing w:after="0" w:line="150" w:lineRule="exact"/>
        <w:rPr>
          <w:rFonts w:ascii="Arial" w:cs="Arial" w:eastAsia="Arial" w:hAnsi="Arial"/>
          <w:sz w:val="16"/>
          <w:szCs w:val="16"/>
          <w:color w:val="auto"/>
        </w:rPr>
      </w:pPr>
    </w:p>
    <w:p>
      <w:pPr>
        <w:ind w:left="660" w:right="3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bankruptcy event involving a co-venturer could result in the early termination or adverse modification of the business venture or agreements governing the business venture;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25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197" w:lineRule="exact"/>
        <w:rPr>
          <w:sz w:val="20"/>
          <w:szCs w:val="20"/>
          <w:color w:val="auto"/>
        </w:rPr>
      </w:pPr>
    </w:p>
    <w:p>
      <w:pPr>
        <w:ind w:firstLine="162"/>
        <w:spacing w:after="0" w:line="286" w:lineRule="auto"/>
        <w:rPr>
          <w:sz w:val="20"/>
          <w:szCs w:val="20"/>
          <w:color w:val="auto"/>
        </w:rPr>
      </w:pPr>
      <w:r>
        <w:rPr>
          <w:rFonts w:ascii="Arial" w:cs="Arial" w:eastAsia="Arial" w:hAnsi="Arial"/>
          <w:sz w:val="17"/>
          <w:szCs w:val="17"/>
          <w:b w:val="1"/>
          <w:bCs w:val="1"/>
          <w:i w:val="1"/>
          <w:iCs w:val="1"/>
          <w:color w:val="auto"/>
        </w:rPr>
        <w:t>We are dependent on a limited number of qualified suppliers who provide critical materials or components, and a disruption in our supply chain, including a shortage in supply or a supplier’s failure to support us in a timely manner with goods or services at a quality level and cost acceptable to us, or supplier consolidation, could adversely affect our margins, revenues and operating results</w:t>
      </w:r>
      <w:r>
        <w:rPr>
          <w:rFonts w:ascii="Arial" w:cs="Arial" w:eastAsia="Arial" w:hAnsi="Arial"/>
          <w:sz w:val="17"/>
          <w:szCs w:val="17"/>
          <w:i w:val="1"/>
          <w:iCs w:val="1"/>
          <w:color w:val="auto"/>
        </w:rPr>
        <w:t>.</w:t>
      </w:r>
    </w:p>
    <w:p>
      <w:pPr>
        <w:spacing w:after="0" w:line="19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depend on an external supply base for technologies, software (including firmware), preamps, controllers, dynamic random-access memory,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meet our business needs including dedicating adequate engineering resources to develop components that can be successfully integrated into our products, technology and equipment.</w:t>
      </w:r>
    </w:p>
    <w:p>
      <w:pPr>
        <w:spacing w:after="0" w:line="20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suppliers have in the past been, and may in the future be, unable or unwilling to meet our requirements. If we are unable to purchase sufficient quantities from our current suppliers or qualify and engage additional suppliers, or if we cannot purchase materials at a reasonable price, we may not be able to meet demand for our products. Trade restrictions, including tariffs, quotas and embargoes, demand from other high volume industries for materials or components used in our products, disruptions in supplier relationships or shortages in other components and materials used in our customers’ products could result in increased costs to us or decreased demand for our products, which could negatively impact our operating results. Delays or cost increases experienced by our suppliers in developing or sourcing materials and components for use in our products or incompatibility or quality issues relating to our products, could also harm our financial results as well as business relationships with our customers.</w:t>
      </w:r>
    </w:p>
    <w:p>
      <w:pPr>
        <w:spacing w:after="0" w:line="20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do not have long-term contracts with some of our existing suppliers, nor do we always have guaranteed manufacturing capacity with our suppliers and, therefore, we cannot guarantee that they will devote sufficient resources or capacity to manufacturing our products. Any significant problems that occur at our suppliers, or their failure to perform at the level we expect, could lead to product shortages or quality assurance problems, either of which would harm our operating results and financial condition. When we do have contractual commitments with component suppliers in an effort to increase and stabilize the supply of those components, those commitments may require us to buy a substantial number of components from the supplier or make significant cash advances to the supplier; however, these commitments may not result in a satisfactory increase or stabilization of the supply of such components and may cause us to have inadequate or excess component inventory, which could increase our operating costs and adversely affect our operating results.</w:t>
      </w:r>
    </w:p>
    <w:p>
      <w:pPr>
        <w:spacing w:after="0" w:line="21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our supply base has experienced industry consolidation. Our suppliers may be acquired by our competitors, consolidate, decide to exit the industry, or redirect their investments and increase costs to us, each of which may have an adverse effect on our business and operations. In addition, some of our suppliers have experienced a decline in financial performance. Where we rely on a limited number of suppliers or a single supplier, the risk of supplier loss due to industry consolidation or a decline in financial performance is enhanced. Some of our suppliers may also be competitors in other areas of our business, which could lead to difficulties in price negotiations or meeting our supply requirements. Any disruption in our supply chain could reduce our revenue and adversely impact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operations, and those of certain of our suppliers and customers, are subject to substantial risk of damage or disruption.</w:t>
      </w:r>
    </w:p>
    <w:p>
      <w:pPr>
        <w:spacing w:after="0" w:line="25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a result of our cost structure and strategy of vertical integration, we conduct our operations at large, high volume, purpose-built facilities in California and throughout Asia. The facilities of many of our customers, our suppliers and our customers’ suppliers are also concentrated in certain geographic locations throughout Asia and elsewhere. A fire, flood, earthquake, tsunami or other natural disaster, condition or event such as a power outage, terrorist attack, political instability, civil unrest, localized labor unrest or other employment issues, or a health epidemic that adversely affects any of these facilities, the employees, the technology infrastructure or logistics operators at these facilities, would significantly affect our ability to manufacture or sell our products and source components, which would result in a substantial loss of sales and revenue and a substantial harm to our operating results. In addition, the geographic concentration of our manufacturing sites could exacerbate the negative impacts resulting from any of these problems.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20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Kioxia to obtain and maintain sufficient property, business interruption and other insurance for Flash Ventures. If Kioxia fails to do so, we could suffer significant unreimbursable losses, and such failure could also cause Flash Ventures to breach various financing covenants.</w:t>
      </w:r>
    </w:p>
    <w:p>
      <w:pPr>
        <w:spacing w:after="0" w:line="191" w:lineRule="exact"/>
        <w:rPr>
          <w:sz w:val="20"/>
          <w:szCs w:val="20"/>
          <w:color w:val="auto"/>
        </w:rPr>
      </w:pPr>
    </w:p>
    <w:p>
      <w:pPr>
        <w:ind w:right="80" w:firstLine="162"/>
        <w:spacing w:after="0" w:line="308" w:lineRule="auto"/>
        <w:rPr>
          <w:sz w:val="20"/>
          <w:szCs w:val="20"/>
          <w:color w:val="auto"/>
        </w:rPr>
      </w:pPr>
      <w:r>
        <w:rPr>
          <w:rFonts w:ascii="Arial" w:cs="Arial" w:eastAsia="Arial" w:hAnsi="Arial"/>
          <w:sz w:val="17"/>
          <w:szCs w:val="17"/>
          <w:b w:val="1"/>
          <w:bCs w:val="1"/>
          <w:i w:val="1"/>
          <w:iCs w:val="1"/>
          <w:color w:val="auto"/>
        </w:rPr>
        <w:t>We experience sales seasonality and cyclicality, which could cause our operating results to fluctuate. In addition, accurately forecasting demand has become more difficult, which could adversely affect our business and financial results or operating efficiencies.</w:t>
      </w:r>
    </w:p>
    <w:p>
      <w:pPr>
        <w:spacing w:after="0" w:line="17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Sales of computer systems, mobile devices, storage subsystems, gaming consoles and consumer electronics tend to be seasonal and subject to supply-demand cycles, and therefore we expect to continue to experience seasonality and cyclicality in our business as we respond to variations in supply dynamics and customer demand. Changes in seasonal and cyclical supply and demand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actions by competitors, new product introductions and macroeconomic conditions.</w:t>
      </w:r>
    </w:p>
    <w:p>
      <w:pPr>
        <w:spacing w:after="0" w:line="193"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The variety and volume of products we manufacture are based in part on accurately forecasting market and customer demand for our products. Accurately forecasting demand has also become increasingly difficult for us, our customers and our suppliers due to volatility in global economic conditions and industry consolidation, resulting in less availability of historical market data for certain product segments. Further, for many of our original equipment manufacturers (“OEM”) customers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we could experience periods of product oversupply, excess inventory, and price decreases, which could impact our sales, ASPs and gross margin, thereby adversely affecting our operating results and our financial condition.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b w:val="1"/>
          <w:bCs w:val="1"/>
          <w:i w:val="1"/>
          <w:iCs w:val="1"/>
          <w:color w:val="auto"/>
        </w:rPr>
        <w:t>The loss of our key management, staff and skilled employees, the inability to hire and integrate new employees or decisions to realign our business could negatively impact our business prospects.</w:t>
      </w:r>
    </w:p>
    <w:p>
      <w:pPr>
        <w:spacing w:after="0" w:line="19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success depends upon the continued contributions of our key management, staff and skilled employees, many of whom would be extremely difficult to replace. Changes in our key management team can result in loss of continuity, loss of accumulated knowledge, departure of other key employees, disruptions to our operations and inefficiency during transitional periods. Global competition for skilled employees in the technology related industry is intense, and our business success becomes increasingly dependent on our ability to retain our key staff and skilled employees, to implement succession plans for our key management and staff, to attract, integrate and retain new skilled employees, including employees from acquisitions, and to make decisions to realign our business to take advantage of efficiencies or reduce redundancies. Changes in immigration policies may impair our ability to recruit and hire technical and professional talent. Our employee hiring and retention also depend on our ability to build and maintain a diverse and inclusive workplace culture and be viewed as an employer of choice. Additionally, because a substantial portion of our key employees’ compensation is placed “at risk” and linked to the performance of our business, including through equity compensation, when our operating results are negatively impacted, we may be at a competitive disadvantage for retaining and hiring key management, staff and skilled employees versus other companies that may pay a relatively higher portion of base compensation. If we are unable to hire and retain key management, staff or skilled employees, our operating results would likely be harmed.</w:t>
      </w:r>
    </w:p>
    <w:p>
      <w:pPr>
        <w:spacing w:after="0" w:line="206"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b w:val="1"/>
          <w:bCs w:val="1"/>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9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There may be difficulties with implementing new systems and processes or with integrating systems and processes of companies with complex operations, which could result in inconsistencies in standards, controls, procedures and policies and may increase the risk that our internal controls are found to be ineffective.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spacing w:after="0" w:line="196"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Any cost saving initiatives, restructurings or divestitures that we undertake may result in disruptions to our operations and may not deliver the results we expect, which may adversely affect our business.</w:t>
      </w:r>
    </w:p>
    <w:p>
      <w:pPr>
        <w:spacing w:after="0" w:line="19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From time to time, we engage in cost saving initiatives, restructurings and divestitures that may result in workforce reduction and consolidation of our manufacturing or other facilities. As a result of these actions,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that additional costs will not offset any such reductions or consolidations or that we do not forego future business opportunities as a result of these actions. If our operating costs are higher than we expect or if we do not maintain adequate control of our costs and expenses, our operating results could be adversely affected.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b w:val="1"/>
          <w:bCs w:val="1"/>
          <w:i w:val="1"/>
          <w:iCs w:val="1"/>
          <w:color w:val="auto"/>
        </w:rPr>
        <w:t>Our high level of debt may adversely impact our liquidity, restrict our operations and ability to respond to business opportunities, and increase our vulnerability to adverse economic and industry conditions.</w:t>
      </w:r>
    </w:p>
    <w:p>
      <w:pPr>
        <w:spacing w:after="0" w:line="19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July 3, 2020, our total indebtedness was $9.71 billion in aggregate principal, and we had $2.25 billion of additional borrowing availability under our revolving credit facility, subject to customary conditions under the credit agreement.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for working capital, capital expenditures, acquisitions or other general corporate purposes;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w:t>
      </w:r>
    </w:p>
    <w:p>
      <w:pPr>
        <w:spacing w:after="0" w:line="252" w:lineRule="exact"/>
        <w:rPr>
          <w:rFonts w:ascii="Arial" w:cs="Arial" w:eastAsia="Arial" w:hAnsi="Arial"/>
          <w:sz w:val="18"/>
          <w:szCs w:val="18"/>
          <w:color w:val="auto"/>
        </w:rPr>
      </w:pPr>
    </w:p>
    <w:p>
      <w:pPr>
        <w:ind w:left="660" w:right="260" w:hanging="328"/>
        <w:spacing w:after="0" w:line="31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imposing financial and other restrictive covenants on our operations, including limiting our ability to (i) declare or pay dividends or repurchase shares of our common stock; (ii) purchase assets, make investments, complete acquisitions, consolidate or merge with or into, or sell all or substantially all of our assets to, another person; (iii) dispose of assets; (iv) incur liens; and (v) enter into transactions with affiliates; and</w:t>
      </w:r>
    </w:p>
    <w:p>
      <w:pPr>
        <w:spacing w:after="0" w:line="175" w:lineRule="exact"/>
        <w:rPr>
          <w:rFonts w:ascii="Arial" w:cs="Arial" w:eastAsia="Arial" w:hAnsi="Arial"/>
          <w:sz w:val="16"/>
          <w:szCs w:val="16"/>
          <w:color w:val="auto"/>
        </w:rPr>
      </w:pPr>
    </w:p>
    <w:p>
      <w:pPr>
        <w:ind w:left="660" w:right="7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19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ability to meet our debt service obligations, comply with our debt covenants and deleverage depends on our cash flows and financial performance, which are affected by financial, business, economic and other factors. The rate at which we will be able to or choose to deleverage is uncertain. Failure to meet our debt service obligations or comply with our debt covenants could result in an event of default under the applicable indebtedness. We may be unable to cure, or obtain a waiver of, an event of default or otherwise amend our debt agreements to prevent an event of default thereunder on terms acceptable to us or at all. In that event, the debt holders could accelerate the related debt, which may result in the cross-acceleration or cross-default of other debt, leases or other obligations. We may not have sufficient funds available to repay accelerated indebtedness, and we may be required to refinance all or part of our debt, sell important strategic assets at unfavorable prices, incur additional indebtedness or issue common stock or other equity securities, which we may be unable to do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19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our bank debt contains a variable interest rate component based on our corporate credit ratings, a decline in our ratings could result in increased interest rates and debt service obligations. In addition, our ratings impact the cost and availability of future borrowings and, accordingly, our cost of capital. Our ratings reflect the opinions of the ratings agencies as to our financial strength, operating performance and ability to meet our debt obligations. There can be no assurance that we will achieve a particular rating or maintain a particular rating in the future.</w:t>
      </w:r>
    </w:p>
    <w:p>
      <w:pPr>
        <w:spacing w:after="0" w:line="19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Our credit agreement uses the London Interbank Offered Rate (“LIBOR”) as a reference rate for our term loans and revolving credit facility, such that the applicable interest rate may, at our option, be calculated based on LIBOR. In July 2017, the U.K.’s Financial Conduct Authority, which regulates LIBOR, announced that it intends to phase out LIBOR by the end of 2021. In April 2018, the Federal Reserve Bank of New York began publishing a Secured Overnight Funding Rate, which is intended to replace U.S. dollar LIBOR. Plans for alternative reference rates for other currencies have also been announced. At this time, we cannot predict how markets will respond to these proposed alternative rates or the effect of any changes to LIBOR or the discontinuation of LIBOR. If LIBOR is no longer available or if our lenders have increased costs due to changes in LIBOR, we may experience potential increases in interest rates on our variable rate debt, which could adversely impact our interest expense, results of operations and cash flows. In addition, replacing LIBOR with an alternative reference rate for any of our debt could be a taxable event.</w:t>
      </w:r>
    </w:p>
    <w:p>
      <w:pPr>
        <w:spacing w:after="0" w:line="20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may from time to time seek to further refinance our substantial indebtedness by issuing additional shares of common stock, which may dilute our existing shareholders, reduce the value of our common stock, or both.</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of revenue from a key customer, or consolidation among our customer base, could harm our operating results.</w:t>
      </w:r>
    </w:p>
    <w:p>
      <w:pPr>
        <w:spacing w:after="0" w:line="25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During the year ended July 3, 2020, 42%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We have experienced and may in the future experience events such as the loss of a key customer, prohibition or restriction of sales to a key customer by law, regulation or other government action, reductions in sales to or orders by a key customer, customer requirements to reduce our prices before we are able to reduce costs or the acquisition of a key customer by one of our competitors. These events would likely harm our operating results and financial condition. Further, government authorities may implement laws or regulations or take other actions that could result in significant changes to the business or operating models of our customers. Such changes could adversely affect our operating results.</w:t>
      </w:r>
    </w:p>
    <w:p>
      <w:pPr>
        <w:spacing w:after="0" w:line="20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Additionally, if there is consolidation among our customer base, our customers may be able to command increased leverage in negotiating prices and other terms of sale, which could adversely affect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spacing w:after="0" w:line="21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Also, the storage ecosystem is constantly evolving, and our traditional customer base is changing. Fewer companies now hold greater market share for certain applications and services, such as cloud storage and computing platforms,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matters may materially affect our financial position and results of operations.</w:t>
      </w:r>
    </w:p>
    <w:p>
      <w:pPr>
        <w:spacing w:after="0" w:line="2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Changes in tax laws in the United States, the European Union and around the globe have impacted and will continue to impact our effective worldwide tax rate, which may materially affect our financial position and results of operations.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could increase our worldwide effective tax rate and harm our financial position and results of operations. Additionally, 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w:t>
      </w:r>
    </w:p>
    <w:p>
      <w:pPr>
        <w:spacing w:after="0" w:line="22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Our determination of our tax liability in the U.S. and other jurisdictions is subject to review by applicable domestic and foreign tax authorities. For example, as disclosed in Part II, Item 8, Note 13, </w:t>
      </w:r>
      <w:r>
        <w:rPr>
          <w:rFonts w:ascii="Arial" w:cs="Arial" w:eastAsia="Arial" w:hAnsi="Arial"/>
          <w:sz w:val="16"/>
          <w:szCs w:val="16"/>
          <w:i w:val="1"/>
          <w:iCs w:val="1"/>
          <w:color w:val="auto"/>
        </w:rPr>
        <w:t>Income Tax Expense,</w:t>
      </w:r>
      <w:r>
        <w:rPr>
          <w:rFonts w:ascii="Arial" w:cs="Arial" w:eastAsia="Arial" w:hAnsi="Arial"/>
          <w:sz w:val="16"/>
          <w:szCs w:val="16"/>
          <w:color w:val="auto"/>
        </w:rPr>
        <w:t xml:space="preserve"> of the Notes to Consolidated Financial Statements included in this Annual Report on Form 10-K, we are under examination by the Internal Revenue Service for certain fiscal years and in connection with that examination, we received statutory notices of deficiency seeking certain adjustments to income and have filed petitions with the U.S. Tax Court. Although we believe our tax positions are properly supported, the final timing and resolution of any tax examinations are subject to significant uncertainty and could result in litigation or the payment of significant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Sales in the distribution channel and to the retail market are important to our business, and if we fail to respond to demand changes within these markets, or maintain and grow our applicable market share, our operating results could suffer.</w:t>
      </w:r>
    </w:p>
    <w:p>
      <w:pPr>
        <w:spacing w:after="0" w:line="19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As a result of the shift to mobile devices,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technology transitions or a significant change in consumer buying preference, or if we experience significant price declines due to demand changes in the distribution channel,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21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adverse publicity, whether or not justified, or allegations of product or service quality issues, even if false or unfounded, could damage our reputation and cause our customers to choose products offered by our competitors. Further, changes to the retail environment, such as store closures caused by macroeconomic conditions or changing customer preferences, may reduce the demand for our products. If customers no longer maintain a preference for our product brands or if our retailers are not successful in selling our products, our operating results may be adversely affected.</w:t>
      </w:r>
    </w:p>
    <w:p>
      <w:pPr>
        <w:spacing w:after="0" w:line="191"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b w:val="1"/>
          <w:bCs w:val="1"/>
          <w:i w:val="1"/>
          <w:iCs w:val="1"/>
          <w:color w:val="auto"/>
        </w:rPr>
        <w:t>Our operating results fluctuate, sometimes significantly, from period to period due to many factors, which may result in a significant decline in our stock price.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or loss of major customers;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252"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19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successfully implement technology transitions or other technology developments, or other failure to reduce product costs to keep pace with reduction in ASPs;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in costs due to warranty claims;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40" w:firstLine="162"/>
        <w:spacing w:after="0" w:line="381" w:lineRule="auto"/>
        <w:rPr>
          <w:sz w:val="20"/>
          <w:szCs w:val="20"/>
          <w:color w:val="auto"/>
        </w:rPr>
      </w:pPr>
      <w:r>
        <w:rPr>
          <w:rFonts w:ascii="Arial" w:cs="Arial" w:eastAsia="Arial" w:hAnsi="Arial"/>
          <w:sz w:val="15"/>
          <w:szCs w:val="15"/>
          <w:b w:val="1"/>
          <w:bCs w:val="1"/>
          <w:i w:val="1"/>
          <w:iCs w:val="1"/>
          <w:color w:val="auto"/>
        </w:rPr>
        <w:t>If our technology infrastructure, systems or products are compromised, damaged or interrupted by cyber attacks, data security breaches, other security problems, design defects or sustain system failures, our operating results and financial condition could be adversely affected.</w:t>
      </w:r>
    </w:p>
    <w:p>
      <w:pPr>
        <w:spacing w:after="0" w:line="12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experience cyber attacks of varying degrees on our technology infrastructure and systems and, as a result, unauthorized parties have obtained in the past, and may in the future obtain, access to our computer systems and networks, including cloud-based platforms. The technology infrastructure and systems of our suppliers, vendors, service providers, cloud solution providers and partners have in the past experienced and may in the future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design flaws, bugs, security vulnerabilities or security weaknesses, as well as intentional or unintentional acts by employees or other insiders with access privileges, intentional acts of vandalism or fraud by third parties and sabotage. In some instances, efforts to correct vulnerabilities or prevent attacks may reduce the performance of our computer systems and networks, which could negatively impact our business. We believe cyber attack attempts are increasing in number and that cyber attackers are developing increasingly sophisticated systems and means to not only attack systems, but also to evade detection or to obscure their activities.</w:t>
      </w:r>
    </w:p>
    <w:p>
      <w:pPr>
        <w:spacing w:after="0" w:line="212" w:lineRule="exact"/>
        <w:rPr>
          <w:sz w:val="20"/>
          <w:szCs w:val="20"/>
          <w:color w:val="auto"/>
        </w:rPr>
      </w:pPr>
    </w:p>
    <w:p>
      <w:pPr>
        <w:jc w:val="both"/>
        <w:ind w:right="240" w:firstLine="324"/>
        <w:spacing w:after="0" w:line="287" w:lineRule="auto"/>
        <w:rPr>
          <w:sz w:val="20"/>
          <w:szCs w:val="20"/>
          <w:color w:val="auto"/>
        </w:rPr>
      </w:pPr>
      <w:r>
        <w:rPr>
          <w:rFonts w:ascii="Arial" w:cs="Arial" w:eastAsia="Arial" w:hAnsi="Arial"/>
          <w:sz w:val="16"/>
          <w:szCs w:val="16"/>
          <w:color w:val="auto"/>
        </w:rPr>
        <w:t>Our products are also targets for cyber attacks, including those products utilized in cloud-based environments as well as our cloud service offerings.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spacing w:after="0" w:line="2"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and indemnification claims and hurting our reputation.</w:t>
      </w:r>
    </w:p>
    <w:p>
      <w:pPr>
        <w:spacing w:after="0" w:line="18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19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We are subject to laws, rules, and regulations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7"/>
          <w:szCs w:val="17"/>
          <w:b w:val="1"/>
          <w:bCs w:val="1"/>
          <w:color w:val="auto"/>
        </w:rPr>
        <w:t>.</w:t>
      </w:r>
    </w:p>
    <w:p>
      <w:pPr>
        <w:spacing w:after="0" w:line="19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subject to laws, rules, and regulations relating to the collection, use, and security and privacy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require us to notify vendors, customers or employees or other parties with which we have commercial relations of a data security breach and to respond to regulatory inquiries and to enforcement proceedings. Laws and regulations relating to the collection, use, and security and privacy of third-party data change over time and new laws and regulations become effective from time to time. For example, the California Consumer Privacy Act (“CCPA”), which became effective January 1, 2020, imposes new obligations on certain companies doing business in California with respect to the personal information of California residents. These obligations include new notice and privacy policy requirements, as well as new obligations to respond to requests to know and access personal information, delete personal information and say no to the sale of personal information.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162"/>
        <w:spacing w:after="0" w:line="308" w:lineRule="auto"/>
        <w:rPr>
          <w:sz w:val="20"/>
          <w:szCs w:val="20"/>
          <w:color w:val="auto"/>
        </w:rPr>
      </w:pPr>
      <w:r>
        <w:rPr>
          <w:rFonts w:ascii="Arial" w:cs="Arial" w:eastAsia="Arial" w:hAnsi="Arial"/>
          <w:sz w:val="17"/>
          <w:szCs w:val="17"/>
          <w:b w:val="1"/>
          <w:bCs w:val="1"/>
          <w:i w:val="1"/>
          <w:iCs w:val="1"/>
          <w:color w:val="auto"/>
        </w:rPr>
        <w:t>We are subject to risks related to product defects, which could result in product recalls or epidemic failures and could subject us to warranty claims in excess of our warranty provisions or which are greater than anticipated, litigation or indemnification claims.</w:t>
      </w:r>
    </w:p>
    <w:p>
      <w:pPr>
        <w:spacing w:after="0" w:line="17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including as a result of third-party components or applications that we incorporate in our products,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ODM customers. Our business liability insurance may be inadequate or future coverage may be unavailable on acceptable terms, which could adversely impact our operating results and financial condition.</w:t>
      </w:r>
    </w:p>
    <w:p>
      <w:pPr>
        <w:spacing w:after="0" w:line="20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provisions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215"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b w:val="1"/>
          <w:bCs w:val="1"/>
          <w:i w:val="1"/>
          <w:iCs w:val="1"/>
          <w:color w:val="auto"/>
        </w:rPr>
        <w:t>We are subject to state, federal and international legal and regulatory requirements, such as environmental, labor, trade, health, safety, anti-corruption and tax regulations, customers’ standards of corporate citizenship, and industry and coalition standards, such as those established by the Responsible Business Alliance (“RBA”), and compliance with those requirements could cause an increase in our operating costs and failure to comply may harm our business.</w:t>
      </w:r>
    </w:p>
    <w:p>
      <w:pPr>
        <w:spacing w:after="0" w:line="214"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customers and partners timely comply with such laws and regulations, which may result in an increase in our operating costs. Legislation has been, and may in the future be, enacted in locations where we manufacture or sell our products, which could impair our ability to conduct business in certain jurisdictions or with certain customers and harm our operating results. In addition, climate change and financial reform legislation is a significant topic of discussion and has generated and may continue to generate federal, international or other regulatory responses in the near future. If we or our suppliers, customers or partners fail to timely comply with applicable legislation, certain customers may refuse to purchase our products or we may face increased operating costs as a result of taxes, fines or penalties, or legal liability and reputational damage, which could have a material adverse effect on our business, operating results and financial condition.</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or our suppliers, customers or partners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firstLine="162"/>
        <w:spacing w:after="0" w:line="342" w:lineRule="auto"/>
        <w:rPr>
          <w:sz w:val="20"/>
          <w:szCs w:val="20"/>
          <w:color w:val="auto"/>
        </w:rPr>
      </w:pPr>
      <w:r>
        <w:rPr>
          <w:rFonts w:ascii="Arial" w:cs="Arial" w:eastAsia="Arial" w:hAnsi="Arial"/>
          <w:sz w:val="16"/>
          <w:szCs w:val="16"/>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5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From time to time, we are involved in litigation, including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w:t>
      </w:r>
    </w:p>
    <w:p>
      <w:pPr>
        <w:spacing w:after="0" w:line="2"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21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affect demand for our products and harm the market prices of our securities.</w:t>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21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9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22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198"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b w:val="1"/>
          <w:bCs w:val="1"/>
          <w:i w:val="1"/>
          <w:iCs w:val="1"/>
          <w:color w:val="auto"/>
        </w:rPr>
        <w:t>Our reliance on IP and other proprietary information subjects us to the risk that these key ingredients of our business could be copied by competitors.</w:t>
      </w:r>
    </w:p>
    <w:p>
      <w:pPr>
        <w:spacing w:after="0" w:line="19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20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215" w:lineRule="exact"/>
        <w:rPr>
          <w:sz w:val="20"/>
          <w:szCs w:val="20"/>
          <w:color w:val="auto"/>
        </w:rPr>
      </w:pPr>
    </w:p>
    <w:p>
      <w:pPr>
        <w:ind w:right="600" w:firstLine="162"/>
        <w:spacing w:after="0" w:line="277" w:lineRule="auto"/>
        <w:rPr>
          <w:sz w:val="20"/>
          <w:szCs w:val="20"/>
          <w:color w:val="auto"/>
        </w:rPr>
      </w:pPr>
      <w:r>
        <w:rPr>
          <w:rFonts w:ascii="Arial" w:cs="Arial" w:eastAsia="Arial" w:hAnsi="Arial"/>
          <w:sz w:val="18"/>
          <w:szCs w:val="18"/>
          <w:b w:val="1"/>
          <w:bCs w:val="1"/>
          <w:i w:val="1"/>
          <w:iCs w:val="1"/>
          <w:color w:val="auto"/>
        </w:rPr>
        <w:t>Flash Ventures’ equipment lease agreements contain covenants and other cancellation events, and cancellation of the leases would harm our business, operating results and financial condition.</w:t>
      </w:r>
    </w:p>
    <w:p>
      <w:pPr>
        <w:spacing w:after="0" w:line="197"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Flash Ventures sells to and leases back a portion of its equipment from a consortium of financial institutions. Most of the lease obligations are guaranteed 50% by us and 50% by Kioxia. Some of the lease obligations are guaranteed in full by us. As of July 3, 2020, the portion of outstanding obligations covered by our guarantees totaled approximately $1.90 billion, based upon the Japanese yen to U.S. dollar exchange rate at July 3, 2020. The leases are subject to customary covenants and cancellation events that relate to Flash Ventures and each of the guarantors. Cancellation events include, among other things, an assignment of all or a substantial part of a guarantor’s business and acceleration of other monetary debts of Flash Ventures or a guarantor above a specified threshold. If a cancellation event were to occur, Flash Ventures would be required to negotiate a resolution with the other parties to the lease transactions to avoid cancellation and acceleration of the lease obligations. Such resolution could include, among other things, supplementary security to be supplied by us, increased interest rates or waiver fees. If a resolution is not reached, we may be required to pay all of the outstanding lease obligations covered by our guarantees, which would significantly reduce our cash position and may force us to seek additional financing, which may not be available on terms acceptable to us, if at all.</w:t>
      </w:r>
    </w:p>
    <w:p>
      <w:pPr>
        <w:spacing w:after="0" w:line="212"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b w:val="1"/>
          <w:bCs w:val="1"/>
          <w:i w:val="1"/>
          <w:iCs w:val="1"/>
          <w:color w:val="auto"/>
        </w:rPr>
        <w:t>If we do not resume paying a quarterly cash dividend or repurchasing shares of our common stock, the market price for our common stock could decline.</w:t>
      </w:r>
    </w:p>
    <w:p>
      <w:pPr>
        <w:spacing w:after="0" w:line="19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 April 2020, we suspended our quarterly cash dividend policy. In addition, we have not repurchased shares of our common stock pursuant to our stock repurchase program since the first quarter of fiscal 2019. Although we will reevaluate paying cash dividends and repurchasing shares of our common stock when appropriate, there can be no assurance if, when or at what level we may resume these activities. If we choose not to or are unable to resume paying cash dividends or repurchasing shares of our common stock in the future, the market price of our common stock may decline.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Fluctuations in currency exchange rates as a result of our international operations may negatively affect our operating results.</w:t>
      </w:r>
    </w:p>
    <w:p>
      <w:pPr>
        <w:spacing w:after="0" w:line="25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If any of these events occur, they could have a negative impact on our operating results.</w:t>
      </w:r>
    </w:p>
    <w:p>
      <w:pPr>
        <w:spacing w:after="0" w:line="208"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184"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We attempt to manage the impact of foreign currency exchange rate changes by, among other things, entering into short-term foreign exchange contracts. However, these contracts may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91"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9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Our customers’ credit risk may also be exacerbated by an economic downturn or other adverse global or regional economic conditions.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common stock is volatile.</w:t>
      </w:r>
    </w:p>
    <w:p>
      <w:pPr>
        <w:spacing w:after="0" w:line="25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9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52"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perceptions about our strategic relationships and joint ventures, access to supply of flash-based memory, new technologies and technology transitions;</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 which may decrease the volume and profitability of sales of our existing products and increase the risk of inventory obsolescence;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publicity, whether or not justified;</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macroeconomic conditions or other events that affect the market generally and, in particular, developments or events impacting our industry.</w:t>
      </w:r>
    </w:p>
    <w:p>
      <w:pPr>
        <w:spacing w:after="0" w:line="264"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addition, the sale of substantial amounts of shares of our common stock, or the perception that these sales may occur, could adversely affect the market price of our common stock. Further,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20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21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Further, a sustained decline in our stock price or market capitalization are among the factors that may be considered a change in circumstances indicating that the carrying value of our long-lived assets or goodwill may be impaired and, if an impairment review is triggered, could require us to record a significant charge to earnings in our Consolidated Financial Statements.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cash balances and investment portfolio are subject to various risks, any of which could adversely impact our financial position.</w:t>
      </w:r>
    </w:p>
    <w:p>
      <w:pPr>
        <w:spacing w:after="0" w:line="26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Given the international footprint of our business, we have both domestic and international cash balances. From time to time, our investment portfolio may include various holdings, security types, and maturities. Our investment portfolio is subject to general credit, liquidity, market, political, sovereign and interest rate risks, which may be exacerbated by unusual events that affect global financial markets. Our investment portfolio may include investment grade corporate securities, bank deposits, asset backed securities and U.S. government and agency securities.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Federal Deposit Insurance Corporation (FDIC) limits could also have an adverse impact on our financial position.</w:t>
      </w:r>
    </w:p>
    <w:p>
      <w:pPr>
        <w:spacing w:after="0" w:line="192"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addition, if we are unable to generate sufficient cash flows from operations to repay our indebtedness, fund acquisitions, pay dividends, or repurchase shares of our common stock, we may choose or be required to increase our borrowings, if available, or to repatriate funds to the U.S. at an additional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56" w:lineRule="exact"/>
        <w:rPr>
          <w:sz w:val="20"/>
          <w:szCs w:val="20"/>
          <w:color w:val="auto"/>
        </w:rPr>
      </w:pPr>
    </w:p>
    <w:p>
      <w:pPr>
        <w:ind w:right="100" w:firstLine="324"/>
        <w:spacing w:after="0" w:line="276" w:lineRule="auto"/>
        <w:rPr>
          <w:sz w:val="20"/>
          <w:szCs w:val="20"/>
          <w:color w:val="auto"/>
        </w:rPr>
      </w:pPr>
      <w:r>
        <w:rPr>
          <w:rFonts w:ascii="Arial" w:cs="Arial" w:eastAsia="Arial" w:hAnsi="Arial"/>
          <w:sz w:val="18"/>
          <w:szCs w:val="18"/>
          <w:color w:val="auto"/>
        </w:rPr>
        <w:t>Our principal executive offices are located in San Jose, California. Our leased facilities are occupied under leases that expire at various times through 2034. Our principal manufacturing, R&amp;D, marketing and administrative facilities as of July 3, 2020 were as follows:</w:t>
      </w:r>
    </w:p>
    <w:tbl>
      <w:tblPr>
        <w:tblLayout w:type="fixed"/>
        <w:tblInd w:w="0" w:type="dxa"/>
        <w:tblCellMar>
          <w:top w:w="0" w:type="dxa"/>
          <w:left w:w="0" w:type="dxa"/>
          <w:bottom w:w="0" w:type="dxa"/>
          <w:right w:w="0" w:type="dxa"/>
        </w:tblCellMar>
      </w:tblPr>
      <w:tr>
        <w:trPr>
          <w:trHeight w:val="150"/>
        </w:trPr>
        <w:tc>
          <w:tcPr>
            <w:tcW w:w="2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w w:val="93"/>
              </w:rPr>
              <w:t>Buildings</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Approximate</w:t>
            </w:r>
          </w:p>
        </w:tc>
        <w:tc>
          <w:tcPr>
            <w:tcW w:w="5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660" w:type="dxa"/>
            <w:vAlign w:val="bottom"/>
            <w:vMerge w:val="restart"/>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Owned or</w:t>
            </w:r>
          </w:p>
        </w:tc>
        <w:tc>
          <w:tcPr>
            <w:tcW w:w="1240" w:type="dxa"/>
            <w:vAlign w:val="bottom"/>
            <w:gridSpan w:val="2"/>
            <w:vMerge w:val="continue"/>
          </w:tcPr>
          <w:p>
            <w:pPr>
              <w:spacing w:after="0"/>
              <w:rPr>
                <w:sz w:val="12"/>
                <w:szCs w:val="12"/>
                <w:color w:val="auto"/>
              </w:rPr>
            </w:pPr>
          </w:p>
        </w:tc>
        <w:tc>
          <w:tcPr>
            <w:tcW w:w="5660" w:type="dxa"/>
            <w:vAlign w:val="bottom"/>
            <w:vMerge w:val="restart"/>
          </w:tcPr>
          <w:p>
            <w:pPr>
              <w:ind w:left="2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Square Footage</w:t>
            </w:r>
          </w:p>
        </w:tc>
        <w:tc>
          <w:tcPr>
            <w:tcW w:w="120" w:type="dxa"/>
            <w:vAlign w:val="bottom"/>
            <w:tcBorders>
              <w:bottom w:val="single" w:sz="8" w:color="CCEEFF"/>
            </w:tcBorders>
          </w:tcPr>
          <w:p>
            <w:pPr>
              <w:spacing w:after="0"/>
              <w:rPr>
                <w:sz w:val="16"/>
                <w:szCs w:val="16"/>
                <w:color w:val="auto"/>
              </w:rPr>
            </w:pPr>
          </w:p>
        </w:tc>
        <w:tc>
          <w:tcPr>
            <w:tcW w:w="5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United States</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gridSpan w:val="2"/>
          </w:tcPr>
          <w:p>
            <w:pPr>
              <w:ind w:left="340"/>
              <w:spacing w:after="0"/>
              <w:rPr>
                <w:sz w:val="20"/>
                <w:szCs w:val="20"/>
                <w:color w:val="auto"/>
              </w:rPr>
            </w:pPr>
            <w:r>
              <w:rPr>
                <w:rFonts w:ascii="Arial" w:cs="Arial" w:eastAsia="Arial" w:hAnsi="Arial"/>
                <w:sz w:val="16"/>
                <w:szCs w:val="16"/>
                <w:color w:val="auto"/>
              </w:rPr>
              <w:t>California</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Fremont</w:t>
            </w:r>
          </w:p>
        </w:tc>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Leased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290,000</w:t>
            </w:r>
          </w:p>
        </w:tc>
        <w:tc>
          <w:tcPr>
            <w:tcW w:w="1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 of head wafers and R&amp;D</w:t>
            </w:r>
          </w:p>
        </w:tc>
        <w:tc>
          <w:tcPr>
            <w:tcW w:w="0" w:type="dxa"/>
            <w:vAlign w:val="bottom"/>
          </w:tcPr>
          <w:p>
            <w:pPr>
              <w:spacing w:after="0"/>
              <w:rPr>
                <w:sz w:val="1"/>
                <w:szCs w:val="1"/>
                <w:color w:val="auto"/>
              </w:rPr>
            </w:pPr>
          </w:p>
        </w:tc>
      </w:tr>
      <w:tr>
        <w:trPr>
          <w:trHeight w:val="224"/>
        </w:trPr>
        <w:tc>
          <w:tcPr>
            <w:tcW w:w="3080" w:type="dxa"/>
            <w:vAlign w:val="bottom"/>
            <w:gridSpan w:val="2"/>
          </w:tcPr>
          <w:p>
            <w:pPr>
              <w:ind w:left="660"/>
              <w:spacing w:after="0"/>
              <w:rPr>
                <w:sz w:val="20"/>
                <w:szCs w:val="20"/>
                <w:color w:val="auto"/>
              </w:rPr>
            </w:pPr>
            <w:r>
              <w:rPr>
                <w:rFonts w:ascii="Arial" w:cs="Arial" w:eastAsia="Arial" w:hAnsi="Arial"/>
                <w:sz w:val="16"/>
                <w:szCs w:val="16"/>
                <w:color w:val="auto"/>
              </w:rPr>
              <w:t>Irvine</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Leased</w:t>
            </w:r>
          </w:p>
        </w:tc>
        <w:tc>
          <w:tcPr>
            <w:tcW w:w="1120" w:type="dxa"/>
            <w:vAlign w:val="bottom"/>
          </w:tcPr>
          <w:p>
            <w:pPr>
              <w:jc w:val="right"/>
              <w:spacing w:after="0"/>
              <w:rPr>
                <w:sz w:val="20"/>
                <w:szCs w:val="20"/>
                <w:color w:val="auto"/>
              </w:rPr>
            </w:pPr>
            <w:r>
              <w:rPr>
                <w:rFonts w:ascii="Arial" w:cs="Arial" w:eastAsia="Arial" w:hAnsi="Arial"/>
                <w:sz w:val="16"/>
                <w:szCs w:val="16"/>
                <w:color w:val="auto"/>
              </w:rPr>
              <w:t>434,000</w:t>
            </w:r>
          </w:p>
        </w:tc>
        <w:tc>
          <w:tcPr>
            <w:tcW w:w="1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R&amp;D, administrative, marketing and sales</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Milpitas</w:t>
            </w:r>
          </w:p>
        </w:tc>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589,000</w:t>
            </w:r>
          </w:p>
        </w:tc>
        <w:tc>
          <w:tcPr>
            <w:tcW w:w="1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R&amp;D, marketing and sales, and administrative</w:t>
            </w:r>
          </w:p>
        </w:tc>
        <w:tc>
          <w:tcPr>
            <w:tcW w:w="0" w:type="dxa"/>
            <w:vAlign w:val="bottom"/>
          </w:tcPr>
          <w:p>
            <w:pPr>
              <w:spacing w:after="0"/>
              <w:rPr>
                <w:sz w:val="1"/>
                <w:szCs w:val="1"/>
                <w:color w:val="auto"/>
              </w:rPr>
            </w:pPr>
          </w:p>
        </w:tc>
      </w:tr>
      <w:tr>
        <w:trPr>
          <w:trHeight w:val="220"/>
        </w:trPr>
        <w:tc>
          <w:tcPr>
            <w:tcW w:w="3080" w:type="dxa"/>
            <w:vAlign w:val="bottom"/>
            <w:gridSpan w:val="2"/>
          </w:tcPr>
          <w:p>
            <w:pPr>
              <w:ind w:left="660"/>
              <w:spacing w:after="0"/>
              <w:rPr>
                <w:sz w:val="20"/>
                <w:szCs w:val="20"/>
                <w:color w:val="auto"/>
              </w:rPr>
            </w:pPr>
            <w:r>
              <w:rPr>
                <w:rFonts w:ascii="Arial" w:cs="Arial" w:eastAsia="Arial" w:hAnsi="Arial"/>
                <w:sz w:val="16"/>
                <w:szCs w:val="16"/>
                <w:color w:val="auto"/>
              </w:rPr>
              <w:t>San Jose</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Owned and</w:t>
            </w:r>
          </w:p>
        </w:tc>
        <w:tc>
          <w:tcPr>
            <w:tcW w:w="1120" w:type="dxa"/>
            <w:vAlign w:val="bottom"/>
          </w:tcPr>
          <w:p>
            <w:pPr>
              <w:jc w:val="right"/>
              <w:spacing w:after="0"/>
              <w:rPr>
                <w:sz w:val="20"/>
                <w:szCs w:val="20"/>
                <w:color w:val="auto"/>
              </w:rPr>
            </w:pPr>
            <w:r>
              <w:rPr>
                <w:rFonts w:ascii="Arial" w:cs="Arial" w:eastAsia="Arial" w:hAnsi="Arial"/>
                <w:sz w:val="16"/>
                <w:szCs w:val="16"/>
                <w:color w:val="auto"/>
              </w:rPr>
              <w:t>2,561,000</w:t>
            </w:r>
          </w:p>
        </w:tc>
        <w:tc>
          <w:tcPr>
            <w:tcW w:w="1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Manufacturing of head wafers, head, media and product development, R&amp;D,</w:t>
            </w: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Leased</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administrative, marketing and sales</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Colorado</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080" w:type="dxa"/>
            <w:vAlign w:val="bottom"/>
            <w:gridSpan w:val="2"/>
          </w:tcPr>
          <w:p>
            <w:pPr>
              <w:ind w:left="660"/>
              <w:spacing w:after="0"/>
              <w:rPr>
                <w:sz w:val="20"/>
                <w:szCs w:val="20"/>
                <w:color w:val="auto"/>
              </w:rPr>
            </w:pPr>
            <w:r>
              <w:rPr>
                <w:rFonts w:ascii="Arial" w:cs="Arial" w:eastAsia="Arial" w:hAnsi="Arial"/>
                <w:sz w:val="16"/>
                <w:szCs w:val="16"/>
                <w:color w:val="auto"/>
              </w:rPr>
              <w:t>Longmont</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Leased</w:t>
            </w:r>
          </w:p>
        </w:tc>
        <w:tc>
          <w:tcPr>
            <w:tcW w:w="1120" w:type="dxa"/>
            <w:vAlign w:val="bottom"/>
          </w:tcPr>
          <w:p>
            <w:pPr>
              <w:jc w:val="right"/>
              <w:spacing w:after="0"/>
              <w:rPr>
                <w:sz w:val="20"/>
                <w:szCs w:val="20"/>
                <w:color w:val="auto"/>
              </w:rPr>
            </w:pPr>
            <w:r>
              <w:rPr>
                <w:rFonts w:ascii="Arial" w:cs="Arial" w:eastAsia="Arial" w:hAnsi="Arial"/>
                <w:sz w:val="16"/>
                <w:szCs w:val="16"/>
                <w:color w:val="auto"/>
              </w:rPr>
              <w:t>87,000</w:t>
            </w:r>
          </w:p>
        </w:tc>
        <w:tc>
          <w:tcPr>
            <w:tcW w:w="1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Colorado Springs</w:t>
            </w:r>
          </w:p>
        </w:tc>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Leased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59,000</w:t>
            </w:r>
          </w:p>
        </w:tc>
        <w:tc>
          <w:tcPr>
            <w:tcW w:w="1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r>
        <w:trPr>
          <w:trHeight w:val="224"/>
        </w:trPr>
        <w:tc>
          <w:tcPr>
            <w:tcW w:w="3080" w:type="dxa"/>
            <w:vAlign w:val="bottom"/>
            <w:gridSpan w:val="2"/>
          </w:tcPr>
          <w:p>
            <w:pPr>
              <w:ind w:left="340"/>
              <w:spacing w:after="0"/>
              <w:rPr>
                <w:sz w:val="20"/>
                <w:szCs w:val="20"/>
                <w:color w:val="auto"/>
              </w:rPr>
            </w:pPr>
            <w:r>
              <w:rPr>
                <w:rFonts w:ascii="Arial" w:cs="Arial" w:eastAsia="Arial" w:hAnsi="Arial"/>
                <w:sz w:val="16"/>
                <w:szCs w:val="16"/>
                <w:color w:val="auto"/>
              </w:rPr>
              <w:t>Minnesota</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Rochester</w:t>
            </w:r>
          </w:p>
        </w:tc>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Leased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121,000</w:t>
            </w:r>
          </w:p>
        </w:tc>
        <w:tc>
          <w:tcPr>
            <w:tcW w:w="1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Product development</w:t>
            </w:r>
          </w:p>
        </w:tc>
        <w:tc>
          <w:tcPr>
            <w:tcW w:w="0" w:type="dxa"/>
            <w:vAlign w:val="bottom"/>
          </w:tcPr>
          <w:p>
            <w:pPr>
              <w:spacing w:after="0"/>
              <w:rPr>
                <w:sz w:val="1"/>
                <w:szCs w:val="1"/>
                <w:color w:val="auto"/>
              </w:rPr>
            </w:pPr>
          </w:p>
        </w:tc>
      </w:tr>
      <w:tr>
        <w:trPr>
          <w:trHeight w:val="223"/>
        </w:trPr>
        <w:tc>
          <w:tcPr>
            <w:tcW w:w="3080" w:type="dxa"/>
            <w:vAlign w:val="bottom"/>
            <w:gridSpan w:val="2"/>
          </w:tcPr>
          <w:p>
            <w:pPr>
              <w:ind w:left="20"/>
              <w:spacing w:after="0"/>
              <w:rPr>
                <w:sz w:val="20"/>
                <w:szCs w:val="20"/>
                <w:color w:val="auto"/>
              </w:rPr>
            </w:pPr>
            <w:r>
              <w:rPr>
                <w:rFonts w:ascii="Arial" w:cs="Arial" w:eastAsia="Arial" w:hAnsi="Arial"/>
                <w:sz w:val="16"/>
                <w:szCs w:val="16"/>
                <w:b w:val="1"/>
                <w:bCs w:val="1"/>
                <w:color w:val="auto"/>
              </w:rPr>
              <w:t>Asia</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China</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080" w:type="dxa"/>
            <w:vAlign w:val="bottom"/>
            <w:gridSpan w:val="2"/>
          </w:tcPr>
          <w:p>
            <w:pPr>
              <w:ind w:left="660"/>
              <w:spacing w:after="0"/>
              <w:rPr>
                <w:sz w:val="20"/>
                <w:szCs w:val="20"/>
                <w:color w:val="auto"/>
              </w:rPr>
            </w:pPr>
            <w:r>
              <w:rPr>
                <w:rFonts w:ascii="Arial" w:cs="Arial" w:eastAsia="Arial" w:hAnsi="Arial"/>
                <w:sz w:val="16"/>
                <w:szCs w:val="16"/>
                <w:color w:val="auto"/>
              </w:rPr>
              <w:t>Shanghai</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spacing w:after="0"/>
              <w:rPr>
                <w:sz w:val="20"/>
                <w:szCs w:val="20"/>
                <w:color w:val="auto"/>
              </w:rPr>
            </w:pPr>
            <w:r>
              <w:rPr>
                <w:rFonts w:ascii="Arial" w:cs="Arial" w:eastAsia="Arial" w:hAnsi="Arial"/>
                <w:sz w:val="16"/>
                <w:szCs w:val="16"/>
                <w:color w:val="auto"/>
              </w:rPr>
              <w:t>774,000</w:t>
            </w:r>
          </w:p>
        </w:tc>
        <w:tc>
          <w:tcPr>
            <w:tcW w:w="1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Assembly and test of SSDs</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Shenzhen</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Owned and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563,000</w:t>
            </w:r>
          </w:p>
        </w:tc>
        <w:tc>
          <w:tcPr>
            <w:tcW w:w="120" w:type="dxa"/>
            <w:vAlign w:val="bottom"/>
            <w:shd w:val="clear" w:color="auto" w:fill="CCEEFF"/>
          </w:tcPr>
          <w:p>
            <w:pPr>
              <w:spacing w:after="0"/>
              <w:rPr>
                <w:sz w:val="19"/>
                <w:szCs w:val="19"/>
                <w:color w:val="auto"/>
              </w:rPr>
            </w:pPr>
          </w:p>
        </w:tc>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Manufacturing of media</w:t>
            </w: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Leased</w:t>
            </w: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gridSpan w:val="2"/>
          </w:tcPr>
          <w:p>
            <w:pPr>
              <w:ind w:left="340"/>
              <w:spacing w:after="0"/>
              <w:rPr>
                <w:sz w:val="20"/>
                <w:szCs w:val="20"/>
                <w:color w:val="auto"/>
              </w:rPr>
            </w:pPr>
            <w:r>
              <w:rPr>
                <w:rFonts w:ascii="Arial" w:cs="Arial" w:eastAsia="Arial" w:hAnsi="Arial"/>
                <w:sz w:val="16"/>
                <w:szCs w:val="16"/>
                <w:b w:val="1"/>
                <w:bCs w:val="1"/>
                <w:color w:val="auto"/>
              </w:rPr>
              <w:t>Japan</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Fujisawa</w:t>
            </w:r>
          </w:p>
        </w:tc>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661,000</w:t>
            </w:r>
          </w:p>
        </w:tc>
        <w:tc>
          <w:tcPr>
            <w:tcW w:w="1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Product development</w:t>
            </w:r>
          </w:p>
        </w:tc>
        <w:tc>
          <w:tcPr>
            <w:tcW w:w="0" w:type="dxa"/>
            <w:vAlign w:val="bottom"/>
          </w:tcPr>
          <w:p>
            <w:pPr>
              <w:spacing w:after="0"/>
              <w:rPr>
                <w:sz w:val="1"/>
                <w:szCs w:val="1"/>
                <w:color w:val="auto"/>
              </w:rPr>
            </w:pPr>
          </w:p>
        </w:tc>
      </w:tr>
      <w:tr>
        <w:trPr>
          <w:trHeight w:val="224"/>
        </w:trPr>
        <w:tc>
          <w:tcPr>
            <w:tcW w:w="3080" w:type="dxa"/>
            <w:vAlign w:val="bottom"/>
            <w:gridSpan w:val="2"/>
          </w:tcPr>
          <w:p>
            <w:pPr>
              <w:ind w:left="340"/>
              <w:spacing w:after="0"/>
              <w:rPr>
                <w:sz w:val="20"/>
                <w:szCs w:val="20"/>
                <w:color w:val="auto"/>
              </w:rPr>
            </w:pPr>
            <w:r>
              <w:rPr>
                <w:rFonts w:ascii="Arial" w:cs="Arial" w:eastAsia="Arial" w:hAnsi="Arial"/>
                <w:sz w:val="16"/>
                <w:szCs w:val="16"/>
                <w:b w:val="1"/>
                <w:bCs w:val="1"/>
                <w:color w:val="auto"/>
              </w:rPr>
              <w:t>Malaysia</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Johor</w:t>
            </w:r>
          </w:p>
        </w:tc>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277,000</w:t>
            </w:r>
          </w:p>
        </w:tc>
        <w:tc>
          <w:tcPr>
            <w:tcW w:w="1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 of substrates</w:t>
            </w:r>
          </w:p>
        </w:tc>
        <w:tc>
          <w:tcPr>
            <w:tcW w:w="0" w:type="dxa"/>
            <w:vAlign w:val="bottom"/>
          </w:tcPr>
          <w:p>
            <w:pPr>
              <w:spacing w:after="0"/>
              <w:rPr>
                <w:sz w:val="1"/>
                <w:szCs w:val="1"/>
                <w:color w:val="auto"/>
              </w:rPr>
            </w:pPr>
          </w:p>
        </w:tc>
      </w:tr>
      <w:tr>
        <w:trPr>
          <w:trHeight w:val="224"/>
        </w:trPr>
        <w:tc>
          <w:tcPr>
            <w:tcW w:w="3080" w:type="dxa"/>
            <w:vAlign w:val="bottom"/>
            <w:gridSpan w:val="2"/>
          </w:tcPr>
          <w:p>
            <w:pPr>
              <w:ind w:left="660"/>
              <w:spacing w:after="0"/>
              <w:rPr>
                <w:sz w:val="20"/>
                <w:szCs w:val="20"/>
                <w:color w:val="auto"/>
              </w:rPr>
            </w:pPr>
            <w:r>
              <w:rPr>
                <w:rFonts w:ascii="Arial" w:cs="Arial" w:eastAsia="Arial" w:hAnsi="Arial"/>
                <w:sz w:val="16"/>
                <w:szCs w:val="16"/>
                <w:color w:val="auto"/>
              </w:rPr>
              <w:t>Kuala Lumpur</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spacing w:after="0"/>
              <w:rPr>
                <w:sz w:val="20"/>
                <w:szCs w:val="20"/>
                <w:color w:val="auto"/>
              </w:rPr>
            </w:pPr>
            <w:r>
              <w:rPr>
                <w:rFonts w:ascii="Arial" w:cs="Arial" w:eastAsia="Arial" w:hAnsi="Arial"/>
                <w:sz w:val="16"/>
                <w:szCs w:val="16"/>
                <w:color w:val="auto"/>
              </w:rPr>
              <w:t>145,000</w:t>
            </w:r>
          </w:p>
        </w:tc>
        <w:tc>
          <w:tcPr>
            <w:tcW w:w="1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R&amp;D and administrative</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Kuching</w:t>
            </w:r>
          </w:p>
        </w:tc>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285,000</w:t>
            </w:r>
          </w:p>
        </w:tc>
        <w:tc>
          <w:tcPr>
            <w:tcW w:w="1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 and development of substrates</w:t>
            </w:r>
          </w:p>
        </w:tc>
        <w:tc>
          <w:tcPr>
            <w:tcW w:w="0" w:type="dxa"/>
            <w:vAlign w:val="bottom"/>
          </w:tcPr>
          <w:p>
            <w:pPr>
              <w:spacing w:after="0"/>
              <w:rPr>
                <w:sz w:val="1"/>
                <w:szCs w:val="1"/>
                <w:color w:val="auto"/>
              </w:rPr>
            </w:pPr>
          </w:p>
        </w:tc>
      </w:tr>
      <w:tr>
        <w:trPr>
          <w:trHeight w:val="223"/>
        </w:trPr>
        <w:tc>
          <w:tcPr>
            <w:tcW w:w="3080" w:type="dxa"/>
            <w:vAlign w:val="bottom"/>
            <w:gridSpan w:val="2"/>
          </w:tcPr>
          <w:p>
            <w:pPr>
              <w:ind w:left="660"/>
              <w:spacing w:after="0"/>
              <w:rPr>
                <w:sz w:val="20"/>
                <w:szCs w:val="20"/>
                <w:color w:val="auto"/>
              </w:rPr>
            </w:pPr>
            <w:r>
              <w:rPr>
                <w:rFonts w:ascii="Arial" w:cs="Arial" w:eastAsia="Arial" w:hAnsi="Arial"/>
                <w:sz w:val="16"/>
                <w:szCs w:val="16"/>
                <w:color w:val="auto"/>
              </w:rPr>
              <w:t>Penang</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spacing w:after="0"/>
              <w:rPr>
                <w:sz w:val="20"/>
                <w:szCs w:val="20"/>
                <w:color w:val="auto"/>
              </w:rPr>
            </w:pPr>
            <w:r>
              <w:rPr>
                <w:rFonts w:ascii="Arial" w:cs="Arial" w:eastAsia="Arial" w:hAnsi="Arial"/>
                <w:sz w:val="16"/>
                <w:szCs w:val="16"/>
                <w:color w:val="auto"/>
              </w:rPr>
              <w:t>1,683,000</w:t>
            </w:r>
          </w:p>
        </w:tc>
        <w:tc>
          <w:tcPr>
            <w:tcW w:w="1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Assembly and test of SSDs, manufacturing of media, and R&amp;D</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Philippines</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gridSpan w:val="2"/>
          </w:tcPr>
          <w:p>
            <w:pPr>
              <w:ind w:left="660"/>
              <w:spacing w:after="0"/>
              <w:rPr>
                <w:sz w:val="20"/>
                <w:szCs w:val="20"/>
                <w:color w:val="auto"/>
              </w:rPr>
            </w:pPr>
            <w:r>
              <w:rPr>
                <w:rFonts w:ascii="Arial" w:cs="Arial" w:eastAsia="Arial" w:hAnsi="Arial"/>
                <w:sz w:val="16"/>
                <w:szCs w:val="16"/>
                <w:color w:val="auto"/>
              </w:rPr>
              <w:t>Laguna</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spacing w:after="0"/>
              <w:rPr>
                <w:sz w:val="20"/>
                <w:szCs w:val="20"/>
                <w:color w:val="auto"/>
              </w:rPr>
            </w:pPr>
            <w:r>
              <w:rPr>
                <w:rFonts w:ascii="Arial" w:cs="Arial" w:eastAsia="Arial" w:hAnsi="Arial"/>
                <w:sz w:val="16"/>
                <w:szCs w:val="16"/>
                <w:color w:val="auto"/>
              </w:rPr>
              <w:t>632,000</w:t>
            </w:r>
          </w:p>
        </w:tc>
        <w:tc>
          <w:tcPr>
            <w:tcW w:w="1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Manufacturing of HGAs and slider fabrication</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Thailand</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gridSpan w:val="2"/>
          </w:tcPr>
          <w:p>
            <w:pPr>
              <w:ind w:left="660"/>
              <w:spacing w:after="0"/>
              <w:rPr>
                <w:sz w:val="20"/>
                <w:szCs w:val="20"/>
                <w:color w:val="auto"/>
              </w:rPr>
            </w:pPr>
            <w:r>
              <w:rPr>
                <w:rFonts w:ascii="Arial" w:cs="Arial" w:eastAsia="Arial" w:hAnsi="Arial"/>
                <w:sz w:val="16"/>
                <w:szCs w:val="16"/>
                <w:color w:val="auto"/>
              </w:rPr>
              <w:t>Bang Pa-In</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spacing w:after="0"/>
              <w:rPr>
                <w:sz w:val="20"/>
                <w:szCs w:val="20"/>
                <w:color w:val="auto"/>
              </w:rPr>
            </w:pPr>
            <w:r>
              <w:rPr>
                <w:rFonts w:ascii="Arial" w:cs="Arial" w:eastAsia="Arial" w:hAnsi="Arial"/>
                <w:sz w:val="16"/>
                <w:szCs w:val="16"/>
                <w:color w:val="auto"/>
              </w:rPr>
              <w:t>1,578,000</w:t>
            </w:r>
          </w:p>
        </w:tc>
        <w:tc>
          <w:tcPr>
            <w:tcW w:w="1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Slider fabrication, manufacturing of HDDs and HGAs, and R&amp;D</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Prachinburi</w:t>
            </w:r>
          </w:p>
        </w:tc>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838,000</w:t>
            </w:r>
          </w:p>
        </w:tc>
        <w:tc>
          <w:tcPr>
            <w:tcW w:w="1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 of HDDs</w:t>
            </w:r>
          </w:p>
        </w:tc>
        <w:tc>
          <w:tcPr>
            <w:tcW w:w="0" w:type="dxa"/>
            <w:vAlign w:val="bottom"/>
          </w:tcPr>
          <w:p>
            <w:pPr>
              <w:spacing w:after="0"/>
              <w:rPr>
                <w:sz w:val="1"/>
                <w:szCs w:val="1"/>
                <w:color w:val="auto"/>
              </w:rPr>
            </w:pPr>
          </w:p>
        </w:tc>
      </w:tr>
      <w:tr>
        <w:trPr>
          <w:trHeight w:val="223"/>
        </w:trPr>
        <w:tc>
          <w:tcPr>
            <w:tcW w:w="3080" w:type="dxa"/>
            <w:vAlign w:val="bottom"/>
            <w:gridSpan w:val="2"/>
          </w:tcPr>
          <w:p>
            <w:pPr>
              <w:ind w:left="340"/>
              <w:spacing w:after="0"/>
              <w:rPr>
                <w:sz w:val="20"/>
                <w:szCs w:val="20"/>
                <w:color w:val="auto"/>
              </w:rPr>
            </w:pPr>
            <w:r>
              <w:rPr>
                <w:rFonts w:ascii="Arial" w:cs="Arial" w:eastAsia="Arial" w:hAnsi="Arial"/>
                <w:sz w:val="16"/>
                <w:szCs w:val="16"/>
                <w:b w:val="1"/>
                <w:bCs w:val="1"/>
                <w:color w:val="auto"/>
              </w:rPr>
              <w:t>India</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Bangalore</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Owned and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638,000</w:t>
            </w:r>
          </w:p>
        </w:tc>
        <w:tc>
          <w:tcPr>
            <w:tcW w:w="120" w:type="dxa"/>
            <w:vAlign w:val="bottom"/>
            <w:shd w:val="clear" w:color="auto" w:fill="CCEEFF"/>
          </w:tcPr>
          <w:p>
            <w:pPr>
              <w:spacing w:after="0"/>
              <w:rPr>
                <w:sz w:val="19"/>
                <w:szCs w:val="19"/>
                <w:color w:val="auto"/>
              </w:rPr>
            </w:pPr>
          </w:p>
        </w:tc>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R&amp;D and administrative</w:t>
            </w: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Leased</w:t>
            </w: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gridSpan w:val="2"/>
          </w:tcPr>
          <w:p>
            <w:pPr>
              <w:ind w:left="20"/>
              <w:spacing w:after="0"/>
              <w:rPr>
                <w:sz w:val="20"/>
                <w:szCs w:val="20"/>
                <w:color w:val="auto"/>
              </w:rPr>
            </w:pPr>
            <w:r>
              <w:rPr>
                <w:rFonts w:ascii="Arial" w:cs="Arial" w:eastAsia="Arial" w:hAnsi="Arial"/>
                <w:sz w:val="16"/>
                <w:szCs w:val="16"/>
                <w:b w:val="1"/>
                <w:bCs w:val="1"/>
                <w:color w:val="auto"/>
              </w:rPr>
              <w:t>Middle East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Israel</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gridSpan w:val="2"/>
          </w:tcPr>
          <w:p>
            <w:pPr>
              <w:ind w:left="660"/>
              <w:spacing w:after="0"/>
              <w:rPr>
                <w:sz w:val="20"/>
                <w:szCs w:val="20"/>
                <w:color w:val="auto"/>
              </w:rPr>
            </w:pPr>
            <w:r>
              <w:rPr>
                <w:rFonts w:ascii="Arial" w:cs="Arial" w:eastAsia="Arial" w:hAnsi="Arial"/>
                <w:sz w:val="16"/>
                <w:szCs w:val="16"/>
                <w:color w:val="auto"/>
              </w:rPr>
              <w:t>Kfar Saba</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spacing w:after="0"/>
              <w:rPr>
                <w:sz w:val="20"/>
                <w:szCs w:val="20"/>
                <w:color w:val="auto"/>
              </w:rPr>
            </w:pPr>
            <w:r>
              <w:rPr>
                <w:rFonts w:ascii="Arial" w:cs="Arial" w:eastAsia="Arial" w:hAnsi="Arial"/>
                <w:sz w:val="16"/>
                <w:szCs w:val="16"/>
                <w:color w:val="auto"/>
              </w:rPr>
              <w:t>167,000</w:t>
            </w:r>
          </w:p>
        </w:tc>
        <w:tc>
          <w:tcPr>
            <w:tcW w:w="1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Tefen</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64,000</w:t>
            </w:r>
          </w:p>
        </w:tc>
        <w:tc>
          <w:tcPr>
            <w:tcW w:w="120" w:type="dxa"/>
            <w:vAlign w:val="bottom"/>
            <w:shd w:val="clear" w:color="auto" w:fill="CCEEFF"/>
          </w:tcPr>
          <w:p>
            <w:pPr>
              <w:spacing w:after="0"/>
              <w:rPr>
                <w:sz w:val="19"/>
                <w:szCs w:val="19"/>
                <w:color w:val="auto"/>
              </w:rPr>
            </w:pPr>
          </w:p>
        </w:tc>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r>
        <w:trPr>
          <w:trHeight w:val="33"/>
        </w:trPr>
        <w:tc>
          <w:tcPr>
            <w:tcW w:w="2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also lease office space in various other locations throughout the world primarily for R&amp;D, sales, operations, administration and technical support. We believe our present facilities are adequate for our current needs, although we upgrade our facilities from time to time to meet anticipated future technological and market requirements. In general, new manufacturing facilities can be developed and become operational within approximately nine to eighteen months should we require such additional facilities.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For a description of our legal proceedings, see Part II, Item 8, Note 16, </w:t>
      </w:r>
      <w:r>
        <w:rPr>
          <w:rFonts w:ascii="Arial" w:cs="Arial" w:eastAsia="Arial" w:hAnsi="Arial"/>
          <w:sz w:val="18"/>
          <w:szCs w:val="18"/>
          <w:i w:val="1"/>
          <w:iCs w:val="1"/>
          <w:color w:val="auto"/>
        </w:rPr>
        <w:t>Legal Proceedings</w:t>
      </w:r>
      <w:r>
        <w:rPr>
          <w:rFonts w:ascii="Arial" w:cs="Arial" w:eastAsia="Arial" w:hAnsi="Arial"/>
          <w:sz w:val="18"/>
          <w:szCs w:val="18"/>
          <w:color w:val="auto"/>
        </w:rPr>
        <w:t>, of the Notes to Consolidated Financial Statements included in this Annual Report on Form 10-K, which is incorporated by reference in response to this item.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common stock is listed on the Nasdaq Global Select Market (“Nasdaq”) under the symbol “WDC.” The approximate number of holders of record of our common stock as of August 19, 2020 was 920.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256"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 xml:space="preserve">We have not repurchased shares of our common stock pursuant to our stock repurchase program since the first quarter of fiscal 2019. For additional information about our share repurchase program see Part II,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 Stock Repurchase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 xml:space="preserve">In April 2020, we suspended our quarterly cash dividend policy. For more information about our dividend policy see Part II, Item 7,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 - Cash Dividends.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following graph compares the cumulative total stockholder return of our common stock with the cumulative total return of the S&amp;P 500 Index and the Dow Jones U.S. Technology Hardware &amp; Equipment Index for the five years ended July 3, 2020. The graph assumes that $100 was invested in our common stock at the close of market on July 2, 2015 and that all dividends were reinvested. Stockholder returns over the indicated period should not be considered indicative of future stockholder returns.</w:t>
      </w:r>
    </w:p>
    <w:p>
      <w:pPr>
        <w:spacing w:after="0" w:line="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TOTAL RETURN TO STOCKHOLDERS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(Assumes $100 investment on July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5715</wp:posOffset>
            </wp:positionV>
            <wp:extent cx="4286250" cy="33007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86250" cy="330073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Return Analysis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2,</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w:t>
            </w:r>
          </w:p>
        </w:tc>
        <w:tc>
          <w:tcPr>
            <w:tcW w:w="16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29,</w:t>
            </w: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4"/>
                <w:szCs w:val="14"/>
                <w:color w:val="auto"/>
              </w:rPr>
            </w:pPr>
          </w:p>
        </w:tc>
        <w:tc>
          <w:tcPr>
            <w:tcW w:w="760" w:type="dxa"/>
            <w:vAlign w:val="bottom"/>
          </w:tcPr>
          <w:p>
            <w:pPr>
              <w:jc w:val="right"/>
              <w:ind w:right="183"/>
              <w:spacing w:after="0"/>
              <w:rPr>
                <w:sz w:val="20"/>
                <w:szCs w:val="20"/>
                <w:color w:val="auto"/>
              </w:rPr>
            </w:pPr>
            <w:r>
              <w:rPr>
                <w:rFonts w:ascii="Arial" w:cs="Arial" w:eastAsia="Arial" w:hAnsi="Arial"/>
                <w:sz w:val="14"/>
                <w:szCs w:val="14"/>
                <w:b w:val="1"/>
                <w:bCs w:val="1"/>
                <w:color w:val="auto"/>
              </w:rPr>
              <w:t>July 3,</w:t>
            </w:r>
          </w:p>
        </w:tc>
      </w:tr>
      <w:tr>
        <w:trPr>
          <w:trHeight w:val="192"/>
        </w:trPr>
        <w:tc>
          <w:tcPr>
            <w:tcW w:w="5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2020</w:t>
            </w:r>
          </w:p>
        </w:tc>
      </w:tr>
      <w:tr>
        <w:trPr>
          <w:trHeight w:val="236"/>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Western Digital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59.58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116.72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104.45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67.05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61.61</w:t>
            </w:r>
          </w:p>
        </w:tc>
      </w:tr>
      <w:tr>
        <w:trPr>
          <w:trHeight w:val="223"/>
        </w:trPr>
        <w:tc>
          <w:tcPr>
            <w:tcW w:w="5040" w:type="dxa"/>
            <w:vAlign w:val="bottom"/>
          </w:tcPr>
          <w:p>
            <w:pPr>
              <w:spacing w:after="0"/>
              <w:rPr>
                <w:sz w:val="20"/>
                <w:szCs w:val="20"/>
                <w:color w:val="auto"/>
              </w:rPr>
            </w:pPr>
            <w:r>
              <w:rPr>
                <w:rFonts w:ascii="Arial" w:cs="Arial" w:eastAsia="Arial" w:hAnsi="Arial"/>
                <w:sz w:val="16"/>
                <w:szCs w:val="16"/>
                <w:color w:val="auto"/>
              </w:rPr>
              <w:t>S&amp;P 500 Index</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103.99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122.60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140.23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154.83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166.45</w:t>
            </w:r>
          </w:p>
        </w:tc>
      </w:tr>
      <w:tr>
        <w:trPr>
          <w:trHeight w:val="3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3"/>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Dow Jones U.S. Technology Hardware &amp; Equipment Index</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169.84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183.12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266.37</w:t>
            </w:r>
          </w:p>
        </w:tc>
      </w:tr>
      <w:tr>
        <w:trPr>
          <w:trHeight w:val="33"/>
        </w:trPr>
        <w:tc>
          <w:tcPr>
            <w:tcW w:w="5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The stock performance graph shall not be deemed soliciting material or to be filed with the SEC or subject to Regulation 14A or 14C under the Securities Exchange Act of 1934 or to the liabilities of Section 18 of the Securities Exchange Act of 1934, nor shall it be incorporated by reference into any past or future filing under the Securities Act of 1933 or the Securities Exchange Act of 1934, except to the extent we specifically request that it be treated as soliciting material or specifically incorporate it by reference into a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56"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This selected consolidated financial data should be read together with the Consolidated Financial Statements and related Notes contained in this Annual Report on Form 10-K, as well as the section of this Annual Report on Form 10-K entitled “Management’s Discussion and Analysis of Financial Condition and Results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20"/>
              <w:spacing w:after="0"/>
              <w:rPr>
                <w:sz w:val="20"/>
                <w:szCs w:val="20"/>
                <w:color w:val="auto"/>
              </w:rPr>
            </w:pPr>
            <w:r>
              <w:rPr>
                <w:rFonts w:ascii="Arial" w:cs="Arial" w:eastAsia="Arial" w:hAnsi="Arial"/>
                <w:sz w:val="14"/>
                <w:szCs w:val="14"/>
                <w:b w:val="1"/>
                <w:bCs w:val="1"/>
                <w:color w:val="auto"/>
              </w:rPr>
              <w:t>July 3,</w:t>
            </w:r>
          </w:p>
        </w:tc>
        <w:tc>
          <w:tcPr>
            <w:tcW w:w="200" w:type="dxa"/>
            <w:vAlign w:val="bottom"/>
          </w:tcPr>
          <w:p>
            <w:pPr>
              <w:spacing w:after="0"/>
              <w:rPr>
                <w:sz w:val="14"/>
                <w:szCs w:val="14"/>
                <w:color w:val="auto"/>
              </w:rPr>
            </w:pPr>
          </w:p>
        </w:tc>
        <w:tc>
          <w:tcPr>
            <w:tcW w:w="1040" w:type="dxa"/>
            <w:vAlign w:val="bottom"/>
          </w:tcPr>
          <w:p>
            <w:pPr>
              <w:jc w:val="right"/>
              <w:ind w:right="280"/>
              <w:spacing w:after="0"/>
              <w:rPr>
                <w:sz w:val="20"/>
                <w:szCs w:val="20"/>
                <w:color w:val="auto"/>
              </w:rPr>
            </w:pPr>
            <w:r>
              <w:rPr>
                <w:rFonts w:ascii="Arial" w:cs="Arial" w:eastAsia="Arial" w:hAnsi="Arial"/>
                <w:sz w:val="14"/>
                <w:szCs w:val="14"/>
                <w:b w:val="1"/>
                <w:bCs w:val="1"/>
                <w:color w:val="auto"/>
              </w:rPr>
              <w:t>June 28,</w:t>
            </w:r>
          </w:p>
        </w:tc>
        <w:tc>
          <w:tcPr>
            <w:tcW w:w="260" w:type="dxa"/>
            <w:vAlign w:val="bottom"/>
          </w:tcPr>
          <w:p>
            <w:pPr>
              <w:spacing w:after="0"/>
              <w:rPr>
                <w:sz w:val="14"/>
                <w:szCs w:val="14"/>
                <w:color w:val="auto"/>
              </w:rPr>
            </w:pPr>
          </w:p>
        </w:tc>
        <w:tc>
          <w:tcPr>
            <w:tcW w:w="94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June 29,</w:t>
            </w:r>
          </w:p>
        </w:tc>
        <w:tc>
          <w:tcPr>
            <w:tcW w:w="280" w:type="dxa"/>
            <w:vAlign w:val="bottom"/>
          </w:tcPr>
          <w:p>
            <w:pPr>
              <w:spacing w:after="0"/>
              <w:rPr>
                <w:sz w:val="14"/>
                <w:szCs w:val="14"/>
                <w:color w:val="auto"/>
              </w:rPr>
            </w:pPr>
          </w:p>
        </w:tc>
        <w:tc>
          <w:tcPr>
            <w:tcW w:w="940" w:type="dxa"/>
            <w:vAlign w:val="bottom"/>
          </w:tcPr>
          <w:p>
            <w:pPr>
              <w:jc w:val="right"/>
              <w:ind w:right="24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900" w:type="dxa"/>
            <w:vAlign w:val="bottom"/>
          </w:tcPr>
          <w:p>
            <w:pPr>
              <w:jc w:val="right"/>
              <w:ind w:right="280"/>
              <w:spacing w:after="0"/>
              <w:rPr>
                <w:sz w:val="20"/>
                <w:szCs w:val="20"/>
                <w:color w:val="auto"/>
              </w:rPr>
            </w:pPr>
            <w:r>
              <w:rPr>
                <w:rFonts w:ascii="Arial" w:cs="Arial" w:eastAsia="Arial" w:hAnsi="Arial"/>
                <w:sz w:val="14"/>
                <w:szCs w:val="14"/>
                <w:b w:val="1"/>
                <w:bCs w:val="1"/>
                <w:color w:val="auto"/>
              </w:rPr>
              <w:t>July 1,</w:t>
            </w:r>
          </w:p>
        </w:tc>
      </w:tr>
      <w:tr>
        <w:trPr>
          <w:trHeight w:val="192"/>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r>
      <w:tr>
        <w:trPr>
          <w:trHeight w:val="223"/>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60" w:type="dxa"/>
            <w:vAlign w:val="bottom"/>
            <w:gridSpan w:val="5"/>
          </w:tcPr>
          <w:p>
            <w:pPr>
              <w:jc w:val="center"/>
              <w:ind w:right="60"/>
              <w:spacing w:after="0"/>
              <w:rPr>
                <w:sz w:val="20"/>
                <w:szCs w:val="20"/>
                <w:color w:val="auto"/>
              </w:rPr>
            </w:pPr>
            <w:r>
              <w:rPr>
                <w:rFonts w:ascii="Arial" w:cs="Arial" w:eastAsia="Arial" w:hAnsi="Arial"/>
                <w:sz w:val="16"/>
                <w:szCs w:val="16"/>
                <w:i w:val="1"/>
                <w:iCs w:val="1"/>
                <w:color w:val="auto"/>
                <w:w w:val="91"/>
              </w:rPr>
              <w:t>(in millions, except per share and employee data)</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16,569</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20,647</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19,093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12,994</w:t>
            </w:r>
          </w:p>
        </w:tc>
      </w:tr>
      <w:tr>
        <w:trPr>
          <w:trHeight w:val="224"/>
        </w:trPr>
        <w:tc>
          <w:tcPr>
            <w:tcW w:w="51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3,781</w:t>
            </w:r>
          </w:p>
        </w:tc>
        <w:tc>
          <w:tcPr>
            <w:tcW w:w="20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3,752</w:t>
            </w:r>
          </w:p>
        </w:tc>
        <w:tc>
          <w:tcPr>
            <w:tcW w:w="26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7,705</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6,072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3,435</w:t>
            </w:r>
          </w:p>
        </w:tc>
      </w:tr>
      <w:tr>
        <w:trPr>
          <w:trHeight w:val="33"/>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(754)</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675</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70"/>
        </w:trPr>
        <w:tc>
          <w:tcPr>
            <w:tcW w:w="5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23"/>
        </w:trPr>
        <w:tc>
          <w:tcPr>
            <w:tcW w:w="5180" w:type="dxa"/>
            <w:vAlign w:val="bottom"/>
          </w:tcPr>
          <w:p>
            <w:pPr>
              <w:ind w:left="12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33"/>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2.00</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70"/>
        </w:trPr>
        <w:tc>
          <w:tcPr>
            <w:tcW w:w="5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Working capital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4,660</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6,182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6,712</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5,635</w:t>
            </w:r>
          </w:p>
        </w:tc>
      </w:tr>
      <w:tr>
        <w:trPr>
          <w:trHeight w:val="223"/>
        </w:trPr>
        <w:tc>
          <w:tcPr>
            <w:tcW w:w="51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25,662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26,370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29,235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29,860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32,862</w:t>
            </w:r>
          </w:p>
        </w:tc>
      </w:tr>
      <w:tr>
        <w:trPr>
          <w:trHeight w:val="33"/>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10,246</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10,993</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12,918</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13,660</w:t>
            </w:r>
          </w:p>
        </w:tc>
      </w:tr>
      <w:tr>
        <w:trPr>
          <w:trHeight w:val="224"/>
        </w:trPr>
        <w:tc>
          <w:tcPr>
            <w:tcW w:w="51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9,551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9,967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11,531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11,418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11,145</w:t>
            </w:r>
          </w:p>
        </w:tc>
      </w:tr>
      <w:tr>
        <w:trPr>
          <w:trHeight w:val="33"/>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319"/>
        </w:trPr>
        <w:tc>
          <w:tcPr>
            <w:tcW w:w="5180" w:type="dxa"/>
            <w:vAlign w:val="bottom"/>
          </w:tcPr>
          <w:p>
            <w:pPr>
              <w:ind w:left="20"/>
              <w:spacing w:after="0"/>
              <w:rPr>
                <w:sz w:val="20"/>
                <w:szCs w:val="20"/>
                <w:color w:val="auto"/>
              </w:rPr>
            </w:pPr>
            <w:r>
              <w:rPr>
                <w:rFonts w:ascii="Arial" w:cs="Arial" w:eastAsia="Arial" w:hAnsi="Arial"/>
                <w:sz w:val="16"/>
                <w:szCs w:val="16"/>
                <w:color w:val="auto"/>
              </w:rPr>
              <w:t xml:space="preserve">Number of employees </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63,800</w:t>
            </w:r>
          </w:p>
        </w:tc>
        <w:tc>
          <w:tcPr>
            <w:tcW w:w="20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61,800</w:t>
            </w:r>
          </w:p>
        </w:tc>
        <w:tc>
          <w:tcPr>
            <w:tcW w:w="26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71,600</w:t>
            </w:r>
          </w:p>
        </w:tc>
        <w:tc>
          <w:tcPr>
            <w:tcW w:w="28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67,600</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968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Excludes temporary employees and contractors.</w:t>
      </w:r>
    </w:p>
    <w:p>
      <w:pPr>
        <w:spacing w:after="0" w:line="229"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Results for Kazan Networks, Inc., Tegile Systems, Inc., Upthere, Inc., and SanDisk Corporation, which were acquired on September 10, 2019, September 15, 2017, August 25, 2017 and May 12, 2016, respectively, are included in our operating results only after their respective dates of acquisition.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Consolidated Financial Statements and the notes thereto included in Part II, Item 8 of this Annual Report on Form 10-K. See also “Forward-Looking Statements” immediately prior to Part I, Item 1 of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We are a leading developer, manufacturer and provider of data storage devices and solutions that address the evolving needs of the information technology (“IT”) industry and the infrastructure that enables the proliferation of data in virtually every other industry. We create environments for data to thrive. We drive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184"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Our broad portfolio of technology and products address the following key end markets: Client Devices; Data Center Devices and Solutions; and Client Solutions. We also generate license and royalty revenue from our extensive intellectual property (“IP”), which is included in each of these three end market categories.</w:t>
      </w:r>
    </w:p>
    <w:p>
      <w:pPr>
        <w:spacing w:after="0" w:line="21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fiscal year ends on the Friday nearest to June 30 and typically consists of 52 weeks. Approximately every five to six years, we report a 53-week fiscal year to align the fiscal year with the foregoing policy. Fiscal year 2020, which ended on July 3, 2020, is comprised of 53 weeks, with the first quarter consisting of 14 weeks and the remaining quarters consisting of 13 weeks each. Fiscal years 2019, which ended on June 28, 2019, and 2018, which ended on June 29, 2018, were each comprised of 52 weeks, with all quarters presented consisting of 13 weeks.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COVID-19 Pandemic</w:t>
      </w:r>
    </w:p>
    <w:p>
      <w:pPr>
        <w:spacing w:after="0" w:line="252"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In March 2020, the World Health Organization declared COVID-19 a pandemic, and the United States declared a national emergency. In the intervening months, COVID-19 has spread globally and led governments and other authorities around the world, including federal, state and local authorities in the United States, to impose measures intended to reduce its spread, including restrictions on freedom of movement and business operations such as travel bans, border closings, business limitations and closures (subject to exceptions for essential operations and businesses), quarantines and shelter-in-place orders.</w:t>
      </w:r>
    </w:p>
    <w:p>
      <w:pPr>
        <w:spacing w:after="0" w:line="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Although some of these governmental restrictions have since been lifted or scaled back, a recent surge of COVID-19 infections has resulted in the re-imposition of certain restrictions and may lead to other restrictions being re-implemented in response to efforts to reduce the spread of COVID-19. These measures may remain in place for a significant amount of time. In light of these events, we have taken actions to protect the health and safety of our employees while continuing to serve our global customers as an essential business. We have implemented more thorough sanitation practices as outlined by health organizations and instituted social distancing policies at our locations around the world, including working from home, limiting the number of employees attending meetings, reducing the number of people in our sites at any one time, and suspending employee travel. These actions have resulted in some reductions of production levels, particularly impacting our manufacture of hard drives, as we adapt to a more limited number of employees in facilities and, as a result, we have incurred charges of approximately $110 million in costs related to under-absorbed overhead and higher logistics and other costs during the year ended July 3, 2020.</w:t>
      </w:r>
    </w:p>
    <w:p>
      <w:pPr>
        <w:spacing w:after="0" w:line="20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an essential business, we continue to provide products and solutions that enable the proliferation of data and facilitate the sharing of information remotely, which has become more critical as much of the world is interacting from areas of self-isolation. While we have experienced some reductions of sales in certain areas such as retail in our Client Solutions end market where brick and mortar operations have been impacted, we have seen strong demand for capacity enterprise products in our Data Center Devices and Solutions end market as the current environment has accelerated the movement to the cloud. As such, our net revenue for the year ended July 3, 2020 was not significantly impacted by COVID-19. We currently expect some softening in Cloud demand as these customers absorb recent capacity expansions, but expect some improvement in retail demand as countries begin to ease their lockdown restrictions and as brick and mortar locations shift more of their operations online. However, we cannot predict the duration of this crisis and how demand may change if it becomes more protracted.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We will continue to actively monitor the situation and may take further actions altering our business operations that we determine are in the best interests of our employees, customers, partners, suppliers, and stakeholders, or as required by federal, state, or local authorities. See “The COVID-19 pandemic could adversely affect our business, results of operations and financial condition”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 for more information regarding the risks we face as a result of the COVID-19 pandemic.</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52"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Through our three business ventures with Kioxia Corporation (“Kioxia”), referred to as “Flash Ventures”, we and Kioxia operate flash-based memory wafer manufacturing facilities in Japan. We are obligated to pay for variable costs incurred in producing our share of Flash Ventures’ flash-based memory wafer supply, based on our three-month forecast, which generally equals 50% of Flash Ventures’ output. In addition, we are obligated to pay for half of Flash Ventures’ fixed costs regardless of the output we choose to purchase. We are also obligated to fund 49.9% to 50% of each Flash Ventures entity’s capital investments to the extent that Flash Ventures entity’s operating cash flow is insufficient to fund these investments.</w:t>
      </w:r>
    </w:p>
    <w:p>
      <w:pPr>
        <w:spacing w:after="0" w:line="18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Since its inception, Flash Ventures’ primary manufacturing site has been located in Yokkaichi, Japan, which currently includes five wafer fabrication facilities. These facilities historically operated near 100% of their manufacturing capacity. As a result of supply/demand imbalance for flash-based products arising in the prior year, we temporarily reduced our utilization of our share of Flash Ventures’ manufacturing capacity to an abnormally low level for several quarters to more closely align our flash-based wafer supply with the projected demand. As a result of this temporary reduction to abnormally low production levels, we incurred $264 million associated with the reduction in utilization, which was recorded as a charge to cost of revenue in the year ended June 28, 2019. In addition, levels at the Yokkaichi site were temporarily reduced as a result of an unexpected power outage incident that occurred in the Yokkaichi region on June 15, 2019. The power outage incident impacted the facilities and process tools and resulted in the damage of flash wafers in production. The incident resulted in a reduction of our flash wafer availability by approximately 4 exabytes, the majority of which was contained in the first quarter of fiscal year 2020. As a result of this power outage incident, we incurred aggregate charges of $68 million and $145 million recorded in Cost of revenue in the years ended July 3, 2020 and June 28, 2019, respectively, which primarily consisted of the write-off of damaged inventory and unabsorbed manufacturing overhead costs. We continue to pursue recovery of our losses associated with this event; however, the total amount of recovery cannot be estimated at this time.</w:t>
      </w:r>
    </w:p>
    <w:p>
      <w:pPr>
        <w:spacing w:after="0" w:line="20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May 2019, we entered into additional agreements with Kioxia to extend Flash Ventures to a new wafer fabrication facility, known as “K1,” located in Kitakami, Japan. The primary purpose of K1 is to provide clean room space to continue the transition of existing flash-based wafer capacity to newer technology nodes. Output from the initial production line at K1 began in the third quarter of fiscal year 2020, although meaningful output from K1 is not expected to begin until the end of calendar 2020. We have paid for most of our share of initial K1 equipment investments and relocation costs. Other period expenses associated with the initial production ramp at K1 will begin trailing off as output increases toward the end of the calendar year. We also agreed to prepay an aggregate of approximately $360 million over a 3-year period beginning in the first half of fiscal year 2020 toward K1 building depreciation, to be credited against future wafer charges. As of July 3, 2020, remaining committed prepayments totaled $206 million.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Exit of Storage Systems Business</w:t>
      </w:r>
    </w:p>
    <w:p>
      <w:pPr>
        <w:spacing w:after="0" w:line="252"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In September 2019, we announced our intention to exit Storage Systems, which consisted of IntelliFlash and ActiveScale. These actions allow us to redirect investments to other higher value priorities. In November 2019, we completed the sale of IntelliFlash for a price of $28 million, to be collected over the next three years. The sale of our IntelliFlash business included an immaterial amount of inventory, other tangible and intangible assets, and goodwill and resulted in a gain of approximately $17 million recorded in Employee termination, asset impairment, and other charges in the Consolidated Statements of Operations for the year ended July 3, 2020. Additionally, in March 2020, we completed the sale of ActiveScale. The net assets sold and the proceeds from the sale of ActiveScale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Summary Comparison of 2020, 2019 and 2018</w:t>
      </w:r>
    </w:p>
    <w:p>
      <w:pPr>
        <w:spacing w:after="0" w:line="252"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following table sets forth, for the periods presented, selected summary information from our Consolidated Statements of Operations by dollars and percentage of net revenue</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90"/>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4"/>
          </w:tcPr>
          <w:p>
            <w:pPr>
              <w:jc w:val="center"/>
              <w:ind w:right="139"/>
              <w:spacing w:after="0"/>
              <w:rPr>
                <w:sz w:val="20"/>
                <w:szCs w:val="20"/>
                <w:color w:val="auto"/>
              </w:rPr>
            </w:pPr>
            <w:r>
              <w:rPr>
                <w:rFonts w:ascii="Arial" w:cs="Arial" w:eastAsia="Arial" w:hAnsi="Arial"/>
                <w:sz w:val="14"/>
                <w:szCs w:val="14"/>
                <w:i w:val="1"/>
                <w:iCs w:val="1"/>
                <w:color w:val="auto"/>
                <w:w w:val="92"/>
              </w:rPr>
              <w:t>(in millions, except percentages)</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16,736</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16,569</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20,647</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4"/>
        </w:trPr>
        <w:tc>
          <w:tcPr>
            <w:tcW w:w="44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12,955</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12,817</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12,942</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62.7</w:t>
            </w:r>
          </w:p>
        </w:tc>
        <w:tc>
          <w:tcPr>
            <w:tcW w:w="160" w:type="dxa"/>
            <w:vAlign w:val="bottom"/>
          </w:tcPr>
          <w:p>
            <w:pPr>
              <w:spacing w:after="0"/>
              <w:rPr>
                <w:sz w:val="19"/>
                <w:szCs w:val="19"/>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3,781</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7,705</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04"/>
        </w:trPr>
        <w:tc>
          <w:tcPr>
            <w:tcW w:w="44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3"/>
        </w:trPr>
        <w:tc>
          <w:tcPr>
            <w:tcW w:w="4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4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2,182</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442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1,153</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1,317</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1,473</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9"/>
                <w:szCs w:val="19"/>
                <w:color w:val="auto"/>
              </w:rPr>
            </w:pPr>
          </w:p>
        </w:tc>
      </w:tr>
      <w:tr>
        <w:trPr>
          <w:trHeight w:val="33"/>
        </w:trPr>
        <w:tc>
          <w:tcPr>
            <w:tcW w:w="4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4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Employee termination, asset impairment, and other charges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3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3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7"/>
        </w:trPr>
        <w:tc>
          <w:tcPr>
            <w:tcW w:w="442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3,446</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20.6</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3,665</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22.1</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4,088</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19.8</w:t>
            </w:r>
          </w:p>
        </w:tc>
        <w:tc>
          <w:tcPr>
            <w:tcW w:w="160" w:type="dxa"/>
            <w:vAlign w:val="bottom"/>
          </w:tcPr>
          <w:p>
            <w:pPr>
              <w:spacing w:after="0"/>
              <w:rPr>
                <w:sz w:val="18"/>
                <w:szCs w:val="18"/>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442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3"/>
        </w:trPr>
        <w:tc>
          <w:tcPr>
            <w:tcW w:w="4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4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442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(413)</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(469)</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(676)</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9"/>
                <w:szCs w:val="19"/>
                <w:color w:val="auto"/>
              </w:rPr>
            </w:pPr>
          </w:p>
        </w:tc>
      </w:tr>
      <w:tr>
        <w:trPr>
          <w:trHeight w:val="33"/>
        </w:trPr>
        <w:tc>
          <w:tcPr>
            <w:tcW w:w="4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6"/>
        </w:trPr>
        <w:tc>
          <w:tcPr>
            <w:tcW w:w="4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3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7"/>
        </w:trPr>
        <w:tc>
          <w:tcPr>
            <w:tcW w:w="4420" w:type="dxa"/>
            <w:vAlign w:val="bottom"/>
          </w:tcPr>
          <w:p>
            <w:pPr>
              <w:ind w:left="220"/>
              <w:spacing w:after="0"/>
              <w:rPr>
                <w:sz w:val="20"/>
                <w:szCs w:val="20"/>
                <w:color w:val="auto"/>
              </w:rPr>
            </w:pPr>
            <w:r>
              <w:rPr>
                <w:rFonts w:ascii="Arial" w:cs="Arial" w:eastAsia="Arial" w:hAnsi="Arial"/>
                <w:sz w:val="16"/>
                <w:szCs w:val="16"/>
                <w:color w:val="auto"/>
              </w:rPr>
              <w:t>Total interest and other expense, net</w:t>
            </w: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(1,532)</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18"/>
                <w:szCs w:val="18"/>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467</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1,410</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9"/>
                <w:szCs w:val="19"/>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(1.5)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(4.6) %</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83"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for the periods presented, summary information regarding our revenue</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r>
      <w:tr>
        <w:trPr>
          <w:trHeight w:val="196"/>
        </w:trPr>
        <w:tc>
          <w:tcPr>
            <w:tcW w:w="6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8"/>
              </w:rPr>
              <w:t>(in millions)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Product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4"/>
        </w:trPr>
        <w:tc>
          <w:tcPr>
            <w:tcW w:w="6520" w:type="dxa"/>
            <w:vAlign w:val="bottom"/>
          </w:tcPr>
          <w:p>
            <w:pPr>
              <w:ind w:left="120"/>
              <w:spacing w:after="0"/>
              <w:rPr>
                <w:sz w:val="20"/>
                <w:szCs w:val="20"/>
                <w:color w:val="auto"/>
              </w:rPr>
            </w:pPr>
            <w:r>
              <w:rPr>
                <w:rFonts w:ascii="Arial" w:cs="Arial" w:eastAsia="Arial" w:hAnsi="Arial"/>
                <w:sz w:val="16"/>
                <w:szCs w:val="16"/>
                <w:color w:val="auto"/>
              </w:rPr>
              <w:t>Hard disk drives (“HDD”)</w:t>
            </w:r>
          </w:p>
        </w:tc>
        <w:tc>
          <w:tcPr>
            <w:tcW w:w="940" w:type="dxa"/>
            <w:vAlign w:val="bottom"/>
          </w:tcPr>
          <w:p>
            <w:pPr>
              <w:jc w:val="right"/>
              <w:ind w:right="76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8,967</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8,746</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10,698</w:t>
            </w:r>
          </w:p>
        </w:tc>
      </w:tr>
      <w:tr>
        <w:trPr>
          <w:trHeight w:val="33"/>
        </w:trPr>
        <w:tc>
          <w:tcPr>
            <w:tcW w:w="6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Flash-based</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7,823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9,949</w:t>
            </w:r>
          </w:p>
        </w:tc>
      </w:tr>
      <w:tr>
        <w:trPr>
          <w:trHeight w:val="217"/>
        </w:trPr>
        <w:tc>
          <w:tcPr>
            <w:tcW w:w="652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940" w:type="dxa"/>
            <w:vAlign w:val="bottom"/>
            <w:tcBorders>
              <w:top w:val="single" w:sz="8" w:color="auto"/>
            </w:tcBorders>
          </w:tcPr>
          <w:p>
            <w:pPr>
              <w:jc w:val="right"/>
              <w:ind w:right="76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16,736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16,569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20,647</w:t>
            </w:r>
          </w:p>
        </w:tc>
      </w:tr>
      <w:tr>
        <w:trPr>
          <w:trHeight w:val="33"/>
        </w:trPr>
        <w:tc>
          <w:tcPr>
            <w:tcW w:w="65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4"/>
        </w:trPr>
        <w:tc>
          <w:tcPr>
            <w:tcW w:w="6520" w:type="dxa"/>
            <w:vAlign w:val="bottom"/>
          </w:tcPr>
          <w:p>
            <w:pPr>
              <w:ind w:left="20"/>
              <w:spacing w:after="0"/>
              <w:rPr>
                <w:sz w:val="20"/>
                <w:szCs w:val="20"/>
                <w:color w:val="auto"/>
              </w:rPr>
            </w:pPr>
            <w:r>
              <w:rPr>
                <w:rFonts w:ascii="Arial" w:cs="Arial" w:eastAsia="Arial" w:hAnsi="Arial"/>
                <w:sz w:val="16"/>
                <w:szCs w:val="16"/>
                <w:color w:val="auto"/>
              </w:rPr>
              <w:t>Revenue by End Market</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6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Client Devices</w:t>
            </w:r>
          </w:p>
        </w:tc>
        <w:tc>
          <w:tcPr>
            <w:tcW w:w="940" w:type="dxa"/>
            <w:vAlign w:val="bottom"/>
            <w:tcBorders>
              <w:bottom w:val="single" w:sz="8" w:color="CCEEFF"/>
            </w:tcBorders>
            <w:shd w:val="clear" w:color="auto" w:fill="CCEEFF"/>
          </w:tcPr>
          <w:p>
            <w:pPr>
              <w:jc w:val="right"/>
              <w:ind w:right="76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8,095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10,108</w:t>
            </w:r>
          </w:p>
        </w:tc>
      </w:tr>
      <w:tr>
        <w:trPr>
          <w:trHeight w:val="223"/>
        </w:trPr>
        <w:tc>
          <w:tcPr>
            <w:tcW w:w="6520" w:type="dxa"/>
            <w:vAlign w:val="bottom"/>
          </w:tcPr>
          <w:p>
            <w:pPr>
              <w:ind w:left="120"/>
              <w:spacing w:after="0"/>
              <w:rPr>
                <w:sz w:val="20"/>
                <w:szCs w:val="20"/>
                <w:color w:val="auto"/>
              </w:rPr>
            </w:pPr>
            <w:r>
              <w:rPr>
                <w:rFonts w:ascii="Arial" w:cs="Arial" w:eastAsia="Arial" w:hAnsi="Arial"/>
                <w:sz w:val="16"/>
                <w:szCs w:val="16"/>
                <w:color w:val="auto"/>
              </w:rPr>
              <w:t>Data Center Devices &amp; Solutions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5,038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6,075</w:t>
            </w:r>
          </w:p>
        </w:tc>
      </w:tr>
      <w:tr>
        <w:trPr>
          <w:trHeight w:val="33"/>
        </w:trPr>
        <w:tc>
          <w:tcPr>
            <w:tcW w:w="6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Client Solutions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4,464</w:t>
            </w:r>
          </w:p>
        </w:tc>
      </w:tr>
      <w:tr>
        <w:trPr>
          <w:trHeight w:val="247"/>
        </w:trPr>
        <w:tc>
          <w:tcPr>
            <w:tcW w:w="652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94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16,736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16,569</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20,647</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7"/>
        </w:trPr>
        <w:tc>
          <w:tcPr>
            <w:tcW w:w="6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4"/>
        </w:trPr>
        <w:tc>
          <w:tcPr>
            <w:tcW w:w="6520" w:type="dxa"/>
            <w:vAlign w:val="bottom"/>
          </w:tcPr>
          <w:p>
            <w:pPr>
              <w:ind w:left="20"/>
              <w:spacing w:after="0"/>
              <w:rPr>
                <w:sz w:val="20"/>
                <w:szCs w:val="20"/>
                <w:color w:val="auto"/>
              </w:rPr>
            </w:pPr>
            <w:r>
              <w:rPr>
                <w:rFonts w:ascii="Arial" w:cs="Arial" w:eastAsia="Arial" w:hAnsi="Arial"/>
                <w:sz w:val="16"/>
                <w:szCs w:val="16"/>
                <w:color w:val="auto"/>
              </w:rPr>
              <w:t>Revenue by Geography</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6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940" w:type="dxa"/>
            <w:vAlign w:val="bottom"/>
            <w:tcBorders>
              <w:bottom w:val="single" w:sz="8" w:color="CCEEFF"/>
            </w:tcBorders>
            <w:shd w:val="clear" w:color="auto" w:fill="CCEEFF"/>
          </w:tcPr>
          <w:p>
            <w:pPr>
              <w:jc w:val="right"/>
              <w:ind w:right="76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4,361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5,622</w:t>
            </w:r>
          </w:p>
        </w:tc>
      </w:tr>
      <w:tr>
        <w:trPr>
          <w:trHeight w:val="224"/>
        </w:trPr>
        <w:tc>
          <w:tcPr>
            <w:tcW w:w="6520" w:type="dxa"/>
            <w:vAlign w:val="bottom"/>
          </w:tcPr>
          <w:p>
            <w:pPr>
              <w:ind w:left="120"/>
              <w:spacing w:after="0"/>
              <w:rPr>
                <w:sz w:val="20"/>
                <w:szCs w:val="20"/>
                <w:color w:val="auto"/>
              </w:rPr>
            </w:pPr>
            <w:r>
              <w:rPr>
                <w:rFonts w:ascii="Arial" w:cs="Arial" w:eastAsia="Arial" w:hAnsi="Arial"/>
                <w:sz w:val="16"/>
                <w:szCs w:val="16"/>
                <w:color w:val="auto"/>
              </w:rPr>
              <w:t>Europe, Middle East and Africa</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3,109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3,858</w:t>
            </w:r>
          </w:p>
        </w:tc>
      </w:tr>
      <w:tr>
        <w:trPr>
          <w:trHeight w:val="33"/>
        </w:trPr>
        <w:tc>
          <w:tcPr>
            <w:tcW w:w="6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9,099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11,167</w:t>
            </w:r>
          </w:p>
        </w:tc>
      </w:tr>
      <w:tr>
        <w:trPr>
          <w:trHeight w:val="217"/>
        </w:trPr>
        <w:tc>
          <w:tcPr>
            <w:tcW w:w="652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940" w:type="dxa"/>
            <w:vAlign w:val="bottom"/>
            <w:tcBorders>
              <w:top w:val="single" w:sz="8" w:color="auto"/>
            </w:tcBorders>
          </w:tcPr>
          <w:p>
            <w:pPr>
              <w:jc w:val="right"/>
              <w:ind w:right="76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16,736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16,569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20,647</w:t>
            </w:r>
          </w:p>
        </w:tc>
      </w:tr>
      <w:tr>
        <w:trPr>
          <w:trHeight w:val="33"/>
        </w:trPr>
        <w:tc>
          <w:tcPr>
            <w:tcW w:w="65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Exabytes Shipped</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33"/>
        </w:trPr>
        <w:tc>
          <w:tcPr>
            <w:tcW w:w="6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141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80" w:firstLine="8"/>
        <w:spacing w:after="0" w:line="286" w:lineRule="auto"/>
        <w:tabs>
          <w:tab w:leader="none" w:pos="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Revenue for 2020 and 2019 are presented in accordance with Accounting Standards Codification (“ASC”) Topic 606. Revenue for 2018 is presented in accordance with ASC Topic 605. For information related to our transition from Topic 605 to Topic 606, see Part II, Item 8, Note 1, </w:t>
      </w:r>
      <w:r>
        <w:rPr>
          <w:rFonts w:ascii="Arial" w:cs="Arial" w:eastAsia="Arial" w:hAnsi="Arial"/>
          <w:sz w:val="17"/>
          <w:szCs w:val="17"/>
          <w:i w:val="1"/>
          <w:iCs w:val="1"/>
          <w:color w:val="auto"/>
        </w:rPr>
        <w:t>Organization and Basis</w:t>
      </w:r>
      <w:r>
        <w:rPr>
          <w:rFonts w:ascii="Arial" w:cs="Arial" w:eastAsia="Arial" w:hAnsi="Arial"/>
          <w:sz w:val="17"/>
          <w:szCs w:val="17"/>
          <w:color w:val="auto"/>
        </w:rPr>
        <w:t xml:space="preserve"> </w:t>
      </w:r>
      <w:r>
        <w:rPr>
          <w:rFonts w:ascii="Arial" w:cs="Arial" w:eastAsia="Arial" w:hAnsi="Arial"/>
          <w:sz w:val="17"/>
          <w:szCs w:val="17"/>
          <w:i w:val="1"/>
          <w:iCs w:val="1"/>
          <w:color w:val="auto"/>
        </w:rPr>
        <w:t>of Presentation</w:t>
      </w:r>
      <w:r>
        <w:rPr>
          <w:rFonts w:ascii="Arial" w:cs="Arial" w:eastAsia="Arial" w:hAnsi="Arial"/>
          <w:sz w:val="17"/>
          <w:szCs w:val="17"/>
          <w:color w:val="auto"/>
        </w:rPr>
        <w:t>, of the Notes to Consolidated Financial Statements included in this Annual Report on Form 10-K.</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Revenue</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Net revenue was relatively flat in 2020 compared to 2019. Higher volumes of memory generated approximately 30 percentage points of exabyte growth year over year, split relatively evenly between HDD and Flash products, which was largely offset by lower average selling prices. Our revenue for Data Center Devices and Solutions increased 24% year over year, reflecting approximately 46 percentage points of growth in exabytes of storage, primarily driven by strength in capacity enterprise HDD and Flash, which we believe reflects an acceleration in the movement to cloud driven by remote working conditions as a result of COVID-19. This growth was partially offset by lower average selling prices. Client Devices revenue declined 12% year over year, which primarily reflects lower average selling prices in HDD and mobility products. Client Solutions revenue declined 3% year over year, which reflects a decline of approximately 12 percentage points due to lower average selling prices, primarily on retail products, partially offset by an increase in volume of Flash products.</w:t>
      </w:r>
    </w:p>
    <w:p>
      <w:pPr>
        <w:spacing w:after="0" w:line="219"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The changes in net revenue by geography reflect a decrease in Asia in 2020 primarily driven by our decision to limit our participation in the mobile market and our exit from multi-chip package solutions sales, resulting in lower sales to manufacturers in the Asia region, and a slight increase in the Americas driven by increased sales of capacity enterprise HDD.</w:t>
      </w:r>
    </w:p>
    <w:p>
      <w:pPr>
        <w:spacing w:after="0" w:line="21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2020, 2019 and 2018, our top 10 customers accounted for 42%, 45% and 42%, respectively, of our net revenue. For each of 2020, 2019 and 2018, no single customer accounted for 10% or more of our net revenue.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For 2020, 2019 and 2018, these programs represented 16%, 15% and 12%, respectively, of gross revenues, and adjustments to revenue due to changes in accruals for these programs have generally averaged less than 1% of gross revenue over the last three fiscal years.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Profit and Gross Margin</w:t>
      </w:r>
    </w:p>
    <w:p>
      <w:pPr>
        <w:spacing w:after="0" w:line="25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Gross profit and gross margin for 2020 were relatively flat compared to 2019, which reflected lower aggregate charges for amortization expense on acquired intangible assets, manufacturing underutilization charges, and charges related to the power outage incident, which aggregated $678 million for 2020 compared to $1.2 billion for 2019. These lower costs were offset by the impact of lower average selling prices, as noted above; the impact of COVID-related costs; and higher per-unit overhead costs in HDD as we ramp up production on our new 18-terabyte drives. We expect gross margins to be constrained in the near term as we continue to ramp up production on our new drives and continue to incur COVID-related costs.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Research and development (“R&amp;D”) expense increased $79 million in 2020 compared to 2019 primarily due to approximately $30 million of additional expense related to the additional week in the current year and increased variable compensation, partially offset by savings from our exit from the storage systems business and lower outside services and travel and entertainment (“T&amp;E”) spending.</w:t>
      </w:r>
    </w:p>
    <w:p>
      <w:pPr>
        <w:spacing w:after="0" w:line="21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Selling, general and administrative (“SG&amp;A”) expense decreased $164 million in 2020 compared to 2019 primarily due to savings realized from our exit from the storage systems business, lower outside services and T&amp;E spending, partially offset by approximately $10 million of additional expense related to the additional week in the current year and increased variable compensation.</w:t>
      </w:r>
    </w:p>
    <w:p>
      <w:pPr>
        <w:spacing w:after="0" w:line="21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 xml:space="preserve">Employee termination, asset impairment and other charges decreased from the prior year as many of the actions initiated in the prior year have been substantially completed. For additional information regarding employee termination, asset impairment and other charges, see Part II, Item 8, Note 15, </w:t>
      </w:r>
      <w:r>
        <w:rPr>
          <w:rFonts w:ascii="Arial" w:cs="Arial" w:eastAsia="Arial" w:hAnsi="Arial"/>
          <w:sz w:val="18"/>
          <w:szCs w:val="18"/>
          <w:i w:val="1"/>
          <w:iCs w:val="1"/>
          <w:color w:val="auto"/>
        </w:rPr>
        <w:t>Employee Termination, Asset Impairment and Other Charges</w:t>
      </w:r>
      <w:r>
        <w:rPr>
          <w:rFonts w:ascii="Arial" w:cs="Arial" w:eastAsia="Arial" w:hAnsi="Arial"/>
          <w:sz w:val="18"/>
          <w:szCs w:val="18"/>
          <w:color w:val="auto"/>
        </w:rPr>
        <w:t>, of the Notes to Consolidated Financial Statements included in this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 (Expense)</w:t>
      </w:r>
    </w:p>
    <w:p>
      <w:pPr>
        <w:spacing w:after="0" w:line="252"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decreases in total interest and other expense, net in 2020 compared to 2019 primarily reflect decreases in interest expense resulting from the pay-down of principal on our debt and lower index rates, partially offset by decreases in Interest income resulting from lower invested cash and lower rates of return, as well as lower gains on foreign currency transactions.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income tax information from our Consolidated Statements of Operations by dollar and effective tax rate: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r>
      <w:tr>
        <w:trPr>
          <w:trHeight w:val="223"/>
        </w:trPr>
        <w:tc>
          <w:tcPr>
            <w:tcW w:w="6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80" w:type="dxa"/>
            <w:vAlign w:val="bottom"/>
            <w:gridSpan w:val="3"/>
          </w:tcPr>
          <w:p>
            <w:pPr>
              <w:jc w:val="center"/>
              <w:ind w:right="159"/>
              <w:spacing w:after="0"/>
              <w:rPr>
                <w:sz w:val="20"/>
                <w:szCs w:val="20"/>
                <w:color w:val="auto"/>
              </w:rPr>
            </w:pPr>
            <w:r>
              <w:rPr>
                <w:rFonts w:ascii="Arial" w:cs="Arial" w:eastAsia="Arial" w:hAnsi="Arial"/>
                <w:sz w:val="16"/>
                <w:szCs w:val="16"/>
                <w:i w:val="1"/>
                <w:iCs w:val="1"/>
                <w:color w:val="auto"/>
                <w:w w:val="91"/>
              </w:rPr>
              <w:t>(in millions, except percentages)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6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1000" w:type="dxa"/>
            <w:vAlign w:val="bottom"/>
            <w:tcBorders>
              <w:bottom w:val="single" w:sz="8" w:color="CCEEFF"/>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6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(287)</w:t>
            </w:r>
          </w:p>
        </w:tc>
        <w:tc>
          <w:tcPr>
            <w:tcW w:w="4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62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204</w:t>
            </w:r>
          </w:p>
        </w:tc>
        <w:tc>
          <w:tcPr>
            <w:tcW w:w="640" w:type="dxa"/>
            <w:vAlign w:val="bottom"/>
          </w:tcPr>
          <w:p>
            <w:pPr>
              <w:spacing w:after="0"/>
              <w:rPr>
                <w:sz w:val="19"/>
                <w:szCs w:val="19"/>
                <w:color w:val="auto"/>
              </w:rPr>
            </w:pPr>
          </w:p>
        </w:tc>
        <w:tc>
          <w:tcPr>
            <w:tcW w:w="1280" w:type="dxa"/>
            <w:vAlign w:val="bottom"/>
          </w:tcPr>
          <w:p>
            <w:pPr>
              <w:jc w:val="right"/>
              <w:ind w:right="201"/>
              <w:spacing w:after="0"/>
              <w:rPr>
                <w:sz w:val="20"/>
                <w:szCs w:val="20"/>
                <w:color w:val="auto"/>
              </w:rPr>
            </w:pPr>
            <w:r>
              <w:rPr>
                <w:rFonts w:ascii="Arial" w:cs="Arial" w:eastAsia="Arial" w:hAnsi="Arial"/>
                <w:sz w:val="16"/>
                <w:szCs w:val="16"/>
                <w:color w:val="auto"/>
              </w:rPr>
              <w:t>467</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1,410</w:t>
            </w:r>
          </w:p>
        </w:tc>
        <w:tc>
          <w:tcPr>
            <w:tcW w:w="180" w:type="dxa"/>
            <w:vAlign w:val="bottom"/>
          </w:tcPr>
          <w:p>
            <w:pPr>
              <w:spacing w:after="0"/>
              <w:rPr>
                <w:sz w:val="19"/>
                <w:szCs w:val="19"/>
                <w:color w:val="auto"/>
              </w:rPr>
            </w:pPr>
          </w:p>
        </w:tc>
      </w:tr>
      <w:tr>
        <w:trPr>
          <w:trHeight w:val="33"/>
        </w:trPr>
        <w:tc>
          <w:tcPr>
            <w:tcW w:w="6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0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w w:val="96"/>
              </w:rPr>
              <w:t>(443) %</w:t>
            </w:r>
          </w:p>
        </w:tc>
        <w:tc>
          <w:tcPr>
            <w:tcW w:w="1280" w:type="dxa"/>
            <w:vAlign w:val="bottom"/>
            <w:shd w:val="clear" w:color="auto" w:fill="CCEEFF"/>
          </w:tcPr>
          <w:p>
            <w:pPr>
              <w:ind w:left="700"/>
              <w:spacing w:after="0"/>
              <w:rPr>
                <w:sz w:val="20"/>
                <w:szCs w:val="20"/>
                <w:color w:val="auto"/>
              </w:rPr>
            </w:pPr>
            <w:r>
              <w:rPr>
                <w:rFonts w:ascii="Arial" w:cs="Arial" w:eastAsia="Arial" w:hAnsi="Arial"/>
                <w:sz w:val="16"/>
                <w:szCs w:val="16"/>
                <w:color w:val="auto"/>
                <w:w w:val="99"/>
              </w:rPr>
              <w:t>(163) %</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6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Internal Revenue Service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21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primary drivers of the difference between the effective tax rate for 2020 and the U.S. Federal statutory rate of 21% are the relative mix of earnings and losses by jurisdiction, the deduction for foreign derived intangible income, credits and tax holidays in Malaysia, Philippines and Thailand that will expire at various dates during fiscal years 2021 through 2030. In addition, the effective tax rate for 2020 includes the discrete effect of a de-recognition of $31 million for certain deferred tax assets associated with creditable foreign withholding taxes due to the issuance of final regulatory guidance. The regulatory guidance does not preclude us from potentially claiming these creditable taxes as a period benefit when paid.</w:t>
      </w:r>
    </w:p>
    <w:p>
      <w:pPr>
        <w:spacing w:after="0" w:line="2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primary driver of the difference between the effective tax rate for the year ended June 28, 2019 and the U.S. Federal statutory rate of 21% is the discrete effect of the finalization of the accounting for the tax effects of the enactment of the 2017 Act. These discrete effects consist of $119 million related to the mandatory deemed repatriation tax and $189 million related to the decision to change our indefinite reinvestment assertion. The remaining difference is attributable primarily to a change in the estimated effective tax rate due to changes in the relative mix of earnings by jurisdiction, partially offset by credits and tax holidays.</w:t>
      </w:r>
    </w:p>
    <w:p>
      <w:pPr>
        <w:spacing w:after="0" w:line="215" w:lineRule="exact"/>
        <w:rPr>
          <w:sz w:val="20"/>
          <w:szCs w:val="20"/>
          <w:color w:val="auto"/>
        </w:rPr>
      </w:pPr>
    </w:p>
    <w:p>
      <w:pPr>
        <w:ind w:right="980" w:firstLine="324"/>
        <w:spacing w:after="0" w:line="342" w:lineRule="auto"/>
        <w:rPr>
          <w:sz w:val="20"/>
          <w:szCs w:val="20"/>
          <w:color w:val="auto"/>
        </w:rPr>
      </w:pPr>
      <w:r>
        <w:rPr>
          <w:rFonts w:ascii="Arial" w:cs="Arial" w:eastAsia="Arial" w:hAnsi="Arial"/>
          <w:sz w:val="16"/>
          <w:szCs w:val="16"/>
          <w:color w:val="auto"/>
        </w:rPr>
        <w:t>Our future effective tax rate is subject to future regulatory developments and changes in the mix of our U.S. earnings compared to foreign earnings. Our total tax expense in future fiscal years may also vary as a result of discrete items such as excess tax benefits or deficiencies.</w:t>
      </w:r>
    </w:p>
    <w:p>
      <w:pPr>
        <w:spacing w:after="0" w:line="15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 xml:space="preserve">For additional information regarding Income tax expense (benefit), see Part II, Item 8,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Consolidated Financial Statements included in this Annual Report on Form 10-K.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discussion of our results of operations for 2018, including a comparison of such results of operations to 2019, is included in Part II, Item 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28, 2019 filed with the Securities and Exchange Commission on August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6"/>
        </w:trPr>
        <w:tc>
          <w:tcPr>
            <w:tcW w:w="6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3"/>
        </w:trPr>
        <w:tc>
          <w:tcPr>
            <w:tcW w:w="6700" w:type="dxa"/>
            <w:vAlign w:val="bottom"/>
          </w:tcPr>
          <w:p>
            <w:pPr>
              <w:ind w:left="120"/>
              <w:spacing w:after="0"/>
              <w:rPr>
                <w:sz w:val="20"/>
                <w:szCs w:val="20"/>
                <w:color w:val="auto"/>
              </w:rPr>
            </w:pPr>
            <w:r>
              <w:rPr>
                <w:rFonts w:ascii="Arial" w:cs="Arial" w:eastAsia="Arial" w:hAnsi="Arial"/>
                <w:sz w:val="16"/>
                <w:szCs w:val="16"/>
                <w:color w:val="auto"/>
              </w:rPr>
              <w:t>Operating activities</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1,547</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4,205</w:t>
            </w:r>
          </w:p>
        </w:tc>
      </w:tr>
      <w:tr>
        <w:trPr>
          <w:trHeight w:val="33"/>
        </w:trPr>
        <w:tc>
          <w:tcPr>
            <w:tcW w:w="6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Investing activities</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r>
      <w:tr>
        <w:trPr>
          <w:trHeight w:val="224"/>
        </w:trPr>
        <w:tc>
          <w:tcPr>
            <w:tcW w:w="6700" w:type="dxa"/>
            <w:vAlign w:val="bottom"/>
          </w:tcPr>
          <w:p>
            <w:pPr>
              <w:ind w:left="120"/>
              <w:spacing w:after="0"/>
              <w:rPr>
                <w:sz w:val="20"/>
                <w:szCs w:val="20"/>
                <w:color w:val="auto"/>
              </w:rPr>
            </w:pPr>
            <w:r>
              <w:rPr>
                <w:rFonts w:ascii="Arial" w:cs="Arial" w:eastAsia="Arial" w:hAnsi="Arial"/>
                <w:sz w:val="16"/>
                <w:szCs w:val="16"/>
                <w:color w:val="auto"/>
              </w:rPr>
              <w:t>Financing activities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(1,508)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(3,900)</w:t>
            </w:r>
          </w:p>
        </w:tc>
      </w:tr>
      <w:tr>
        <w:trPr>
          <w:trHeight w:val="33"/>
        </w:trPr>
        <w:tc>
          <w:tcPr>
            <w:tcW w:w="6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Effect of exchange rate changes on cash</w:t>
            </w: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r>
      <w:tr>
        <w:trPr>
          <w:trHeight w:val="247"/>
        </w:trPr>
        <w:tc>
          <w:tcPr>
            <w:tcW w:w="670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880" w:type="dxa"/>
            <w:vAlign w:val="bottom"/>
            <w:tcBorders>
              <w:top w:val="single" w:sz="8" w:color="auto"/>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(1,550)</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(1,349)</w:t>
            </w:r>
          </w:p>
        </w:tc>
      </w:tr>
      <w:tr>
        <w:trPr>
          <w:trHeight w:val="23"/>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 xml:space="preserve">We believe our cash, cash equivalents and cash generated from operations as well as our available credit facilities will be sufficient to meet our working capital, debt and capital expenditure needs for at least the next twelve months. Our ability to sustain our working capital position is subject to a number of risks that we discuss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Annual Report on Form 10-K.</w:t>
      </w:r>
    </w:p>
    <w:p>
      <w:pPr>
        <w:spacing w:after="0" w:line="211"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During fiscal 2021, we expect expenditures for property, plant and equipment for our company plus our portion of the capital expenditures by our Flash Ventures joint venture with Kioxia for its operations to aggregate approximately $3.1 billion. After consideration of the Flash Ventures’ lease financing of its capital expenditures and net operating cash flow, we expect net cash used for our purchases of property, plant and equipment and net activity in notes receivable relating to Flash Ventures to be a cash outflow of approximately $1.3 billion during fiscal 2021. The total expected cash to be used could vary depending on the timing and completion of various capital projects and the availability, timing and terms of related financing</w:t>
      </w:r>
      <w:r>
        <w:rPr>
          <w:rFonts w:ascii="Arial" w:cs="Arial" w:eastAsia="Arial" w:hAnsi="Arial"/>
          <w:sz w:val="16"/>
          <w:szCs w:val="16"/>
          <w:color w:val="7030A0"/>
        </w:rPr>
        <w:t>.</w:t>
      </w:r>
    </w:p>
    <w:p>
      <w:pPr>
        <w:spacing w:after="0" w:line="188"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During fiscal 2019, we made the determination that it was our intention to repatriate all of our foreign undistributed earnings as a result of the 2017 Act, except a portion of our foreign undistributed earnings, which could result in additional federal taxes based on interpretive guidance issued by the IRS. After consideration of this interpretative guidance affecting the taxation of a certain portion of our foreign undistributed earnings, we made the determination that we do not intend to repatriate this portion of our foreign undistributed earnings and did not establish an accrual for this liability of $1.25 billion.</w:t>
      </w:r>
    </w:p>
    <w:p>
      <w:pPr>
        <w:spacing w:after="0" w:line="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 total of $2.12 billion and $2.37 billion of our Cash and cash equivalents was held outside of the U.S. as of July 3, 2020 and June 28, 2019, respectively. As a result of the change in our permanent reinvestment assertion, there are no material tax consequences that were not previously accrued for on the repatriation of this cash.</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Cash flow from operating activities primarily consists of net income, adjusted for non-cash charges, plus or minus changes in operating assets and liabilities. This represents our principal source of cash. Net cash used for changes in operating assets and liabilities was $757 million for 2020, as compared to $260 million net cash used for changes in operating assets and liabilities for 2019.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The cash conversion cycles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gridSpan w:val="2"/>
          </w:tcPr>
          <w:p>
            <w:pPr>
              <w:ind w:left="728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440" w:type="dxa"/>
            <w:vAlign w:val="bottom"/>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6"/>
        </w:trPr>
        <w:tc>
          <w:tcPr>
            <w:tcW w:w="67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ind w:left="480"/>
              <w:spacing w:after="0"/>
              <w:rPr>
                <w:sz w:val="20"/>
                <w:szCs w:val="20"/>
                <w:color w:val="auto"/>
              </w:rPr>
            </w:pPr>
            <w:r>
              <w:rPr>
                <w:rFonts w:ascii="Arial" w:cs="Arial" w:eastAsia="Arial" w:hAnsi="Arial"/>
                <w:sz w:val="14"/>
                <w:szCs w:val="14"/>
                <w:i w:val="1"/>
                <w:iCs w:val="1"/>
                <w:color w:val="auto"/>
              </w:rPr>
              <w:t>(in days)</w:t>
            </w:r>
          </w:p>
        </w:tc>
        <w:tc>
          <w:tcPr>
            <w:tcW w:w="1440" w:type="dxa"/>
            <w:vAlign w:val="bottom"/>
            <w:tcBorders>
              <w:top w:val="single" w:sz="8" w:color="auto"/>
            </w:tcBorders>
          </w:tcPr>
          <w:p>
            <w:pPr>
              <w:spacing w:after="0"/>
              <w:rPr>
                <w:sz w:val="17"/>
                <w:szCs w:val="17"/>
                <w:color w:val="auto"/>
              </w:rPr>
            </w:pPr>
          </w:p>
        </w:tc>
      </w:tr>
      <w:tr>
        <w:trPr>
          <w:trHeight w:val="256"/>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Days sales outstanding</w:t>
            </w:r>
          </w:p>
        </w:tc>
        <w:tc>
          <w:tcPr>
            <w:tcW w:w="4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center"/>
              <w:ind w:left="1041"/>
              <w:spacing w:after="0"/>
              <w:rPr>
                <w:sz w:val="20"/>
                <w:szCs w:val="20"/>
                <w:color w:val="auto"/>
              </w:rPr>
            </w:pPr>
            <w:r>
              <w:rPr>
                <w:rFonts w:ascii="Arial" w:cs="Arial" w:eastAsia="Arial" w:hAnsi="Arial"/>
                <w:sz w:val="16"/>
                <w:szCs w:val="16"/>
                <w:color w:val="auto"/>
                <w:w w:val="89"/>
              </w:rPr>
              <w:t>39</w:t>
            </w:r>
          </w:p>
        </w:tc>
      </w:tr>
      <w:tr>
        <w:trPr>
          <w:trHeight w:val="243"/>
        </w:trPr>
        <w:tc>
          <w:tcPr>
            <w:tcW w:w="7700" w:type="dxa"/>
            <w:vAlign w:val="bottom"/>
            <w:gridSpan w:val="2"/>
          </w:tcPr>
          <w:p>
            <w:pPr>
              <w:ind w:left="20"/>
              <w:spacing w:after="0"/>
              <w:rPr>
                <w:sz w:val="20"/>
                <w:szCs w:val="20"/>
                <w:color w:val="auto"/>
              </w:rPr>
            </w:pPr>
            <w:r>
              <w:rPr>
                <w:rFonts w:ascii="Arial" w:cs="Arial" w:eastAsia="Arial" w:hAnsi="Arial"/>
                <w:sz w:val="16"/>
                <w:szCs w:val="16"/>
                <w:color w:val="auto"/>
              </w:rPr>
              <w:t>Days in inventory</w:t>
            </w:r>
          </w:p>
        </w:tc>
        <w:tc>
          <w:tcPr>
            <w:tcW w:w="440" w:type="dxa"/>
            <w:vAlign w:val="bottom"/>
          </w:tcPr>
          <w:p>
            <w:pPr>
              <w:jc w:val="center"/>
              <w:ind w:left="39"/>
              <w:spacing w:after="0"/>
              <w:rPr>
                <w:sz w:val="20"/>
                <w:szCs w:val="20"/>
                <w:color w:val="auto"/>
              </w:rPr>
            </w:pPr>
            <w:r>
              <w:rPr>
                <w:rFonts w:ascii="Arial" w:cs="Arial" w:eastAsia="Arial" w:hAnsi="Arial"/>
                <w:sz w:val="16"/>
                <w:szCs w:val="16"/>
                <w:color w:val="auto"/>
                <w:w w:val="89"/>
              </w:rPr>
              <w:t>85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440" w:type="dxa"/>
            <w:vAlign w:val="bottom"/>
          </w:tcPr>
          <w:p>
            <w:pPr>
              <w:jc w:val="center"/>
              <w:ind w:left="1041"/>
              <w:spacing w:after="0"/>
              <w:rPr>
                <w:sz w:val="20"/>
                <w:szCs w:val="20"/>
                <w:color w:val="auto"/>
              </w:rPr>
            </w:pPr>
            <w:r>
              <w:rPr>
                <w:rFonts w:ascii="Arial" w:cs="Arial" w:eastAsia="Arial" w:hAnsi="Arial"/>
                <w:sz w:val="16"/>
                <w:szCs w:val="16"/>
                <w:color w:val="auto"/>
                <w:w w:val="89"/>
              </w:rPr>
              <w:t>83</w:t>
            </w:r>
          </w:p>
        </w:tc>
      </w:tr>
      <w:tr>
        <w:trPr>
          <w:trHeight w:val="27"/>
        </w:trPr>
        <w:tc>
          <w:tcPr>
            <w:tcW w:w="6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Days payables outstanding</w:t>
            </w:r>
          </w:p>
        </w:tc>
        <w:tc>
          <w:tcPr>
            <w:tcW w:w="10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center"/>
              <w:ind w:left="1001"/>
              <w:spacing w:after="0"/>
              <w:rPr>
                <w:sz w:val="20"/>
                <w:szCs w:val="20"/>
                <w:color w:val="auto"/>
              </w:rPr>
            </w:pPr>
            <w:r>
              <w:rPr>
                <w:rFonts w:ascii="Arial" w:cs="Arial" w:eastAsia="Arial" w:hAnsi="Arial"/>
                <w:sz w:val="16"/>
                <w:szCs w:val="16"/>
                <w:color w:val="auto"/>
                <w:w w:val="98"/>
              </w:rPr>
              <w:t>(71)</w:t>
            </w:r>
          </w:p>
        </w:tc>
      </w:tr>
      <w:tr>
        <w:trPr>
          <w:trHeight w:val="247"/>
        </w:trPr>
        <w:tc>
          <w:tcPr>
            <w:tcW w:w="6700" w:type="dxa"/>
            <w:vAlign w:val="bottom"/>
          </w:tcPr>
          <w:p>
            <w:pPr>
              <w:ind w:left="20"/>
              <w:spacing w:after="0"/>
              <w:rPr>
                <w:sz w:val="20"/>
                <w:szCs w:val="20"/>
                <w:color w:val="auto"/>
              </w:rPr>
            </w:pPr>
            <w:r>
              <w:rPr>
                <w:rFonts w:ascii="Arial" w:cs="Arial" w:eastAsia="Arial" w:hAnsi="Arial"/>
                <w:sz w:val="16"/>
                <w:szCs w:val="16"/>
                <w:color w:val="auto"/>
              </w:rPr>
              <w:t>Cash conversion cycle</w:t>
            </w:r>
          </w:p>
        </w:tc>
        <w:tc>
          <w:tcPr>
            <w:tcW w:w="10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center"/>
              <w:ind w:left="39"/>
              <w:spacing w:after="0"/>
              <w:rPr>
                <w:sz w:val="20"/>
                <w:szCs w:val="20"/>
                <w:color w:val="auto"/>
              </w:rPr>
            </w:pPr>
            <w:r>
              <w:rPr>
                <w:rFonts w:ascii="Arial" w:cs="Arial" w:eastAsia="Arial" w:hAnsi="Arial"/>
                <w:sz w:val="16"/>
                <w:szCs w:val="16"/>
                <w:color w:val="auto"/>
                <w:w w:val="89"/>
              </w:rPr>
              <w:t>71</w:t>
            </w:r>
          </w:p>
        </w:tc>
        <w:tc>
          <w:tcPr>
            <w:tcW w:w="100" w:type="dxa"/>
            <w:vAlign w:val="bottom"/>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1"/>
                <w:szCs w:val="21"/>
                <w:color w:val="auto"/>
              </w:rPr>
            </w:pPr>
          </w:p>
        </w:tc>
        <w:tc>
          <w:tcPr>
            <w:tcW w:w="1440" w:type="dxa"/>
            <w:vAlign w:val="bottom"/>
            <w:tcBorders>
              <w:top w:val="single" w:sz="8" w:color="auto"/>
              <w:bottom w:val="single" w:sz="8" w:color="auto"/>
            </w:tcBorders>
          </w:tcPr>
          <w:p>
            <w:pPr>
              <w:jc w:val="center"/>
              <w:ind w:left="1041"/>
              <w:spacing w:after="0"/>
              <w:rPr>
                <w:sz w:val="20"/>
                <w:szCs w:val="20"/>
                <w:color w:val="auto"/>
              </w:rPr>
            </w:pPr>
            <w:r>
              <w:rPr>
                <w:rFonts w:ascii="Arial" w:cs="Arial" w:eastAsia="Arial" w:hAnsi="Arial"/>
                <w:sz w:val="16"/>
                <w:szCs w:val="16"/>
                <w:color w:val="auto"/>
                <w:w w:val="89"/>
              </w:rPr>
              <w:t>51</w:t>
            </w:r>
          </w:p>
        </w:tc>
      </w:tr>
      <w:tr>
        <w:trPr>
          <w:trHeight w:val="23"/>
        </w:trPr>
        <w:tc>
          <w:tcPr>
            <w:tcW w:w="6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Changes in days sales outstanding (“DSO”) are generally due to the linearity of shipments. Changes in days in inventory (“DIO”) are generally related to the timing of inventory builds. Changes in days payables outstanding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21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For 2020, DSO increased by 26 days over the prior year, reflecting 6 days for lower factoring of receivables, and 4 days resulting from balance sheet reclassifications of certain customer incentives in connection with the adoption of ASC Topic 606 related to recognition of agreements with customers. The additional increase primarily reflects the timing of shipments and customer collections. We have seen no significant deterioration in our receivables as a result of COVID-19. DIO decreased by 8 days over the prior year, reflecting higher stocking levels of HDD inventory in the prior year in response to the plant closure in Kuala Lumpur. DPO increased by 12 days over the prior year, primarily reflecting resumptions of flash production volumes as well as routine variations in the timing of purchases and payments during the period.</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Net cash provided by investing activities in 2020 primarily consisted of a $931 million net decrease in notes receivable issuances to Flash Ventures, partially offset by $647 million of capital expenditures and $22 million for acquisitions. Net cash used in investing activities in 2019 primarily consisted of $876 million of capital expenditures and a net $598 million increase in notes receivable issuances to Flash Ventures to fund its capital expansion.</w:t>
      </w:r>
    </w:p>
    <w:p>
      <w:pPr>
        <w:spacing w:after="0" w:line="17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cash equivalents are primarily invested in money market funds that invest in U.S. Treasury securities and U.S. Government agency securities. In addition, from time to time, we invest directly in U.S. Treasury securities, U.S. and international government agency securities, certificates of deposit, asset backed securities and corporate and municipal notes and bonds.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2020, net cash used in financing activities primarily consisted of $982 million for repayment of debt (of which $257 million was for scheduled principal payments and $725 million was for voluntary prepayments), $595 million to pay dividends on our common stock and $72 million for taxes paid on vested stock awards under employee stock plans, partially offset by $141 million of cash from the issuance of stock under our employee stock plans. Net cash used in financing activities in 2019 primarily consisted of $681 million for the repayment of our revolving credit facility and other debt, $584 million to pay dividends on our common stock, and $563 million for share repurchases. On July 31, 2020, we made an incremental voluntary prepayment of $150 million on our Term Loan B-4.</w:t>
      </w:r>
    </w:p>
    <w:p>
      <w:pPr>
        <w:spacing w:after="0" w:line="21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April 2020, we suspended our dividend policy to reinvest in the business and to support our ongoing deleveraging efforts. We will reevaluate our dividend policy as our leverage ratio improves.</w:t>
      </w:r>
    </w:p>
    <w:p>
      <w:pPr>
        <w:spacing w:after="0" w:line="197"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 xml:space="preserve">A discussion of our cash flows for the year ended June 29, 2018 is included in Part II,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Liquidity and Capital Resources</w:t>
      </w:r>
      <w:r>
        <w:rPr>
          <w:rFonts w:ascii="Arial" w:cs="Arial" w:eastAsia="Arial" w:hAnsi="Arial"/>
          <w:sz w:val="18"/>
          <w:szCs w:val="18"/>
          <w:color w:val="auto"/>
        </w:rPr>
        <w:t>, included in our Annual Report on Form 10-K for the year ended June 28, 2019</w:t>
      </w:r>
      <w:r>
        <w:rPr>
          <w:rFonts w:ascii="Arial" w:cs="Arial" w:eastAsia="Arial" w:hAnsi="Arial"/>
          <w:sz w:val="18"/>
          <w:szCs w:val="18"/>
          <w:i w:val="1"/>
          <w:iCs w:val="1"/>
          <w:color w:val="auto"/>
        </w:rPr>
        <w:t xml:space="preserve"> </w:t>
      </w:r>
      <w:r>
        <w:rPr>
          <w:rFonts w:ascii="Arial" w:cs="Arial" w:eastAsia="Arial" w:hAnsi="Arial"/>
          <w:sz w:val="18"/>
          <w:szCs w:val="18"/>
          <w:color w:val="auto"/>
        </w:rPr>
        <w:t>filed with the Securities and Exchange Commission on August 27, 2019.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Other than the commitments related to Flash Ventures incurred in the normal course of business and certain indemnification provisions (see “Short and Long-term Liquidity-Contractual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Consolidated Financial Statements. Additionally, with the exception of Flash Ventures and our joint venture with Unisplendour Corporation Limited and Unissoft (Wuxi) Group Co. Ltd. (“Unis”), referred to as the “Unis Venture”, we do not have an interest in, or relationships with, any variable interest entities. For additional information regarding our off-balance sheet arrangements, see Part II, Item 8, Note 8, </w:t>
      </w:r>
      <w:r>
        <w:rPr>
          <w:rFonts w:ascii="Arial" w:cs="Arial" w:eastAsia="Arial" w:hAnsi="Arial"/>
          <w:sz w:val="17"/>
          <w:szCs w:val="17"/>
          <w:i w:val="1"/>
          <w:iCs w:val="1"/>
          <w:color w:val="auto"/>
        </w:rPr>
        <w:t>Related Parties and Related Commitments and Contingencies</w:t>
      </w:r>
      <w:r>
        <w:rPr>
          <w:rFonts w:ascii="Arial" w:cs="Arial" w:eastAsia="Arial" w:hAnsi="Arial"/>
          <w:sz w:val="17"/>
          <w:szCs w:val="17"/>
          <w:color w:val="auto"/>
        </w:rPr>
        <w:t>, of the Notes to Consolidated Financial Statements included in this Annual Report on Form 10-K.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July 3, 2020: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 Year (2021)</w:t>
            </w: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2-3 Years (2022-</w:t>
            </w:r>
          </w:p>
        </w:tc>
        <w:tc>
          <w:tcPr>
            <w:tcW w:w="1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4-5 Years (2024-</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1"/>
              </w:rPr>
              <w:t>(Beyond 2025)</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6,025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24"/>
        </w:trPr>
        <w:tc>
          <w:tcPr>
            <w:tcW w:w="4680" w:type="dxa"/>
            <w:vAlign w:val="bottom"/>
          </w:tcPr>
          <w:p>
            <w:pPr>
              <w:ind w:left="20"/>
              <w:spacing w:after="0"/>
              <w:rPr>
                <w:sz w:val="20"/>
                <w:szCs w:val="20"/>
                <w:color w:val="auto"/>
              </w:rPr>
            </w:pPr>
            <w:r>
              <w:rPr>
                <w:rFonts w:ascii="Arial" w:cs="Arial" w:eastAsia="Arial" w:hAnsi="Arial"/>
                <w:sz w:val="16"/>
                <w:szCs w:val="16"/>
                <w:color w:val="auto"/>
              </w:rPr>
              <w:t>Interest on debt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Flash Ventures related commitments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2,171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obligations and other commitments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1,146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24"/>
        </w:trPr>
        <w:tc>
          <w:tcPr>
            <w:tcW w:w="4680" w:type="dxa"/>
            <w:vAlign w:val="bottom"/>
          </w:tcPr>
          <w:p>
            <w:pPr>
              <w:ind w:left="20"/>
              <w:spacing w:after="0"/>
              <w:rPr>
                <w:sz w:val="20"/>
                <w:szCs w:val="20"/>
                <w:color w:val="auto"/>
              </w:rPr>
            </w:pPr>
            <w:r>
              <w:rPr>
                <w:rFonts w:ascii="Arial" w:cs="Arial" w:eastAsia="Arial" w:hAnsi="Arial"/>
                <w:sz w:val="16"/>
                <w:szCs w:val="16"/>
                <w:color w:val="auto"/>
              </w:rPr>
              <w:t>Mandatory Deemed Repatriation Tax</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10,129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2,965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9683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Principal portion of debt, excluding discounts and issuance costs.</w:t>
      </w:r>
    </w:p>
    <w:p>
      <w:pPr>
        <w:spacing w:after="0" w:line="1" w:lineRule="exact"/>
        <w:rPr>
          <w:rFonts w:ascii="Arial" w:cs="Arial" w:eastAsia="Arial" w:hAnsi="Arial"/>
          <w:sz w:val="23"/>
          <w:szCs w:val="23"/>
          <w:color w:val="auto"/>
          <w:vertAlign w:val="superscript"/>
        </w:rPr>
      </w:pPr>
    </w:p>
    <w:p>
      <w:pPr>
        <w:ind w:left="340" w:right="460" w:hanging="332"/>
        <w:spacing w:after="0" w:line="241" w:lineRule="auto"/>
        <w:tabs>
          <w:tab w:leader="none" w:pos="328"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addition to our existing debt, we have $2.25 billion available under our revolving credit facility, subject to customary conditions under the credit agreement. Additional information regarding our indebtedness, including information about availability under our revolving credit facility and the principal repayment terms, interest rates, covenants and other key terms of our outstanding indebtedness, is included in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this Annual Report on Form 10-K. The credit agreement governing our revolving credit facility and our term loan A-1 due 2023 requires us to comply with certain financial covenants, consisting of a leverage ratio and an interest coverage ratio. As of July 3, 2020, we were in compliance with these financial covenants.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5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July 3, 2020, we were in compliance with all covenants under these Japanese lease facilities. See Part II, Item 8, Note 8, </w:t>
      </w:r>
      <w:r>
        <w:rPr>
          <w:rFonts w:ascii="Arial" w:cs="Arial" w:eastAsia="Arial" w:hAnsi="Arial"/>
          <w:sz w:val="18"/>
          <w:szCs w:val="18"/>
          <w:i w:val="1"/>
          <w:iCs w:val="1"/>
          <w:color w:val="auto"/>
        </w:rPr>
        <w:t>Related Parties and Related Commitments and Contingencies</w:t>
      </w:r>
      <w:r>
        <w:rPr>
          <w:rFonts w:ascii="Arial" w:cs="Arial" w:eastAsia="Arial" w:hAnsi="Arial"/>
          <w:sz w:val="18"/>
          <w:szCs w:val="18"/>
          <w:color w:val="auto"/>
        </w:rPr>
        <w:t>, of the Notes to Consolidated Financial Statements included in this Annual Report on Form 10-K for information regarding Flash Ventures.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Obligations and Other Commitments</w:t>
      </w:r>
    </w:p>
    <w:p>
      <w:pPr>
        <w:spacing w:after="0" w:line="25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in the table above.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Deemed Repatriation Tax</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our estimated mandatory deemed repatriation tax obligations that are payable in the following fiscal years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780" w:type="dxa"/>
            <w:vAlign w:val="bottom"/>
            <w:tcBorders>
              <w:bottom w:val="single" w:sz="8" w:color="CCEEFF"/>
            </w:tcBorders>
            <w:shd w:val="clear" w:color="auto" w:fill="CCEEFF"/>
          </w:tcPr>
          <w:p>
            <w:pPr>
              <w:jc w:val="right"/>
              <w:ind w:right="9339"/>
              <w:spacing w:after="0"/>
              <w:rPr>
                <w:sz w:val="20"/>
                <w:szCs w:val="20"/>
                <w:color w:val="auto"/>
              </w:rPr>
            </w:pPr>
            <w:r>
              <w:rPr>
                <w:rFonts w:ascii="Arial" w:cs="Arial" w:eastAsia="Arial" w:hAnsi="Arial"/>
                <w:sz w:val="16"/>
                <w:szCs w:val="16"/>
                <w:color w:val="auto"/>
                <w:w w:val="95"/>
              </w:rPr>
              <w:t>2021</w:t>
            </w: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23"/>
        </w:trPr>
        <w:tc>
          <w:tcPr>
            <w:tcW w:w="9780" w:type="dxa"/>
            <w:vAlign w:val="bottom"/>
          </w:tcPr>
          <w:p>
            <w:pPr>
              <w:jc w:val="right"/>
              <w:ind w:right="9339"/>
              <w:spacing w:after="0"/>
              <w:rPr>
                <w:sz w:val="20"/>
                <w:szCs w:val="20"/>
                <w:color w:val="auto"/>
              </w:rPr>
            </w:pPr>
            <w:r>
              <w:rPr>
                <w:rFonts w:ascii="Arial" w:cs="Arial" w:eastAsia="Arial" w:hAnsi="Arial"/>
                <w:sz w:val="16"/>
                <w:szCs w:val="16"/>
                <w:color w:val="auto"/>
                <w:w w:val="95"/>
              </w:rPr>
              <w:t>2022</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9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9780" w:type="dxa"/>
            <w:vAlign w:val="bottom"/>
            <w:tcBorders>
              <w:bottom w:val="single" w:sz="8" w:color="CCEEFF"/>
            </w:tcBorders>
            <w:shd w:val="clear" w:color="auto" w:fill="CCEEFF"/>
          </w:tcPr>
          <w:p>
            <w:pPr>
              <w:jc w:val="right"/>
              <w:ind w:right="9339"/>
              <w:spacing w:after="0"/>
              <w:rPr>
                <w:sz w:val="20"/>
                <w:szCs w:val="20"/>
                <w:color w:val="auto"/>
              </w:rPr>
            </w:pPr>
            <w:r>
              <w:rPr>
                <w:rFonts w:ascii="Arial" w:cs="Arial" w:eastAsia="Arial" w:hAnsi="Arial"/>
                <w:sz w:val="16"/>
                <w:szCs w:val="16"/>
                <w:color w:val="auto"/>
                <w:w w:val="95"/>
              </w:rPr>
              <w:t>2023</w:t>
            </w: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24"/>
        </w:trPr>
        <w:tc>
          <w:tcPr>
            <w:tcW w:w="9780" w:type="dxa"/>
            <w:vAlign w:val="bottom"/>
          </w:tcPr>
          <w:p>
            <w:pPr>
              <w:jc w:val="right"/>
              <w:ind w:right="9339"/>
              <w:spacing w:after="0"/>
              <w:rPr>
                <w:sz w:val="20"/>
                <w:szCs w:val="20"/>
                <w:color w:val="auto"/>
              </w:rPr>
            </w:pPr>
            <w:r>
              <w:rPr>
                <w:rFonts w:ascii="Arial" w:cs="Arial" w:eastAsia="Arial" w:hAnsi="Arial"/>
                <w:sz w:val="16"/>
                <w:szCs w:val="16"/>
                <w:color w:val="auto"/>
                <w:w w:val="95"/>
              </w:rPr>
              <w:t>2024</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33"/>
        </w:trPr>
        <w:tc>
          <w:tcPr>
            <w:tcW w:w="9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9780" w:type="dxa"/>
            <w:vAlign w:val="bottom"/>
            <w:tcBorders>
              <w:bottom w:val="single" w:sz="8" w:color="CCEEFF"/>
            </w:tcBorders>
            <w:shd w:val="clear" w:color="auto" w:fill="CCEEFF"/>
          </w:tcPr>
          <w:p>
            <w:pPr>
              <w:jc w:val="right"/>
              <w:ind w:right="9339"/>
              <w:spacing w:after="0"/>
              <w:rPr>
                <w:sz w:val="20"/>
                <w:szCs w:val="20"/>
                <w:color w:val="auto"/>
              </w:rPr>
            </w:pPr>
            <w:r>
              <w:rPr>
                <w:rFonts w:ascii="Arial" w:cs="Arial" w:eastAsia="Arial" w:hAnsi="Arial"/>
                <w:sz w:val="16"/>
                <w:szCs w:val="16"/>
                <w:color w:val="auto"/>
                <w:w w:val="95"/>
              </w:rPr>
              <w:t>2025</w:t>
            </w: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23"/>
        </w:trPr>
        <w:tc>
          <w:tcPr>
            <w:tcW w:w="9780" w:type="dxa"/>
            <w:vAlign w:val="bottom"/>
          </w:tcPr>
          <w:p>
            <w:pPr>
              <w:jc w:val="right"/>
              <w:ind w:right="9339"/>
              <w:spacing w:after="0"/>
              <w:rPr>
                <w:sz w:val="20"/>
                <w:szCs w:val="20"/>
                <w:color w:val="auto"/>
              </w:rPr>
            </w:pPr>
            <w:r>
              <w:rPr>
                <w:rFonts w:ascii="Arial" w:cs="Arial" w:eastAsia="Arial" w:hAnsi="Arial"/>
                <w:sz w:val="16"/>
                <w:szCs w:val="16"/>
                <w:color w:val="auto"/>
                <w:w w:val="95"/>
              </w:rPr>
              <w:t>2026</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33"/>
        </w:trPr>
        <w:tc>
          <w:tcPr>
            <w:tcW w:w="97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2"/>
        </w:trPr>
        <w:tc>
          <w:tcPr>
            <w:tcW w:w="9780" w:type="dxa"/>
            <w:vAlign w:val="bottom"/>
            <w:tcBorders>
              <w:bottom w:val="single" w:sz="8" w:color="CCEEFF"/>
            </w:tcBorders>
            <w:shd w:val="clear" w:color="auto" w:fill="CCEEFF"/>
          </w:tcPr>
          <w:p>
            <w:pPr>
              <w:jc w:val="right"/>
              <w:ind w:right="9239"/>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 xml:space="preserve">For additional information regarding our estimate of the total tax liability for the mandatory deemed repatriation tax, see Part II, Item 8,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Consolidated Financial Statements included in our Annual Report on Form 10-K for the fiscal year ended June 28,</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52"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As of July 3, 2020, the liability for unrecognized tax benefits (excluding accrued interest and penalties) was approximately $717 million. Accrued interest and penalties related to unrecognized tax benefits as of July 3, 2020 was approximately $137 million. Of these amounts, approximately $720 million could result in potential cash payments. We are not able to provide a reasonable estimate of the timing of future tax payments related to these obligations.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Swap</w:t>
      </w:r>
    </w:p>
    <w:p>
      <w:pPr>
        <w:spacing w:after="0" w:line="25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have generally held a balance of fixed and variable rate debt. At July 3, 2020, we had $6.28 billion of variable rate debt, comprising 65% of the par value of our debt. To balance the portfolio and moderate our exposure to fluctuations in interest rates underlying our variable debt, we entered into pay-fixed interest rate swaps on $2.00 billion notional amount, which effectively converts a portion of our term loan to fixed rates through February 2023. After giving effect to the $2.00 billion of interest rate swaps, we effectively had $4.28 billion of Long-term debt subject to variations in interest rates and a one percent increase in the variable rate of interest would increase annual interest expense by $43 million.</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II, Item 8, Note 5,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Consolidated Financial Statements included in this Annual Report on Form 10-K.</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5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0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Program</w:t>
      </w:r>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Board of Directors has authorized a stock repurchase program for the repurchase of up to $5.00 billion of our common stock, which authorization is effective through July 25, 2023. For the year ended July 3, 2020, we did not make any stock repurchases and have not repurchased any shares of our common stock pursuant to our stock repurchase program since the first quarter of fiscal 2019. Although we will reevaluate the repurchasing of our common stock when appropriate, there can be no assurance if, when or at what level we may resume such activity. The remaining amount available to be repurchased under our current stock repurchase program as of July 3, 2020 was $4.50 billion. Repurchases under the stock repurchase program may be made in the open market or in privately negotiated transactions and may be made under a Rule 10b5-1 plan.</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52"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We issued a quarterly cash dividend from the first quarter of fiscal 2013 up to the third quarter of fiscal 2020. During the year ended July 3, 2020, we declared aggregate cash dividends of $1.50 per share on our outstanding common stock totaling $449 million. In April 2020, we suspended our dividend to reinvest in the business and to support our ongoing deleveraging efforts. We will reevaluate our dividend policy as our leverage ratio improves.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II, Item 8,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Consolidated Financial Statements included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have prepared the accompanying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Consolidated Financial Statements may be material.</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provide distributors and retailers (collectively referred to as “resellers”) with limited price protection for inventories held by resellers at the time of published list price reductions. We also provide resellers and original equipment manufacturers (“OEMs”) with other sales incentive programs. The Company records estimated variable consideration related to these items as a reduction to revenue at the time of revenue recognition. We use judgment in our assessment of variable consideration in contracts to be included in the transaction price. We use the expected value method to arrive at the amount of variable consideration. The Company is constraining variable consideration until the likelihood of a significant revenue reversal is not probable and believes that the expected value method is the appropriate estimate of the amount of variable consideration based on the fact that we have a large number of contracts with similar characteristics.</w:t>
      </w:r>
    </w:p>
    <w:p>
      <w:pPr>
        <w:spacing w:after="0" w:line="222"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For sales to OEMs, the Company’s methodology for estimating variable consideration is based on the amount of consideration expected to be earned based on the OEMs’ volume of purchases from the Company or other agreed upon sales incentive programs. For sales to resellers, the methodology for estimating variable consideration is based on several factors including historical pricing information, current pricing trends and channel inventory levels. Differences between the estimated and actual amounts of variable consideration are recognized as adjustments to revenue.</w:t>
      </w:r>
    </w:p>
    <w:p>
      <w:pPr>
        <w:spacing w:after="0" w:line="184"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Marketing development program costs are typically recorded as a reduction of the transaction price and, therefore, of revenue. We net sales rebates against open customer receivable balances if the criteria to offset are met, otherwise they are recorded within other accrued liabilities.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We value inventories at the lower of cost (first-in, first-out) or net realizable value. We record inventory write-downs for the valuation of inventory at the lower of cost or net realizable value by analyzing market conditions and estimates of future sales prices as compared to inventory costs and inventory balances.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evaluate inventory balances for excess quantities and obsolescence on a regular basis by analyzing estimated demand, inventory on hand, sales levels and other information and reduce inventory balances to net realizable value for excess and obsolete inventory based on this analysis. Unanticipated changes in technology or customer demand could result in a decrease in demand for one or more of our products, which may require a write down of inventory that could materially affect operating results.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Litigation and Other Contingencies</w:t>
      </w:r>
    </w:p>
    <w:p>
      <w:pPr>
        <w:spacing w:after="0" w:line="25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 xml:space="preserve">When we become aware of a claim or potential claim, we assess the likelihood of any loss or exposure. We disclose information regarding each material claim where the likelihood of a loss contingency is probable or reasonably possible.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losses is not material to our financial position, results of operations or cash flows. The ability to predict the ultimate outcome of such matters involves judgments, estimates and inherent uncertainties. The actual outcome of such matters could differ materially from management’s estimates. For additional information, see Part II, Item 8, Note 16, </w:t>
      </w:r>
      <w:r>
        <w:rPr>
          <w:rFonts w:ascii="Arial" w:cs="Arial" w:eastAsia="Arial" w:hAnsi="Arial"/>
          <w:sz w:val="16"/>
          <w:szCs w:val="16"/>
          <w:i w:val="1"/>
          <w:iCs w:val="1"/>
          <w:color w:val="auto"/>
        </w:rPr>
        <w:t>Legal Proceedings</w:t>
      </w:r>
      <w:r>
        <w:rPr>
          <w:rFonts w:ascii="Arial" w:cs="Arial" w:eastAsia="Arial" w:hAnsi="Arial"/>
          <w:sz w:val="16"/>
          <w:szCs w:val="16"/>
          <w:color w:val="auto"/>
        </w:rPr>
        <w:t>, of the Notes to Consolidated Financial Statements included in this Annual Report on Form 10-K.</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account for income taxes under the asset and liability method, which provides that deferred tax assets and liabilities be recognized for temporary differences between the financial reporting basis and the tax basis of our assets and liabilities and expected benefits of utilizing net operating loss and tax credit carryforwards. We record a valuation allowance when it is more likely than not that the deferred tax assets will not be realized. Each quarter, we evaluate the need for a valuation allowance for our deferred tax assets and we adjust the valuation allowance so that we record net deferred tax assets only to the extent that we conclude it is more likely than not that these deferred tax assets will be realized. We account for interest and penalties related to income taxes as a component of the provision for income taxes.</w:t>
      </w:r>
    </w:p>
    <w:p>
      <w:pPr>
        <w:spacing w:after="0" w:line="20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recognize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on liabilities recorded for uncertain tax positions and are recorded in our provision for income taxes. The actual liability for unrealized tax benefits in any such contingency may be materially different from our estimates, which could result in the need to record additional liabilities for unrecognized tax benefits or potentially adjust previously-recorded liabilities for unrealized tax benefits and materially affect our operating results.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and Other Long-Lived Assets</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Goodwill is not amortized. Instead, it is tested for impairment on an annual basis or more frequently whenever events or changes in circumstances indicate that goodwill may be impaired. We perform our annual impairment test as of the first day of our fiscal fourth quarter. We use qualitative factors to determine whether goodwill is more likely than not impaired and whether a quantitative test for impairment is considered necessary. If we conclude from the qualitative assessment that goodwill is more likely than not impaired, we are required to perform a quantitative approach to determine the amount of impairment. We are required to use judgment when applying the goodwill impairment test, including the identification of one or more reporting units. If we had more than one reporting unit, judgment would also be required in the assignment of assets and liabilities to reporting units, assignment of goodwill to reporting units and determination of the fair value of each reporting unit. In addition, the estimates used to determine the fair value of each reporting unit may change based on results of operations, macroeconomic conditions or other factors. Changes in these estimates could materially affect our assessment of the fair value and goodwill impairment for each reporting unit. If our stock price decreases significantly, goodwill could become impaired, which could result in a material charge and adversely affect our results of operations.</w:t>
      </w:r>
    </w:p>
    <w:p>
      <w:pPr>
        <w:spacing w:after="0" w:line="19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Other long-lived intangible assets are amortized over their estimated useful lives based on the pattern in which the economic benefits are expected to be received.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 The estimates of fair</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value require evaluation of future market conditions and product lifecycles as well as projected revenue, earnings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Substantially all of the contract maturity dates do not exceed 12 months. We do not purchase foreign exchange contracts for speculative or trading purposes. For additional information, see Part II, Item 8, Note 4, </w:t>
      </w:r>
      <w:r>
        <w:rPr>
          <w:rFonts w:ascii="Arial" w:cs="Arial" w:eastAsia="Arial" w:hAnsi="Arial"/>
          <w:sz w:val="18"/>
          <w:szCs w:val="18"/>
          <w:i w:val="1"/>
          <w:iCs w:val="1"/>
          <w:color w:val="auto"/>
        </w:rPr>
        <w:t>Fair Value Measurements and Investments,</w:t>
      </w:r>
      <w:r>
        <w:rPr>
          <w:rFonts w:ascii="Arial" w:cs="Arial" w:eastAsia="Arial" w:hAnsi="Arial"/>
          <w:sz w:val="18"/>
          <w:szCs w:val="18"/>
          <w:color w:val="auto"/>
        </w:rPr>
        <w:t xml:space="preserve"> and Note 5,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Consolidated Financial Statements included in this Annual Report on Form 10-K.</w:t>
      </w:r>
    </w:p>
    <w:p>
      <w:pPr>
        <w:spacing w:after="0" w:line="22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Due to macroeconomic changes and volatility experienced in the foreign exchange market recently, we believe sensitivity analysis is more informative in representing the potential impact to the portfolio as a result of market movement. Therefore, we have performed sensitivity analyses for 2020 and 2019,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July 3, 2020 and June 28, 2019. The sensitivity analyses indicated that a hypothetical 10% adverse movement in foreign currency exchange rates relative to the U.S. dollar would result in a foreign exchange fair value loss of $135 million and $82 million at July 3, 2020 and June 28, 2019, respectively.</w:t>
      </w:r>
    </w:p>
    <w:p>
      <w:pPr>
        <w:spacing w:after="0" w:line="19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2020, 2019 and 2018, total net realized and unrealized transaction and foreign exchange contract currency gains and losses were not material to our Consolidated Financial Statements.</w:t>
      </w:r>
    </w:p>
    <w:p>
      <w:pPr>
        <w:spacing w:after="0" w:line="197"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Interest Rate Risk</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Rate Risk</w:t>
      </w:r>
    </w:p>
    <w:p>
      <w:pPr>
        <w:spacing w:after="0" w:line="252"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Borrowings under our revolving credit facility and our term loan A-1 due 2023 bear interest at a rate per annum, at our option, of either an adjusted London Interbank Offered Rate (“LIBOR”) (subject to a 0.0% floor) plus an applicable margin varying from 1.125% to 2.000% or a base rate plus an applicable margin varying from 0.125% to 1.000%, in each case depending on our corporate credit ratings. As of July 3, 2020, the applicable margin based on our current credit ratings was 1.5%. Borrowings under our term loan B-4 due 2023 bear interest at a rate per annum, at our option, of either an adjusted LIBOR (subject to a 0.0% floor) plus a margin of 1.75% or a base rate plus a margin of 0.75%.</w:t>
      </w:r>
    </w:p>
    <w:p>
      <w:pPr>
        <w:spacing w:after="0" w:line="20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have generally held a balance of fixed and variable rate debt. At July 3, 2020, 65% of the par value of our debt was at variable rates. To balance the portfolio and moderate our exposure to fluctuations in interest rates underlying our variable debt, we entered into pay-fixed interest rate swaps</w:t>
      </w:r>
    </w:p>
    <w:p>
      <w:pPr>
        <w:ind w:right="120"/>
        <w:spacing w:after="0" w:line="302" w:lineRule="auto"/>
        <w:rPr>
          <w:sz w:val="20"/>
          <w:szCs w:val="20"/>
          <w:color w:val="auto"/>
        </w:rPr>
      </w:pPr>
      <w:r>
        <w:rPr>
          <w:rFonts w:ascii="Arial" w:cs="Arial" w:eastAsia="Arial" w:hAnsi="Arial"/>
          <w:sz w:val="16"/>
          <w:szCs w:val="16"/>
          <w:color w:val="auto"/>
        </w:rPr>
        <w:t>on $2.00 billion notional amount, which effectively converts a portion of our term loan to fixed rates through February 2023. As of July 3, 2020, we had $6.28 billion of variable rate debt. After giving effect to the $2.00 billion of interest rate swaps, we effectively had $4.28 billion of Long-term debt subject to variations in interest rates and a one percent increase in the variable rate of interest would increase annual interest expense by $43 million.</w:t>
      </w:r>
    </w:p>
    <w:p>
      <w:pPr>
        <w:spacing w:after="0" w:line="18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For additional information regarding our variable interest rate debt, see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9"/>
              </w:rPr>
              <w:t>PAGE NO.</w:t>
            </w:r>
          </w:p>
        </w:tc>
      </w:tr>
      <w:tr>
        <w:trPr>
          <w:trHeight w:val="26"/>
        </w:trPr>
        <w:tc>
          <w:tcPr>
            <w:tcW w:w="96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9600" w:type="dxa"/>
            <w:vAlign w:val="bottom"/>
          </w:tcPr>
          <w:p>
            <w:pPr>
              <w:ind w:left="120"/>
              <w:spacing w:after="0"/>
              <w:rPr>
                <w:sz w:val="20"/>
                <w:szCs w:val="20"/>
                <w:color w:val="auto"/>
              </w:rPr>
            </w:pPr>
            <w:r>
              <w:rPr>
                <w:rFonts w:ascii="Arial" w:cs="Arial" w:eastAsia="Arial" w:hAnsi="Arial"/>
                <w:sz w:val="18"/>
                <w:szCs w:val="18"/>
                <w:color w:val="auto"/>
              </w:rPr>
              <w:t>Report of Independent Registered Public Accounting Firm</w:t>
            </w:r>
          </w:p>
        </w:tc>
        <w:tc>
          <w:tcPr>
            <w:tcW w:w="1640" w:type="dxa"/>
            <w:vAlign w:val="bottom"/>
          </w:tcPr>
          <w:p>
            <w:pPr>
              <w:jc w:val="cente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51</w:t>
              </w:r>
            </w:hyperlink>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Consolidated Balance Sheets — As of July 3, 2020 and June 28, 2019</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53</w:t>
              </w:r>
            </w:hyperlink>
          </w:p>
        </w:tc>
      </w:tr>
      <w:tr>
        <w:trPr>
          <w:trHeight w:val="243"/>
        </w:trPr>
        <w:tc>
          <w:tcPr>
            <w:tcW w:w="9600" w:type="dxa"/>
            <w:vAlign w:val="bottom"/>
          </w:tcPr>
          <w:p>
            <w:pPr>
              <w:ind w:left="120"/>
              <w:spacing w:after="0"/>
              <w:rPr>
                <w:sz w:val="20"/>
                <w:szCs w:val="20"/>
                <w:color w:val="auto"/>
              </w:rPr>
            </w:pPr>
            <w:r>
              <w:rPr>
                <w:rFonts w:ascii="Arial" w:cs="Arial" w:eastAsia="Arial" w:hAnsi="Arial"/>
                <w:sz w:val="18"/>
                <w:szCs w:val="18"/>
                <w:color w:val="auto"/>
              </w:rPr>
              <w:t>Consolidated Statements of Operations — Three Years Ended July 3, 2020</w:t>
            </w:r>
          </w:p>
        </w:tc>
        <w:tc>
          <w:tcPr>
            <w:tcW w:w="1640" w:type="dxa"/>
            <w:vAlign w:val="bottom"/>
          </w:tcPr>
          <w:p>
            <w:pPr>
              <w:jc w:val="cente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54</w:t>
              </w:r>
            </w:hyperlink>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Consolidated Statements of Comprehensive Income (Loss) — Three Years Ended July 3, 2020</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55</w:t>
              </w:r>
            </w:hyperlink>
          </w:p>
        </w:tc>
      </w:tr>
      <w:tr>
        <w:trPr>
          <w:trHeight w:val="243"/>
        </w:trPr>
        <w:tc>
          <w:tcPr>
            <w:tcW w:w="9600" w:type="dxa"/>
            <w:vAlign w:val="bottom"/>
          </w:tcPr>
          <w:p>
            <w:pPr>
              <w:ind w:left="120"/>
              <w:spacing w:after="0"/>
              <w:rPr>
                <w:sz w:val="20"/>
                <w:szCs w:val="20"/>
                <w:color w:val="auto"/>
              </w:rPr>
            </w:pPr>
            <w:r>
              <w:rPr>
                <w:rFonts w:ascii="Arial" w:cs="Arial" w:eastAsia="Arial" w:hAnsi="Arial"/>
                <w:sz w:val="18"/>
                <w:szCs w:val="18"/>
                <w:color w:val="auto"/>
              </w:rPr>
              <w:t>Consolidated Statements of Cash Flows — Three Years Ended July 3, 2020</w:t>
            </w:r>
          </w:p>
        </w:tc>
        <w:tc>
          <w:tcPr>
            <w:tcW w:w="1640" w:type="dxa"/>
            <w:vAlign w:val="bottom"/>
          </w:tcPr>
          <w:p>
            <w:pPr>
              <w:jc w:val="cente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56</w:t>
              </w:r>
            </w:hyperlink>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Consolidated Statements of Shareholders' Equity — Three Years Ended July 3, 2020</w:t>
            </w:r>
          </w:p>
        </w:tc>
        <w:tc>
          <w:tcPr>
            <w:tcW w:w="164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57</w:t>
              </w:r>
            </w:hyperlink>
          </w:p>
        </w:tc>
      </w:tr>
      <w:tr>
        <w:trPr>
          <w:trHeight w:val="243"/>
        </w:trPr>
        <w:tc>
          <w:tcPr>
            <w:tcW w:w="960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w:t>
            </w:r>
          </w:p>
        </w:tc>
        <w:tc>
          <w:tcPr>
            <w:tcW w:w="1640" w:type="dxa"/>
            <w:vAlign w:val="bottom"/>
          </w:tcPr>
          <w:p>
            <w:pPr>
              <w:jc w:val="cente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Western Digital Corporation and subsidiaries (the Company) as of July 3, 2020 and June 28, 2019, the related consolidated statements of operations, comprehensive income (loss), cash flows, and shareholders’ equity for each of the years in the three-year period ended July 3, 2020, and the related notes (collectively, the consolidated financial statements). We also have audited the Company’s internal control over financial reporting as of July 3,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1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July 3, 2020 and June 28, 2019, and the results of its operations and its cash flows for each of the years in the three-year period ended July 3, 2020, in conformity with U.S. generally accepted accounting principles. Also in our opinion, the Company maintained, in all material respects, effective internal control over financial reporting as of July 3,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Item 9A </w:t>
      </w:r>
      <w:r>
        <w:rPr>
          <w:rFonts w:ascii="Arial" w:cs="Arial" w:eastAsia="Arial" w:hAnsi="Arial"/>
          <w:sz w:val="16"/>
          <w:szCs w:val="16"/>
          <w:i w:val="1"/>
          <w:iCs w:val="1"/>
          <w:color w:val="auto"/>
        </w:rPr>
        <w:t>Controls and Procedures -</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Our responsibility is to express an opinion on the Company’s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5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variable consideration for sales to resellers</w:t>
      </w:r>
    </w:p>
    <w:p>
      <w:pPr>
        <w:spacing w:after="0" w:line="252"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As discussed in Note 1 to the consolidated financial statements, the Company provides resellers with price protection and other sales incentive programs. The Company uses judgment in its assessment of variable consideration in contracts to be included in the transaction price. The Company’s estimate of variable consideration for sales to resellers is based on several factors, including historical pricing information, current pricing trends, and channel inventory levels.</w:t>
      </w:r>
    </w:p>
    <w:p>
      <w:pPr>
        <w:spacing w:after="0" w:line="214"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We identified the assessment of variable consideration for sales to resellers as a critical audit matter. Evaluating the assumptions used by the Company to estimate the variable consideration, specifically anticipated price decreases based on historical pricing information, current pricing trends, and channel inventory levels during the expected reseller holding period, required a higher degree of auditor judgment due to the uncertainty involved in the estimate.</w:t>
      </w:r>
    </w:p>
    <w:p>
      <w:pPr>
        <w:spacing w:after="0" w:line="214"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The primary procedures performed to address this critical audit matter include the following. We tested certain internal controls over the Company’s process of determining the variable consideration, including controls related to the development of the assumption of anticipated price decreases during the reseller holding period. We evaluated the Company’s ability to accurately estimate the assumptions used to determine the variable consideration by comparing historically recorded variable consideration to actual subsequent payments and credits. We developed an expectation of the variable consideration for resellers based on historically recorded variable consideration and compared it to the actual variable consideration. We developed an expectation of the variable consideration for resellers based on subsequent payments and credits issued and compared it to the actual variable consideration.</w:t>
      </w:r>
    </w:p>
    <w:p>
      <w:pPr>
        <w:spacing w:after="0" w:line="200" w:lineRule="exact"/>
        <w:rPr>
          <w:sz w:val="20"/>
          <w:szCs w:val="20"/>
          <w:color w:val="auto"/>
        </w:rPr>
      </w:pPr>
    </w:p>
    <w:p>
      <w:pPr>
        <w:spacing w:after="0" w:line="3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KPMG LLP</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1970.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July 3,</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00"/>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40"/>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5320"/>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224"/>
        </w:trPr>
        <w:tc>
          <w:tcPr>
            <w:tcW w:w="82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8,477</w:t>
            </w:r>
          </w:p>
        </w:tc>
        <w:tc>
          <w:tcPr>
            <w:tcW w:w="0" w:type="dxa"/>
            <w:vAlign w:val="bottom"/>
          </w:tcPr>
          <w:p>
            <w:pPr>
              <w:spacing w:after="0"/>
              <w:rPr>
                <w:sz w:val="1"/>
                <w:szCs w:val="1"/>
                <w:color w:val="auto"/>
              </w:rPr>
            </w:pPr>
          </w:p>
        </w:tc>
      </w:tr>
      <w:tr>
        <w:trPr>
          <w:trHeight w:val="224"/>
        </w:trPr>
        <w:tc>
          <w:tcPr>
            <w:tcW w:w="82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2,843</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 receivable and investments in Flash Ventures</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2,791</w:t>
            </w:r>
          </w:p>
        </w:tc>
        <w:tc>
          <w:tcPr>
            <w:tcW w:w="0" w:type="dxa"/>
            <w:vAlign w:val="bottom"/>
          </w:tcPr>
          <w:p>
            <w:pPr>
              <w:spacing w:after="0"/>
              <w:rPr>
                <w:sz w:val="1"/>
                <w:szCs w:val="1"/>
                <w:color w:val="auto"/>
              </w:rPr>
            </w:pPr>
          </w:p>
        </w:tc>
      </w:tr>
      <w:tr>
        <w:trPr>
          <w:trHeight w:val="224"/>
        </w:trPr>
        <w:tc>
          <w:tcPr>
            <w:tcW w:w="8220" w:type="dxa"/>
            <w:vAlign w:val="bottom"/>
          </w:tcPr>
          <w:p>
            <w:pPr>
              <w:ind w:left="20"/>
              <w:spacing w:after="0"/>
              <w:rPr>
                <w:sz w:val="20"/>
                <w:szCs w:val="20"/>
                <w:color w:val="auto"/>
              </w:rPr>
            </w:pPr>
            <w:r>
              <w:rPr>
                <w:rFonts w:ascii="Arial" w:cs="Arial" w:eastAsia="Arial" w:hAnsi="Arial"/>
                <w:sz w:val="16"/>
                <w:szCs w:val="16"/>
                <w:color w:val="auto"/>
              </w:rPr>
              <w:t>Goodwill</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10,067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10,076</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25,662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26,370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3860"/>
              <w:spacing w:after="0"/>
              <w:rPr>
                <w:sz w:val="20"/>
                <w:szCs w:val="20"/>
                <w:color w:val="auto"/>
              </w:rPr>
            </w:pPr>
            <w:r>
              <w:rPr>
                <w:rFonts w:ascii="Arial" w:cs="Arial" w:eastAsia="Arial" w:hAnsi="Arial"/>
                <w:sz w:val="16"/>
                <w:szCs w:val="16"/>
                <w:b w:val="1"/>
                <w:bCs w:val="1"/>
                <w:color w:val="auto"/>
              </w:rPr>
              <w:t>LIABILITIES AND SHAREHOLDERS’ EQUITY</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2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2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1,945</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1,567</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 to related parties</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Accrued expenses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Accrued compensation</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3,817</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9,289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10,246</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2,340</w:t>
            </w:r>
          </w:p>
        </w:tc>
        <w:tc>
          <w:tcPr>
            <w:tcW w:w="0" w:type="dxa"/>
            <w:vAlign w:val="bottom"/>
          </w:tcPr>
          <w:p>
            <w:pPr>
              <w:spacing w:after="0"/>
              <w:rPr>
                <w:sz w:val="1"/>
                <w:szCs w:val="1"/>
                <w:color w:val="auto"/>
              </w:rPr>
            </w:pPr>
          </w:p>
        </w:tc>
      </w:tr>
      <w:tr>
        <w:trPr>
          <w:trHeight w:val="217"/>
        </w:trPr>
        <w:tc>
          <w:tcPr>
            <w:tcW w:w="822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16,111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16,403</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(Notes 8, 9, 13 and 16)</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Preferred stock, $0.01 par value; authorized — 5 shares; issued and outstanding — none</w:t>
            </w: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20" w:type="dxa"/>
            <w:vAlign w:val="bottom"/>
          </w:tcPr>
          <w:p>
            <w:pPr>
              <w:ind w:left="140"/>
              <w:spacing w:after="0" w:line="166" w:lineRule="exact"/>
              <w:rPr>
                <w:sz w:val="20"/>
                <w:szCs w:val="20"/>
                <w:color w:val="auto"/>
              </w:rPr>
            </w:pPr>
            <w:r>
              <w:rPr>
                <w:rFonts w:ascii="Arial" w:cs="Arial" w:eastAsia="Arial" w:hAnsi="Arial"/>
                <w:sz w:val="16"/>
                <w:szCs w:val="16"/>
                <w:color w:val="auto"/>
                <w:w w:val="95"/>
              </w:rPr>
              <w:t>Common stock, $0.01 par value; authorized — 450 shares; issued — 312 shares in 2020 and 2019; outstanding — 302</w:t>
            </w:r>
          </w:p>
        </w:tc>
        <w:tc>
          <w:tcPr>
            <w:tcW w:w="9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8220" w:type="dxa"/>
            <w:vAlign w:val="bottom"/>
          </w:tcPr>
          <w:p>
            <w:pPr>
              <w:ind w:left="140"/>
              <w:spacing w:after="0"/>
              <w:rPr>
                <w:sz w:val="20"/>
                <w:szCs w:val="20"/>
                <w:color w:val="auto"/>
              </w:rPr>
            </w:pPr>
            <w:r>
              <w:rPr>
                <w:rFonts w:ascii="Arial" w:cs="Arial" w:eastAsia="Arial" w:hAnsi="Arial"/>
                <w:sz w:val="16"/>
                <w:szCs w:val="16"/>
                <w:color w:val="auto"/>
              </w:rPr>
              <w:t>shares in 2020 and 295 shares in 2019</w:t>
            </w:r>
          </w:p>
        </w:tc>
        <w:tc>
          <w:tcPr>
            <w:tcW w:w="9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3,851</w:t>
            </w:r>
          </w:p>
        </w:tc>
        <w:tc>
          <w:tcPr>
            <w:tcW w:w="0" w:type="dxa"/>
            <w:vAlign w:val="bottom"/>
          </w:tcPr>
          <w:p>
            <w:pPr>
              <w:spacing w:after="0"/>
              <w:rPr>
                <w:sz w:val="1"/>
                <w:szCs w:val="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7,449</w:t>
            </w: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6"/>
                <w:szCs w:val="16"/>
                <w:color w:val="auto"/>
              </w:rPr>
              <w:t>Treasury stock — common shares at cost; 10 shares in 2020 and 17 shares in 2019</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shareholders’ equity</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9,967</w:t>
            </w:r>
          </w:p>
        </w:tc>
        <w:tc>
          <w:tcPr>
            <w:tcW w:w="0" w:type="dxa"/>
            <w:vAlign w:val="bottom"/>
          </w:tcPr>
          <w:p>
            <w:pPr>
              <w:spacing w:after="0"/>
              <w:rPr>
                <w:sz w:val="1"/>
                <w:szCs w:val="1"/>
                <w:color w:val="auto"/>
              </w:rPr>
            </w:pPr>
          </w:p>
        </w:tc>
      </w:tr>
      <w:tr>
        <w:trPr>
          <w:trHeight w:val="217"/>
        </w:trPr>
        <w:tc>
          <w:tcPr>
            <w:tcW w:w="8220" w:type="dxa"/>
            <w:vAlign w:val="bottom"/>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92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25,662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26,370</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2"/>
        </w:trPr>
        <w:tc>
          <w:tcPr>
            <w:tcW w:w="6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3,</w:t>
            </w:r>
          </w:p>
        </w:tc>
        <w:tc>
          <w:tcPr>
            <w:tcW w:w="180" w:type="dxa"/>
            <w:vAlign w:val="bottom"/>
          </w:tcPr>
          <w:p>
            <w:pPr>
              <w:spacing w:after="0"/>
              <w:rPr>
                <w:sz w:val="13"/>
                <w:szCs w:val="13"/>
                <w:color w:val="auto"/>
              </w:rPr>
            </w:pPr>
          </w:p>
        </w:tc>
        <w:tc>
          <w:tcPr>
            <w:tcW w:w="1380" w:type="dxa"/>
            <w:vAlign w:val="bottom"/>
            <w:gridSpan w:val="2"/>
          </w:tcPr>
          <w:p>
            <w:pPr>
              <w:jc w:val="right"/>
              <w:ind w:right="58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1000" w:type="dxa"/>
            <w:vAlign w:val="bottom"/>
          </w:tcPr>
          <w:p>
            <w:pPr>
              <w:jc w:val="right"/>
              <w:ind w:right="280"/>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6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r>
      <w:tr>
        <w:trPr>
          <w:trHeight w:val="23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20,647</w:t>
            </w:r>
          </w:p>
        </w:tc>
      </w:tr>
      <w:tr>
        <w:trPr>
          <w:trHeight w:val="223"/>
        </w:trPr>
        <w:tc>
          <w:tcPr>
            <w:tcW w:w="69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12,942</w:t>
            </w:r>
          </w:p>
        </w:tc>
      </w:tr>
      <w:tr>
        <w:trPr>
          <w:trHeight w:val="33"/>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7,705</w:t>
            </w:r>
          </w:p>
        </w:tc>
      </w:tr>
      <w:tr>
        <w:trPr>
          <w:trHeight w:val="203"/>
        </w:trPr>
        <w:tc>
          <w:tcPr>
            <w:tcW w:w="69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33"/>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r>
      <w:tr>
        <w:trPr>
          <w:trHeight w:val="224"/>
        </w:trPr>
        <w:tc>
          <w:tcPr>
            <w:tcW w:w="690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1,473</w:t>
            </w:r>
          </w:p>
        </w:tc>
      </w:tr>
      <w:tr>
        <w:trPr>
          <w:trHeight w:val="33"/>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Employee termination, asset impairment, and other charges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17"/>
        </w:trPr>
        <w:tc>
          <w:tcPr>
            <w:tcW w:w="690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4,088</w:t>
            </w:r>
          </w:p>
        </w:tc>
      </w:tr>
      <w:tr>
        <w:trPr>
          <w:trHeight w:val="33"/>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r>
      <w:tr>
        <w:trPr>
          <w:trHeight w:val="223"/>
        </w:trPr>
        <w:tc>
          <w:tcPr>
            <w:tcW w:w="690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3"/>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24"/>
        </w:trPr>
        <w:tc>
          <w:tcPr>
            <w:tcW w:w="690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33"/>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17"/>
        </w:trPr>
        <w:tc>
          <w:tcPr>
            <w:tcW w:w="6900" w:type="dxa"/>
            <w:vAlign w:val="bottom"/>
          </w:tcPr>
          <w:p>
            <w:pPr>
              <w:ind w:left="220"/>
              <w:spacing w:after="0"/>
              <w:rPr>
                <w:sz w:val="20"/>
                <w:szCs w:val="20"/>
                <w:color w:val="auto"/>
              </w:rPr>
            </w:pPr>
            <w:r>
              <w:rPr>
                <w:rFonts w:ascii="Arial" w:cs="Arial" w:eastAsia="Arial" w:hAnsi="Arial"/>
                <w:sz w:val="16"/>
                <w:szCs w:val="16"/>
                <w:color w:val="auto"/>
              </w:rPr>
              <w:t>Total interest and other expense, net</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(1,532)</w:t>
            </w:r>
          </w:p>
        </w:tc>
      </w:tr>
      <w:tr>
        <w:trPr>
          <w:trHeight w:val="33"/>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r>
      <w:tr>
        <w:trPr>
          <w:trHeight w:val="223"/>
        </w:trPr>
        <w:tc>
          <w:tcPr>
            <w:tcW w:w="69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1,410</w:t>
            </w:r>
          </w:p>
        </w:tc>
      </w:tr>
      <w:tr>
        <w:trPr>
          <w:trHeight w:val="33"/>
        </w:trPr>
        <w:tc>
          <w:tcPr>
            <w:tcW w:w="6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7"/>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per common share</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23"/>
        </w:trPr>
        <w:tc>
          <w:tcPr>
            <w:tcW w:w="6900" w:type="dxa"/>
            <w:vAlign w:val="bottom"/>
          </w:tcPr>
          <w:p>
            <w:pPr>
              <w:ind w:left="1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33"/>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23"/>
        </w:trPr>
        <w:tc>
          <w:tcPr>
            <w:tcW w:w="690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3"/>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23"/>
        </w:trPr>
        <w:tc>
          <w:tcPr>
            <w:tcW w:w="6900" w:type="dxa"/>
            <w:vAlign w:val="bottom"/>
          </w:tcPr>
          <w:p>
            <w:pPr>
              <w:ind w:left="12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33"/>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6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6"/>
                <w:szCs w:val="16"/>
                <w:color w:val="auto"/>
              </w:rPr>
              <w:t>Cash dividends declared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2.00</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WESTERN DIGITAL CORPORATION CONSOLIDATED STATEMENTS OF COMPREHENSIVE INCOME (LOSS)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52"/>
        </w:trPr>
        <w:tc>
          <w:tcPr>
            <w:tcW w:w="690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221"/>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69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3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20" w:type="dxa"/>
            <w:vAlign w:val="bottom"/>
            <w:tcBorders>
              <w:bottom w:val="single" w:sz="8" w:color="CCEEFF"/>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(754)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675</w:t>
            </w:r>
          </w:p>
        </w:tc>
      </w:tr>
      <w:tr>
        <w:trPr>
          <w:trHeight w:val="223"/>
        </w:trPr>
        <w:tc>
          <w:tcPr>
            <w:tcW w:w="6900" w:type="dxa"/>
            <w:vAlign w:val="bottom"/>
          </w:tcPr>
          <w:p>
            <w:pPr>
              <w:ind w:left="20"/>
              <w:spacing w:after="0"/>
              <w:rPr>
                <w:sz w:val="20"/>
                <w:szCs w:val="20"/>
                <w:color w:val="auto"/>
              </w:rPr>
            </w:pPr>
            <w:r>
              <w:rPr>
                <w:rFonts w:ascii="Arial" w:cs="Arial" w:eastAsia="Arial" w:hAnsi="Arial"/>
                <w:sz w:val="16"/>
                <w:szCs w:val="16"/>
                <w:color w:val="auto"/>
              </w:rPr>
              <w:t>Other comprehensive income (loss), before tax:</w:t>
            </w: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3"/>
        </w:trPr>
        <w:tc>
          <w:tcPr>
            <w:tcW w:w="6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Actuarial pension loss</w:t>
            </w:r>
          </w:p>
        </w:tc>
        <w:tc>
          <w:tcPr>
            <w:tcW w:w="10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4"/>
        </w:trPr>
        <w:tc>
          <w:tcPr>
            <w:tcW w:w="690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18</w:t>
            </w:r>
          </w:p>
        </w:tc>
      </w:tr>
      <w:tr>
        <w:trPr>
          <w:trHeight w:val="33"/>
        </w:trPr>
        <w:tc>
          <w:tcPr>
            <w:tcW w:w="6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unrealized gain (loss) on derivative contracts and available-for-sale securities</w:t>
            </w:r>
          </w:p>
        </w:tc>
        <w:tc>
          <w:tcPr>
            <w:tcW w:w="10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w:t>
            </w:r>
          </w:p>
        </w:tc>
      </w:tr>
      <w:tr>
        <w:trPr>
          <w:trHeight w:val="217"/>
        </w:trPr>
        <w:tc>
          <w:tcPr>
            <w:tcW w:w="6900" w:type="dxa"/>
            <w:vAlign w:val="bottom"/>
          </w:tcPr>
          <w:p>
            <w:pPr>
              <w:ind w:left="220"/>
              <w:spacing w:after="0"/>
              <w:rPr>
                <w:sz w:val="20"/>
                <w:szCs w:val="20"/>
                <w:color w:val="auto"/>
              </w:rPr>
            </w:pPr>
            <w:r>
              <w:rPr>
                <w:rFonts w:ascii="Arial" w:cs="Arial" w:eastAsia="Arial" w:hAnsi="Arial"/>
                <w:sz w:val="16"/>
                <w:szCs w:val="16"/>
                <w:color w:val="auto"/>
              </w:rPr>
              <w:t>Total other comprehensive income (loss), before tax</w:t>
            </w:r>
          </w:p>
        </w:tc>
        <w:tc>
          <w:tcPr>
            <w:tcW w:w="10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23</w:t>
            </w:r>
          </w:p>
        </w:tc>
      </w:tr>
      <w:tr>
        <w:trPr>
          <w:trHeight w:val="33"/>
        </w:trPr>
        <w:tc>
          <w:tcPr>
            <w:tcW w:w="6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 (expense) related to items of other comprehensive income (loss), before tax</w:t>
            </w:r>
          </w:p>
        </w:tc>
        <w:tc>
          <w:tcPr>
            <w:tcW w:w="10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690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0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19</w:t>
            </w:r>
          </w:p>
        </w:tc>
      </w:tr>
      <w:tr>
        <w:trPr>
          <w:trHeight w:val="33"/>
        </w:trPr>
        <w:tc>
          <w:tcPr>
            <w:tcW w:w="6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w:t>
            </w:r>
          </w:p>
        </w:tc>
        <w:tc>
          <w:tcPr>
            <w:tcW w:w="1020" w:type="dxa"/>
            <w:vAlign w:val="bottom"/>
            <w:tcBorders>
              <w:bottom w:val="single" w:sz="8" w:color="CCEEFF"/>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(783)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694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670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3,</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June 28,</w:t>
            </w:r>
          </w:p>
        </w:tc>
        <w:tc>
          <w:tcPr>
            <w:tcW w:w="280" w:type="dxa"/>
            <w:vAlign w:val="bottom"/>
          </w:tcPr>
          <w:p>
            <w:pPr>
              <w:spacing w:after="0"/>
              <w:rPr>
                <w:sz w:val="13"/>
                <w:szCs w:val="13"/>
                <w:color w:val="auto"/>
              </w:rPr>
            </w:pPr>
          </w:p>
        </w:tc>
        <w:tc>
          <w:tcPr>
            <w:tcW w:w="1160" w:type="dxa"/>
            <w:vAlign w:val="bottom"/>
          </w:tcPr>
          <w:p>
            <w:pPr>
              <w:jc w:val="right"/>
              <w:ind w:right="388"/>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67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6"/>
        </w:trPr>
        <w:tc>
          <w:tcPr>
            <w:tcW w:w="67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675</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operations: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6"/>
        </w:trPr>
        <w:tc>
          <w:tcPr>
            <w:tcW w:w="670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9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1,566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2,056</w:t>
            </w:r>
          </w:p>
        </w:tc>
      </w:tr>
      <w:tr>
        <w:trPr>
          <w:trHeight w:val="209"/>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w:t>
            </w:r>
          </w:p>
        </w:tc>
      </w:tr>
      <w:tr>
        <w:trPr>
          <w:trHeight w:val="196"/>
        </w:trPr>
        <w:tc>
          <w:tcPr>
            <w:tcW w:w="6700" w:type="dxa"/>
            <w:vAlign w:val="bottom"/>
          </w:tcPr>
          <w:p>
            <w:pPr>
              <w:ind w:left="120"/>
              <w:spacing w:after="0"/>
              <w:rPr>
                <w:sz w:val="20"/>
                <w:szCs w:val="20"/>
                <w:color w:val="auto"/>
              </w:rPr>
            </w:pPr>
            <w:r>
              <w:rPr>
                <w:rFonts w:ascii="Arial" w:cs="Arial" w:eastAsia="Arial" w:hAnsi="Arial"/>
                <w:sz w:val="14"/>
                <w:szCs w:val="14"/>
                <w:color w:val="auto"/>
              </w:rPr>
              <w:t>Deferred income taxes</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(348)</w:t>
            </w:r>
          </w:p>
        </w:tc>
      </w:tr>
      <w:tr>
        <w:trPr>
          <w:trHeight w:val="209"/>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(gain) on disposal of assets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r>
      <w:tr>
        <w:trPr>
          <w:trHeight w:val="196"/>
        </w:trPr>
        <w:tc>
          <w:tcPr>
            <w:tcW w:w="6700" w:type="dxa"/>
            <w:vAlign w:val="bottom"/>
          </w:tcPr>
          <w:p>
            <w:pPr>
              <w:ind w:left="120"/>
              <w:spacing w:after="0"/>
              <w:rPr>
                <w:sz w:val="20"/>
                <w:szCs w:val="20"/>
                <w:color w:val="auto"/>
              </w:rPr>
            </w:pPr>
            <w:r>
              <w:rPr>
                <w:rFonts w:ascii="Arial" w:cs="Arial" w:eastAsia="Arial" w:hAnsi="Arial"/>
                <w:sz w:val="14"/>
                <w:szCs w:val="14"/>
                <w:color w:val="auto"/>
              </w:rPr>
              <w:t>Non-cash portion of employee termination, asset impairment and other charges</w:t>
            </w:r>
          </w:p>
        </w:tc>
        <w:tc>
          <w:tcPr>
            <w:tcW w:w="94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w:t>
            </w:r>
          </w:p>
        </w:tc>
      </w:tr>
      <w:tr>
        <w:trPr>
          <w:trHeight w:val="209"/>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debt discounts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w:t>
            </w:r>
          </w:p>
        </w:tc>
      </w:tr>
      <w:tr>
        <w:trPr>
          <w:trHeight w:val="196"/>
        </w:trPr>
        <w:tc>
          <w:tcPr>
            <w:tcW w:w="6700" w:type="dxa"/>
            <w:vAlign w:val="bottom"/>
          </w:tcPr>
          <w:p>
            <w:pPr>
              <w:ind w:left="120"/>
              <w:spacing w:after="0"/>
              <w:rPr>
                <w:sz w:val="20"/>
                <w:szCs w:val="20"/>
                <w:color w:val="auto"/>
              </w:rPr>
            </w:pPr>
            <w:r>
              <w:rPr>
                <w:rFonts w:ascii="Arial" w:cs="Arial" w:eastAsia="Arial" w:hAnsi="Arial"/>
                <w:sz w:val="14"/>
                <w:szCs w:val="14"/>
                <w:color w:val="auto"/>
              </w:rPr>
              <w:t>Cash premium on extinguishment of debt</w:t>
            </w:r>
          </w:p>
        </w:tc>
        <w:tc>
          <w:tcPr>
            <w:tcW w:w="94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720</w:t>
            </w:r>
          </w:p>
        </w:tc>
      </w:tr>
      <w:tr>
        <w:trPr>
          <w:trHeight w:val="209"/>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non-cash operating activities, net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6700" w:type="dxa"/>
            <w:vAlign w:val="bottom"/>
          </w:tcPr>
          <w:p>
            <w:pPr>
              <w:ind w:left="120"/>
              <w:spacing w:after="0"/>
              <w:rPr>
                <w:sz w:val="20"/>
                <w:szCs w:val="20"/>
                <w:color w:val="auto"/>
              </w:rPr>
            </w:pPr>
            <w:r>
              <w:rPr>
                <w:rFonts w:ascii="Arial" w:cs="Arial" w:eastAsia="Arial" w:hAnsi="Arial"/>
                <w:sz w:val="14"/>
                <w:szCs w:val="14"/>
                <w:color w:val="auto"/>
              </w:rPr>
              <w:t>Changes in:</w:t>
            </w: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r>
      <w:tr>
        <w:trPr>
          <w:trHeight w:val="196"/>
        </w:trPr>
        <w:tc>
          <w:tcPr>
            <w:tcW w:w="670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9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(598)</w:t>
            </w:r>
          </w:p>
        </w:tc>
      </w:tr>
      <w:tr>
        <w:trPr>
          <w:trHeight w:val="20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6700" w:type="dxa"/>
            <w:vAlign w:val="bottom"/>
          </w:tcPr>
          <w:p>
            <w:pPr>
              <w:ind w:left="220"/>
              <w:spacing w:after="0"/>
              <w:rPr>
                <w:sz w:val="20"/>
                <w:szCs w:val="20"/>
                <w:color w:val="auto"/>
              </w:rPr>
            </w:pPr>
            <w:r>
              <w:rPr>
                <w:rFonts w:ascii="Arial" w:cs="Arial" w:eastAsia="Arial" w:hAnsi="Arial"/>
                <w:sz w:val="14"/>
                <w:szCs w:val="14"/>
                <w:color w:val="auto"/>
              </w:rPr>
              <w:t>Accounts payable to related parties</w:t>
            </w:r>
          </w:p>
        </w:tc>
        <w:tc>
          <w:tcPr>
            <w:tcW w:w="9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53</w:t>
            </w:r>
          </w:p>
        </w:tc>
      </w:tr>
      <w:tr>
        <w:trPr>
          <w:trHeight w:val="20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670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9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03"/>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 and liabilities, net</w:t>
            </w:r>
          </w:p>
        </w:tc>
        <w:tc>
          <w:tcPr>
            <w:tcW w:w="9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1,333</w:t>
            </w:r>
          </w:p>
        </w:tc>
      </w:tr>
      <w:tr>
        <w:trPr>
          <w:trHeight w:val="196"/>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4,205</w:t>
            </w:r>
          </w:p>
        </w:tc>
      </w:tr>
      <w:tr>
        <w:trPr>
          <w:trHeight w:val="188"/>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7"/>
        </w:trPr>
        <w:tc>
          <w:tcPr>
            <w:tcW w:w="670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(835)</w:t>
            </w: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sale of property, plant and equipment</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r>
      <w:tr>
        <w:trPr>
          <w:trHeight w:val="197"/>
        </w:trPr>
        <w:tc>
          <w:tcPr>
            <w:tcW w:w="6700" w:type="dxa"/>
            <w:vAlign w:val="bottom"/>
          </w:tcPr>
          <w:p>
            <w:pPr>
              <w:ind w:left="20"/>
              <w:spacing w:after="0"/>
              <w:rPr>
                <w:sz w:val="20"/>
                <w:szCs w:val="20"/>
                <w:color w:val="auto"/>
              </w:rPr>
            </w:pPr>
            <w:r>
              <w:rPr>
                <w:rFonts w:ascii="Arial" w:cs="Arial" w:eastAsia="Arial" w:hAnsi="Arial"/>
                <w:sz w:val="14"/>
                <w:szCs w:val="14"/>
                <w:color w:val="auto"/>
              </w:rPr>
              <w:t>Acquisitions, net of cash acquired</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investments</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97"/>
        </w:trPr>
        <w:tc>
          <w:tcPr>
            <w:tcW w:w="6700" w:type="dxa"/>
            <w:vAlign w:val="bottom"/>
          </w:tcPr>
          <w:p>
            <w:pPr>
              <w:ind w:left="20"/>
              <w:spacing w:after="0"/>
              <w:rPr>
                <w:sz w:val="20"/>
                <w:szCs w:val="20"/>
                <w:color w:val="auto"/>
              </w:rPr>
            </w:pPr>
            <w:r>
              <w:rPr>
                <w:rFonts w:ascii="Arial" w:cs="Arial" w:eastAsia="Arial" w:hAnsi="Arial"/>
                <w:sz w:val="14"/>
                <w:szCs w:val="14"/>
                <w:color w:val="auto"/>
              </w:rPr>
              <w:t>Proceeds from sale of investments</w:t>
            </w:r>
          </w:p>
        </w:tc>
        <w:tc>
          <w:tcPr>
            <w:tcW w:w="94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48</w:t>
            </w: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maturities of investments</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r>
      <w:tr>
        <w:trPr>
          <w:trHeight w:val="197"/>
        </w:trPr>
        <w:tc>
          <w:tcPr>
            <w:tcW w:w="6700" w:type="dxa"/>
            <w:vAlign w:val="bottom"/>
          </w:tcPr>
          <w:p>
            <w:pPr>
              <w:ind w:left="20"/>
              <w:spacing w:after="0"/>
              <w:rPr>
                <w:sz w:val="20"/>
                <w:szCs w:val="20"/>
                <w:color w:val="auto"/>
              </w:rPr>
            </w:pPr>
            <w:r>
              <w:rPr>
                <w:rFonts w:ascii="Arial" w:cs="Arial" w:eastAsia="Arial" w:hAnsi="Arial"/>
                <w:sz w:val="14"/>
                <w:szCs w:val="14"/>
                <w:color w:val="auto"/>
              </w:rPr>
              <w:t>Notes receivable issuances to Flash Ventures</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(1,364)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(1,313)</w:t>
            </w: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proceeds from Flash Ventures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571</w:t>
            </w:r>
          </w:p>
        </w:tc>
      </w:t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Strategic investments and other, net</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r>
      <w:tr>
        <w:trPr>
          <w:trHeight w:val="202"/>
        </w:trPr>
        <w:tc>
          <w:tcPr>
            <w:tcW w:w="6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provided by (used in) investing activities</w:t>
            </w:r>
          </w:p>
        </w:tc>
        <w:tc>
          <w:tcPr>
            <w:tcW w:w="9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w:t>
            </w:r>
          </w:p>
        </w:tc>
      </w:tr>
      <w:tr>
        <w:trPr>
          <w:trHeight w:val="177"/>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stock under employee stock plans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r>
      <w:tr>
        <w:trPr>
          <w:trHeight w:val="197"/>
        </w:trPr>
        <w:tc>
          <w:tcPr>
            <w:tcW w:w="6700" w:type="dxa"/>
            <w:vAlign w:val="bottom"/>
          </w:tcPr>
          <w:p>
            <w:pPr>
              <w:ind w:left="20"/>
              <w:spacing w:after="0"/>
              <w:rPr>
                <w:sz w:val="20"/>
                <w:szCs w:val="20"/>
                <w:color w:val="auto"/>
              </w:rPr>
            </w:pPr>
            <w:r>
              <w:rPr>
                <w:rFonts w:ascii="Arial" w:cs="Arial" w:eastAsia="Arial" w:hAnsi="Arial"/>
                <w:sz w:val="14"/>
                <w:szCs w:val="14"/>
                <w:color w:val="auto"/>
              </w:rPr>
              <w:t>Taxes paid on vested stock awards under employee stock plans</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r>
      <w:tr>
        <w:trPr>
          <w:trHeight w:val="197"/>
        </w:trPr>
        <w:tc>
          <w:tcPr>
            <w:tcW w:w="6700" w:type="dxa"/>
            <w:vAlign w:val="bottom"/>
          </w:tcPr>
          <w:p>
            <w:pPr>
              <w:ind w:left="20"/>
              <w:spacing w:after="0"/>
              <w:rPr>
                <w:sz w:val="20"/>
                <w:szCs w:val="20"/>
                <w:color w:val="auto"/>
              </w:rPr>
            </w:pPr>
            <w:r>
              <w:rPr>
                <w:rFonts w:ascii="Arial" w:cs="Arial" w:eastAsia="Arial" w:hAnsi="Arial"/>
                <w:sz w:val="14"/>
                <w:szCs w:val="14"/>
                <w:color w:val="auto"/>
              </w:rPr>
              <w:t>Dividends paid to shareholders</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(593)</w:t>
            </w: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debt hedge contracts</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r>
      <w:tr>
        <w:trPr>
          <w:trHeight w:val="197"/>
        </w:trPr>
        <w:tc>
          <w:tcPr>
            <w:tcW w:w="6700" w:type="dxa"/>
            <w:vAlign w:val="bottom"/>
          </w:tcPr>
          <w:p>
            <w:pPr>
              <w:ind w:left="20"/>
              <w:spacing w:after="0"/>
              <w:rPr>
                <w:sz w:val="20"/>
                <w:szCs w:val="20"/>
                <w:color w:val="auto"/>
              </w:rPr>
            </w:pPr>
            <w:r>
              <w:rPr>
                <w:rFonts w:ascii="Arial" w:cs="Arial" w:eastAsia="Arial" w:hAnsi="Arial"/>
                <w:sz w:val="14"/>
                <w:szCs w:val="14"/>
                <w:color w:val="auto"/>
              </w:rPr>
              <w:t>Repayment of debt</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(17,074)</w:t>
            </w: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debt</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13,840</w:t>
            </w:r>
          </w:p>
        </w:tc>
      </w:tr>
      <w:tr>
        <w:trPr>
          <w:trHeight w:val="197"/>
        </w:trPr>
        <w:tc>
          <w:tcPr>
            <w:tcW w:w="6700" w:type="dxa"/>
            <w:vAlign w:val="bottom"/>
          </w:tcPr>
          <w:p>
            <w:pPr>
              <w:ind w:left="20"/>
              <w:spacing w:after="0"/>
              <w:rPr>
                <w:sz w:val="20"/>
                <w:szCs w:val="20"/>
                <w:color w:val="auto"/>
              </w:rPr>
            </w:pPr>
            <w:r>
              <w:rPr>
                <w:rFonts w:ascii="Arial" w:cs="Arial" w:eastAsia="Arial" w:hAnsi="Arial"/>
                <w:sz w:val="14"/>
                <w:szCs w:val="14"/>
                <w:color w:val="auto"/>
              </w:rPr>
              <w:t>Borrowings from (repayment of) revolving credit facility</w:t>
            </w:r>
          </w:p>
        </w:tc>
        <w:tc>
          <w:tcPr>
            <w:tcW w:w="94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500</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issuance costs</w:t>
            </w:r>
          </w:p>
        </w:tc>
        <w:tc>
          <w:tcPr>
            <w:tcW w:w="9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96"/>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financing activities</w:t>
            </w:r>
          </w:p>
        </w:tc>
        <w:tc>
          <w:tcPr>
            <w:tcW w:w="9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(1,508)</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(1,829)</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(3,900)</w:t>
            </w:r>
          </w:p>
        </w:tc>
      </w:tr>
      <w:tr>
        <w:trPr>
          <w:trHeight w:val="196"/>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96"/>
        </w:trPr>
        <w:tc>
          <w:tcPr>
            <w:tcW w:w="670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(1,550)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(1,349)</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9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3,455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6,354</w:t>
            </w:r>
          </w:p>
        </w:tc>
      </w:tr>
      <w:tr>
        <w:trPr>
          <w:trHeight w:val="202"/>
        </w:trPr>
        <w:tc>
          <w:tcPr>
            <w:tcW w:w="6700" w:type="dxa"/>
            <w:vAlign w:val="bottom"/>
          </w:tcPr>
          <w:p>
            <w:pPr>
              <w:ind w:left="20"/>
              <w:spacing w:after="0"/>
              <w:rPr>
                <w:sz w:val="20"/>
                <w:szCs w:val="20"/>
                <w:color w:val="auto"/>
              </w:rPr>
            </w:pPr>
            <w:r>
              <w:rPr>
                <w:rFonts w:ascii="Arial" w:cs="Arial" w:eastAsia="Arial" w:hAnsi="Arial"/>
                <w:sz w:val="14"/>
                <w:szCs w:val="14"/>
                <w:color w:val="auto"/>
              </w:rPr>
              <w:t>Cash and cash equivalents, end of year</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3,048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5,005</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97"/>
        </w:trPr>
        <w:tc>
          <w:tcPr>
            <w:tcW w:w="670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220</w:t>
            </w:r>
          </w:p>
        </w:tc>
      </w:tr>
      <w:tr>
        <w:trPr>
          <w:trHeight w:val="208"/>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708</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86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880" w:type="dxa"/>
            <w:vAlign w:val="bottom"/>
            <w:gridSpan w:val="5"/>
          </w:tcPr>
          <w:p>
            <w:pPr>
              <w:ind w:left="42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3"/>
            <w:vMerge w:val="restart"/>
          </w:tcPr>
          <w:p>
            <w:pPr>
              <w:ind w:left="40"/>
              <w:spacing w:after="0" w:line="126" w:lineRule="exact"/>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4"/>
                <w:szCs w:val="4"/>
                <w:color w:val="auto"/>
              </w:rPr>
            </w:pPr>
          </w:p>
        </w:tc>
        <w:tc>
          <w:tcPr>
            <w:tcW w:w="1020" w:type="dxa"/>
            <w:vAlign w:val="bottom"/>
            <w:gridSpan w:val="2"/>
            <w:vMerge w:val="restart"/>
          </w:tcPr>
          <w:p>
            <w:pPr>
              <w:ind w:left="100"/>
              <w:spacing w:after="0" w:line="126" w:lineRule="exact"/>
              <w:rPr>
                <w:sz w:val="20"/>
                <w:szCs w:val="20"/>
                <w:color w:val="auto"/>
              </w:rPr>
            </w:pPr>
            <w:r>
              <w:rPr>
                <w:rFonts w:ascii="Arial" w:cs="Arial" w:eastAsia="Arial" w:hAnsi="Arial"/>
                <w:sz w:val="14"/>
                <w:szCs w:val="14"/>
                <w:b w:val="1"/>
                <w:bCs w:val="1"/>
                <w:color w:val="auto"/>
              </w:rPr>
              <w:t>Retained</w:t>
            </w:r>
          </w:p>
        </w:tc>
        <w:tc>
          <w:tcPr>
            <w:tcW w:w="1340" w:type="dxa"/>
            <w:vAlign w:val="bottom"/>
            <w:gridSpan w:val="2"/>
            <w:vMerge w:val="restart"/>
          </w:tcPr>
          <w:p>
            <w:pPr>
              <w:jc w:val="right"/>
              <w:spacing w:after="0" w:line="126" w:lineRule="exact"/>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52"/>
        </w:trPr>
        <w:tc>
          <w:tcPr>
            <w:tcW w:w="2240" w:type="dxa"/>
            <w:vAlign w:val="bottom"/>
          </w:tcPr>
          <w:p>
            <w:pPr>
              <w:spacing w:after="0"/>
              <w:rPr>
                <w:sz w:val="4"/>
                <w:szCs w:val="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2017</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8,633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11,418</w:t>
            </w:r>
          </w:p>
        </w:tc>
        <w:tc>
          <w:tcPr>
            <w:tcW w:w="0" w:type="dxa"/>
            <w:vAlign w:val="bottom"/>
          </w:tcPr>
          <w:p>
            <w:pPr>
              <w:spacing w:after="0"/>
              <w:rPr>
                <w:sz w:val="1"/>
                <w:szCs w:val="1"/>
                <w:color w:val="auto"/>
              </w:rPr>
            </w:pPr>
          </w:p>
        </w:tc>
      </w:tr>
      <w:tr>
        <w:trPr>
          <w:trHeight w:val="196"/>
        </w:trPr>
        <w:tc>
          <w:tcPr>
            <w:tcW w:w="22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Adoption of new accounting</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standards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7"/>
        </w:trPr>
        <w:tc>
          <w:tcPr>
            <w:tcW w:w="224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57"/>
        </w:trPr>
        <w:tc>
          <w:tcPr>
            <w:tcW w:w="2240" w:type="dxa"/>
            <w:vAlign w:val="bottom"/>
          </w:tcPr>
          <w:p>
            <w:pPr>
              <w:ind w:left="120"/>
              <w:spacing w:after="0" w:line="157" w:lineRule="exact"/>
              <w:rPr>
                <w:sz w:val="20"/>
                <w:szCs w:val="20"/>
                <w:color w:val="auto"/>
              </w:rPr>
            </w:pPr>
            <w:r>
              <w:rPr>
                <w:rFonts w:ascii="Arial" w:cs="Arial" w:eastAsia="Arial" w:hAnsi="Arial"/>
                <w:sz w:val="14"/>
                <w:szCs w:val="14"/>
                <w:color w:val="auto"/>
              </w:rPr>
              <w:t>Equity value of convertible debt</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120"/>
              <w:spacing w:after="0"/>
              <w:rPr>
                <w:sz w:val="20"/>
                <w:szCs w:val="20"/>
                <w:color w:val="auto"/>
              </w:rPr>
            </w:pPr>
            <w:r>
              <w:rPr>
                <w:rFonts w:ascii="Arial" w:cs="Arial" w:eastAsia="Arial" w:hAnsi="Arial"/>
                <w:sz w:val="14"/>
                <w:szCs w:val="14"/>
                <w:color w:val="auto"/>
              </w:rPr>
              <w:t>issuance, net of deferred taxes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common 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97"/>
        </w:trPr>
        <w:tc>
          <w:tcPr>
            <w:tcW w:w="2240" w:type="dxa"/>
            <w:vAlign w:val="bottom"/>
          </w:tcPr>
          <w:p>
            <w:pPr>
              <w:ind w:left="120"/>
              <w:spacing w:after="0"/>
              <w:rPr>
                <w:sz w:val="20"/>
                <w:szCs w:val="20"/>
                <w:color w:val="auto"/>
              </w:rPr>
            </w:pPr>
            <w:r>
              <w:rPr>
                <w:rFonts w:ascii="Arial" w:cs="Arial" w:eastAsia="Arial" w:hAnsi="Arial"/>
                <w:sz w:val="14"/>
                <w:szCs w:val="14"/>
                <w:color w:val="auto"/>
              </w:rPr>
              <w:t>Dividends to shareholders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7"/>
        </w:trPr>
        <w:tc>
          <w:tcPr>
            <w:tcW w:w="2240" w:type="dxa"/>
            <w:vAlign w:val="bottom"/>
          </w:tcPr>
          <w:p>
            <w:pPr>
              <w:ind w:left="120"/>
              <w:spacing w:after="0" w:line="157" w:lineRule="exact"/>
              <w:rPr>
                <w:sz w:val="20"/>
                <w:szCs w:val="20"/>
                <w:color w:val="auto"/>
              </w:rPr>
            </w:pPr>
            <w:r>
              <w:rPr>
                <w:rFonts w:ascii="Arial" w:cs="Arial" w:eastAsia="Arial" w:hAnsi="Arial"/>
                <w:sz w:val="14"/>
                <w:szCs w:val="14"/>
                <w:color w:val="auto"/>
              </w:rPr>
              <w:t>Foreign currency translation</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unrealized gain on derivative</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contracts and available-for-sale</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securities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Balance at June 29, 2018</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4,254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8,757</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11,531</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97"/>
        </w:trPr>
        <w:tc>
          <w:tcPr>
            <w:tcW w:w="224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Adoption of new accounting</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standards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6"/>
        </w:trPr>
        <w:tc>
          <w:tcPr>
            <w:tcW w:w="224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common 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97"/>
        </w:trPr>
        <w:tc>
          <w:tcPr>
            <w:tcW w:w="2240" w:type="dxa"/>
            <w:vAlign w:val="bottom"/>
          </w:tcPr>
          <w:p>
            <w:pPr>
              <w:ind w:left="120"/>
              <w:spacing w:after="0"/>
              <w:rPr>
                <w:sz w:val="20"/>
                <w:szCs w:val="20"/>
                <w:color w:val="auto"/>
              </w:rPr>
            </w:pPr>
            <w:r>
              <w:rPr>
                <w:rFonts w:ascii="Arial" w:cs="Arial" w:eastAsia="Arial" w:hAnsi="Arial"/>
                <w:sz w:val="14"/>
                <w:szCs w:val="14"/>
                <w:color w:val="auto"/>
              </w:rPr>
              <w:t>Dividends to shareholders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7"/>
        </w:trPr>
        <w:tc>
          <w:tcPr>
            <w:tcW w:w="2240" w:type="dxa"/>
            <w:vAlign w:val="bottom"/>
          </w:tcPr>
          <w:p>
            <w:pPr>
              <w:ind w:left="120"/>
              <w:spacing w:after="0" w:line="157" w:lineRule="exact"/>
              <w:rPr>
                <w:sz w:val="20"/>
                <w:szCs w:val="20"/>
                <w:color w:val="auto"/>
              </w:rPr>
            </w:pPr>
            <w:r>
              <w:rPr>
                <w:rFonts w:ascii="Arial" w:cs="Arial" w:eastAsia="Arial" w:hAnsi="Arial"/>
                <w:sz w:val="14"/>
                <w:szCs w:val="14"/>
                <w:color w:val="auto"/>
              </w:rPr>
              <w:t>Foreign currency translation</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unrealized loss on derivative</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contracts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Balance at June 28, 2019</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(1,268)</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3,851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7,449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9,967</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97"/>
        </w:trPr>
        <w:tc>
          <w:tcPr>
            <w:tcW w:w="224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Adoption of new accounting</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standards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7"/>
        </w:trPr>
        <w:tc>
          <w:tcPr>
            <w:tcW w:w="224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to shareholders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97"/>
        </w:trPr>
        <w:tc>
          <w:tcPr>
            <w:tcW w:w="2240" w:type="dxa"/>
            <w:vAlign w:val="bottom"/>
          </w:tcPr>
          <w:p>
            <w:pPr>
              <w:ind w:left="120"/>
              <w:spacing w:after="0"/>
              <w:rPr>
                <w:sz w:val="20"/>
                <w:szCs w:val="20"/>
                <w:color w:val="auto"/>
              </w:rPr>
            </w:pPr>
            <w:r>
              <w:rPr>
                <w:rFonts w:ascii="Arial" w:cs="Arial" w:eastAsia="Arial" w:hAnsi="Arial"/>
                <w:sz w:val="14"/>
                <w:szCs w:val="14"/>
                <w:color w:val="auto"/>
              </w:rPr>
              <w:t>Actuarial pension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7"/>
        </w:trPr>
        <w:tc>
          <w:tcPr>
            <w:tcW w:w="2240" w:type="dxa"/>
            <w:vAlign w:val="bottom"/>
          </w:tcPr>
          <w:p>
            <w:pPr>
              <w:ind w:left="120"/>
              <w:spacing w:after="0" w:line="157" w:lineRule="exact"/>
              <w:rPr>
                <w:sz w:val="20"/>
                <w:szCs w:val="20"/>
                <w:color w:val="auto"/>
              </w:rPr>
            </w:pPr>
            <w:r>
              <w:rPr>
                <w:rFonts w:ascii="Arial" w:cs="Arial" w:eastAsia="Arial" w:hAnsi="Arial"/>
                <w:sz w:val="14"/>
                <w:szCs w:val="14"/>
                <w:color w:val="auto"/>
              </w:rPr>
              <w:t>Net unrealized loss on derivative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120"/>
              <w:spacing w:after="0"/>
              <w:rPr>
                <w:sz w:val="20"/>
                <w:szCs w:val="20"/>
                <w:color w:val="auto"/>
              </w:rPr>
            </w:pPr>
            <w:r>
              <w:rPr>
                <w:rFonts w:ascii="Arial" w:cs="Arial" w:eastAsia="Arial" w:hAnsi="Arial"/>
                <w:sz w:val="14"/>
                <w:szCs w:val="14"/>
                <w:color w:val="auto"/>
              </w:rPr>
              <w:t>contracts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27"/>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July 3, 2020</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9,551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56" w:lineRule="exact"/>
        <w:rPr>
          <w:sz w:val="20"/>
          <w:szCs w:val="20"/>
          <w:color w:val="auto"/>
        </w:rPr>
      </w:pPr>
    </w:p>
    <w:p>
      <w:pPr>
        <w:ind w:right="360" w:firstLine="324"/>
        <w:spacing w:after="0" w:line="275" w:lineRule="auto"/>
        <w:rPr>
          <w:sz w:val="20"/>
          <w:szCs w:val="20"/>
          <w:color w:val="auto"/>
        </w:rPr>
      </w:pPr>
      <w:r>
        <w:rPr>
          <w:rFonts w:ascii="Arial" w:cs="Arial" w:eastAsia="Arial" w:hAnsi="Arial"/>
          <w:sz w:val="17"/>
          <w:szCs w:val="17"/>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 creates environments for data to thrive. The Company is driving the innovation needed to help customers capture, preserve, access and transform an ever-increasing diversity of data. Everywhere data lives, from advanced data centers to mobile sensors to personal devices, the Company’s industry-leading solutions deliver the possibilities of data.</w:t>
      </w:r>
    </w:p>
    <w:p>
      <w:pPr>
        <w:spacing w:after="0" w:line="20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Company’s broad portfolio of technology and products address the following key end markets: Client Devices; Data Center Devices and Solutions; and Client Solutions. The Company also generates license and royalty revenue from its extensive intellectual property (“IP”), which is included in each of these three end market categories.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Company has prepared its Consolidated Financial Statements in accordance with accounting principles generally accepted in the United States (“U.S. GAAP”) and has adopted accounting policies and practices which are generally accepted in the industry in which it operates. The Company’s significant accounting policies are summarized below.</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5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Company’s fiscal year ends on the Friday nearest to June 30 and typically consists of 52 weeks. Approximately every five to six years, the Company reports a 53-week fiscal year to align the fiscal year with the foregoing policy. Fiscal year 2020, which ended on July 3, 2020, is comprised of 53 weeks, with the first quarter consisting of 14 weeks and the remaining quarters consisting of 13 weeks each. Fiscal years 2019, which ended on June 28, 2019, and 2018, which ended on June 29, 2018, are each comprised of 52 weeks, with all quarters presented consisting of 13 weeks.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Consolidation</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All significant intercompany accounts and transactions have been eliminated in consolidation. The functional currency of most of the Company’s foreign subsidiaries is the U.S. dollar. The accounts of these foreign subsidiaries have been remeasured using the U.S. dollar as the functional currency. Gains or losses resulting from remeasurement of these accounts from local currencies into U.S. dollars were immaterial to the Consolidated Financial Statements. Financial statements of the Company’s foreign subsidiaries for which the functional currency is the local currency are translated into U.S. dollars using the exchange rate at each balance sheet date for assets and liabilities and a weighted average exchange rate for each period for statement of operations items. Translation adjustments are recorded in accumulated other comprehensive income, a component of shareholders’ equity.</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the coronavirus disease 2019 (“COVID-19”) pandemic. However, actual results could differ materially from these estimates and be significantly affected by the severity and duration of the pandemic, the extent of actions to contain or treat COVID-19, how quickly and to what extent normal economic and operating activity can resume, and the severity and duration of the global economic downturn that results from the pandemic.</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Equivalents</w:t>
      </w:r>
    </w:p>
    <w:p>
      <w:pPr>
        <w:spacing w:after="0" w:line="25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Company’s cash equivalents represent highly liquid investments in money market funds, which are invested in U.S. Treasury securities and U.S. Government agency securities as well as bank certificates of deposit with original maturities at purchase of three months or less. Cash equivalents are carried at cost plus accrued interest, which approximates fair value.</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Investments</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enters into certain strategic investments for the promotion of business and strategic objectives. The equity method of accounting is used if the Company’s ownership interest is greater than or equal to 20% but less than a majority or where the Company has the ability to exercise significant influence over operating and financial policies. The Company’s equity in the earnings or losses in equity-method investments is recognized in Other income (expense), net, in the Consolidated Statements of Operations.</w:t>
      </w:r>
    </w:p>
    <w:p>
      <w:pPr>
        <w:spacing w:after="0" w:line="21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the Company’s ownership interest is less than 20% and the Company does not have the ability to exercise significant influence over operating and financial policies of the investee, the Company accounts for these investments at fair value, or if these equity securities do not have a readily determinable fair value, these securities are measured and recorded using the measurement alternative under Accounting Standards Update (“ASU”) No. 2016-01, “Financial Instruments — Overall (Subtopic 825-10): Recognition and Measurement of Financial Assets and Financial Liabilities,” which is cost minus impairment, if any, plus or minus changes resulting from observable price changes. Previously, these investments were accounted for under the cost method of accounting. These investments are recorded within Other non-current assets in the Consolidated Balance Sheets and are periodically analyzed to determine whether or not there are indicators of impairment.</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Entities</w:t>
      </w:r>
    </w:p>
    <w:p>
      <w:pPr>
        <w:spacing w:after="0" w:line="25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Company evaluates its investments and other significant relationships to determine whether any investee is a variable interest entity (“VIE”). If the Company concludes that an investee is a VIE, the Company evaluates its power to direct the activities of the investee, its obligation to absorb the expected losses of the investee and its right to receive the expected residual returns of the investee to determine whether the Company is the primary beneficiary of the investee. If the Company is the primary beneficiary of a VIE, the Company consolidates such entity and reflects the non-controlling interest of other beneficiaries of that entity. The Company does not consolidate any cost method investment or equity method investment entities.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carrying amounts of cash equivalents, accounts receivable, accounts payable and accrued expenses approximate fair value for all periods presented because of the short-term maturity of these assets and liabilities. The fair value of investments that are not accounted for under the equity method is based on appropriate market information.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The Company values inventories at the lower of cost (first-in, first out) or net realizable value. The first-in, first-out method is used to value the cost of the majority of the Company’s inventories. Inventory write-downs are recorded for the valuation of inventory at the lower of cost or net realizable value by analyzing market conditions and estimates of future sales prices as compared to inventory costs and inventory balances.</w:t>
      </w:r>
    </w:p>
    <w:p>
      <w:pPr>
        <w:spacing w:after="0" w:line="192" w:lineRule="exact"/>
        <w:rPr>
          <w:sz w:val="20"/>
          <w:szCs w:val="20"/>
          <w:color w:val="auto"/>
        </w:rPr>
      </w:pPr>
    </w:p>
    <w:p>
      <w:pPr>
        <w:jc w:val="both"/>
        <w:ind w:right="320" w:firstLine="324"/>
        <w:spacing w:after="0" w:line="279" w:lineRule="auto"/>
        <w:rPr>
          <w:sz w:val="20"/>
          <w:szCs w:val="20"/>
          <w:color w:val="auto"/>
        </w:rPr>
      </w:pPr>
      <w:r>
        <w:rPr>
          <w:rFonts w:ascii="Arial" w:cs="Arial" w:eastAsia="Arial" w:hAnsi="Arial"/>
          <w:sz w:val="17"/>
          <w:szCs w:val="17"/>
          <w:color w:val="auto"/>
        </w:rPr>
        <w:t>The Company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Company’s products, which may require a write down of inventory that could materially affect operating results.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w:t>
      </w:r>
    </w:p>
    <w:p>
      <w:pPr>
        <w:spacing w:after="0" w:line="252" w:lineRule="exact"/>
        <w:rPr>
          <w:sz w:val="20"/>
          <w:szCs w:val="20"/>
          <w:color w:val="auto"/>
        </w:rPr>
      </w:pPr>
    </w:p>
    <w:p>
      <w:pPr>
        <w:jc w:val="both"/>
        <w:ind w:right="180" w:firstLine="324"/>
        <w:spacing w:after="0" w:line="301" w:lineRule="auto"/>
        <w:rPr>
          <w:sz w:val="20"/>
          <w:szCs w:val="20"/>
          <w:color w:val="auto"/>
        </w:rPr>
      </w:pPr>
      <w:r>
        <w:rPr>
          <w:rFonts w:ascii="Arial" w:cs="Arial" w:eastAsia="Arial" w:hAnsi="Arial"/>
          <w:sz w:val="16"/>
          <w:szCs w:val="16"/>
          <w:color w:val="auto"/>
        </w:rPr>
        <w:t>Property and equipment are carried at cost less accumulated depreciation and amortization. The cost of property, plant and equipment is depreciated over the estimated useful lives of the respective assets. The Company’s buildings and improvements are depreciated over periods ranging from fifteen to thirty years. The majority of the Company’s machinery and equipment, software, and furniture and fixtures, are depreciated on a straight-line basis over a period of two to seven years. Leasehold improvements are amortized over the lesser of the estimated useful lives of the assets or the related lease terms.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application of acquisition accounting to a business combination requires that the Company identify the individual assets acquired and liabilities assumed and estimate the fair value of each. The fair value of assets acquired and liabilities assumed in a business acquisition are recognized at the acquisition date using a combination of valuation techniques, with the purchase price exceeding the fair values being recognized as goodwill. Determining fair value of identifiable assets, particularly intangibles, liabilities acquired and contingent obligations assumed requires management to make estimates. In certain circumstances, the allocations of the excess purchase price are based upon preliminary estimates and assumptions and subject to revision when the Company receives final information, including appraisals and other analyses. Accordingly, the measurement period for such purchase price allocations will end when the information, or the facts and circumstances, becomes available, but will not exceed twelve months. The Company will recognize measurement-period adjustments during the period of resolution, including the effect on earnings of any amounts that would have been recorded in previous periods if the accounting had been completed at the acquisition date.</w:t>
      </w:r>
    </w:p>
    <w:p>
      <w:pPr>
        <w:spacing w:after="0" w:line="20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Goodwill and intangible assets often represent a significant portion of the assets acquired in a business combination. The Company recognizes the fair value of an acquired intangible apart from goodwill whenever the intangible arises from contractual or other legal rights, or when it can be separated or divided from the acquired entity and sold, transferred, licensed, rented or exchanged, either individually or in combination with a related contract, asset or liability. Intangible assets consist primarily of technology, customer relationships, and trade name and trademarks acquired in business combinations and in-process research and development (“IPR&amp;D”). The Company’s assessment of IPR&amp;D also includes consideration of the risk of the projects not achieving technological feasibility.</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and Other Long-Lived Assets</w:t>
      </w:r>
    </w:p>
    <w:p>
      <w:pPr>
        <w:spacing w:after="0" w:line="25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Goodwill is not amortized. Instead, it is tested for impairment on an annual basis or more frequently whenever events or changes in circumstances indicate that goodwill may be impaired. The Company performs an annual impairment test as of the beginning of its fiscal fourth quarter. The Company uses qualitative factors to determine whether goodwill is more likely than not impaired and whether a quantitative test for impairment is considered necessary. If the Company concludes from the qualitative assessment that goodwill is more likely than not impaired, the Company is required to perform a quantitative approach to determine the amount of impairment. The Company’s assessment resulted in no impairment of goodwill in 2020, 2019, or 2018.</w:t>
      </w:r>
    </w:p>
    <w:p>
      <w:pPr>
        <w:spacing w:after="0" w:line="18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is required to use judgment when applying the goodwill impairment test, including the identification of reporting units, assignment of assets, liabilities and goodwill to reporting units, and determination of the fair value of each reporting unit. In addition, the estimates used to determine the fair value of reporting units may change based on results of operations, macroeconomic conditions or other factors. Changes in these estimates could materially affect the Company’s assessment of the fair value and goodwill impairment. If the Company’s stock price decreases significantly, goodwill could become impaired, which could result in a material charge and adversely affect the Company’s results of operations.</w:t>
      </w:r>
    </w:p>
    <w:p>
      <w:pPr>
        <w:spacing w:after="0" w:line="203"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IPR&amp;D is an intangible asset accounted as an indefinite-lived asset until the completion or abandonment of the associated research and development effort. During the development period, the Company conducts an IPR&amp;D impairment test annually and whenever events or changes in facts and circumstances indicate that it is more likely than not that the IPR&amp;D is impaired. Events which might indicate impairment include, but are not limited to, adverse cost factors, strategic decisions made in response to economic, market, and competitive conditions, and the impact of the economic environment the Company and on its customer base. If impairment is indicated, the impairment is measured as the amount by which the carrying amount of the assets exceeds the fair value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 xml:space="preserve">Other long-lived intangible assets are amortized over their estimated useful lives based on the pattern in which the economic benefits are expected to be received.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 The estimates of fair value require evaluation of future market conditions and product lifecycles as well as projected revenue, earnings and cash flow. See Note 3, </w:t>
      </w:r>
      <w:r>
        <w:rPr>
          <w:rFonts w:ascii="Arial" w:cs="Arial" w:eastAsia="Arial" w:hAnsi="Arial"/>
          <w:sz w:val="16"/>
          <w:szCs w:val="16"/>
          <w:i w:val="1"/>
          <w:iCs w:val="1"/>
          <w:color w:val="auto"/>
        </w:rPr>
        <w:t>Supplemental Financial Statement Data</w:t>
      </w:r>
      <w:r>
        <w:rPr>
          <w:rFonts w:ascii="Arial" w:cs="Arial" w:eastAsia="Arial" w:hAnsi="Arial"/>
          <w:sz w:val="16"/>
          <w:szCs w:val="16"/>
          <w:color w:val="auto"/>
        </w:rPr>
        <w:t>, for additional disclosures related to the Company’s other intangible assets.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and Accounts Receivable</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May 2014, the Financial Accounting Standards Board (“FASB”) issued ASU No. 2014-09, “Revenue from Contracts with Customers (Topic 606),” which superseded the requirements in Accounting Standards Codification (“ASC”) 605 “Revenue Recognition (Topic 605)”. Topic 606 outlines a comprehensive five-step revenue recognition model based on the principle that an entity should recognize revenue when control of the promised goods or services is transferred to customers at an amount that reflects the consideration to which the Company expects to be entitled in exchange for those goods or services. Topic 606 also requires more detailed disclosures to enable users of financial statements to understand the nature, amount, timing, and uncertainty of revenue and cash flows arising from contracts with customers. The Company adopted Topic 606 effective June 30, 2018, using the modified retrospective method to all contracts that were not completed contracts as of the beginning of the fiscal year. Results for reporting periods beginning with fiscal year 2019 are presented under Topic 606, while prior period information presented on the financial statements or elsewhere in this Annual Report on Form 10-K is reported under the Company’s historic accounting policies under Topic 605 in effect for those periods and is not adjusted to reflect the retrospective effect of the adoption of Topic 606. The cumulative effect of adopting Topic 606 was a post-tax increase to the opening retained earnings of $56 million as of June 30, 2018, which was primarily related to the Company’s license and royalty revenue arrangements. These arrangements had no remaining performance obligations but were previously recognized under Topic 605 when they were reported to the Company by its licensees, which was generally one quarter in arrears from the licensees’ sales of the licensed products. Adoption of the standard did not have a material impact on the Company’s financial position, results of operations, and cash flows.</w:t>
      </w:r>
    </w:p>
    <w:p>
      <w:pPr>
        <w:spacing w:after="0" w:line="21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The Company offers a broad range of data storage products that include Client Devices, Data Center Devices and Solutions, and Client Solutions. Client Devices consist of hard disk drives (“HDDs”) and solid state drives (“SSDs”) for computing devices; flash-based embedded storage products; and flash-based memory wafers. Data Center Devices and Solutions consist of high-capacity enterprise HDDs and high-performance enterprise SSDs, data center software and system solutions. Client Solutions consist of HDDs and SSDs embedded into external storage products and removable flash-based products. The Company also generates license and royalty revenue related to its IP patent licenses.</w:t>
      </w:r>
    </w:p>
    <w:p>
      <w:pPr>
        <w:spacing w:after="0" w:line="203"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Company recognizes revenue when it satisfies a performance obligation by transferring control over a product or service to the customer. The transaction price to be recognized as revenue is adjusted for variable consideration, such as sales incentives, and excludes amounts collected on behalf of third parties, including taxes imposed by governmental authorities. The Company’s performance obligations are typically not constrained based on the Company’s history with similar transactions and that uncertainties are resolved in a fairly short period of time.</w:t>
      </w:r>
    </w:p>
    <w:p>
      <w:pPr>
        <w:spacing w:after="0" w:line="19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Substantially all of the Company’s revenue is from the sale of tangible products for which the performance obligations are satisfied at a point in time, generally upon delivery. The Company’s services revenue mainly includes post contract customer support, warranty as a service and maintenance contracts. The performance obligations for the Company’s services are generally satisfied ratably over the service period based on the nature of the service provided and contract terms. Similarly, revenue from patent licensing arrangements is recognized based on whether the arrangement provides the customer a right to use or right to access the IP. Revenue for a right to use arrangement is recognized at the time the control of the license is transferred to the customer. Revenue for a right to access arrangement is recognized over the contract period using the time lapse method. For the sales-based royalty arrangements, the Company estimates and recognizes revenue in the period in which customers’ licensable sales occur.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Company’s customer payment terms are typically less than two months from the date control over the product or service is transferred to the customer. The Company uses the practical expedient and does not recognize a significant financing component for payment considerations of less than one year. The financing components of contracts with payment terms were not material.</w:t>
      </w:r>
    </w:p>
    <w:p>
      <w:pPr>
        <w:spacing w:after="0" w:line="2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provides distributors and retailers (collectively referred to as “resellers”) with limited price protection for inventories held by resellers at the time of published list price reductions. The Company also provides resellers and original equipment manufacturers (“OEMs”) with other sales incentive programs. The Company records estimated variable consideration related to these items as a reduction to revenue at the time of revenue recognition. The Company uses judgment in its assessment of variable consideration in contracts to be included in the transaction price. The Company uses the expected value method to arrive at the amount of variable consideration. The Company is constraining variable consideration until the likelihood of a significant revenue reversal is not probable and believes that the expected value method is the appropriate estimate of the amount of variable consideration based on the fact that the Company has a large number of contracts with similar characteristics.</w:t>
      </w:r>
    </w:p>
    <w:p>
      <w:pPr>
        <w:spacing w:after="0" w:line="204"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For sales to OEMs, the Company’s methodology for estimating variable consideration is based on the amount of consideration expected to be earned based on the OEMs’ volume of purchases from the Company or other agreed upon sales incentive programs. For sales to resellers, the Company’s methodology for estimating variable consideration is based on several factors including historical pricing information, current pricing trends and channel inventory levels. Differences between the estimated and actual amounts of variable consideration are recognized as adjustments to revenue.</w:t>
      </w:r>
    </w:p>
    <w:p>
      <w:pPr>
        <w:spacing w:after="0" w:line="184"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Marketing development program costs are typically recorded as a reduction of the transaction price and, therefore, of revenue. The Company nets sales rebates against open customer receivable balances if the criteria to offset are met; otherwise they are recorded within other accrued liabilities.</w:t>
      </w:r>
    </w:p>
    <w:p>
      <w:pPr>
        <w:spacing w:after="0" w:line="15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An immaterial amount of the Company’s revenue arrangements include contracts that contain more than one performance obligation, which are typically comprised of tangible products, software and support services for multiple distinct licenses. For these contracts with multiple performance obligations, the Company evaluates whether each deliverable is a distinct promise and should be accounted for as a separate performance obligation. If a promised good or service is not distinct in accordance with the revenue guidance, the Company combines that good or service with the other promised goods or services in the arrangement until a distinct bundle of goods is identified. The Company allocates the transaction price to the performance obligations of each distinct product or service, or distinct bundle, based on their relative standalone selling prices. Where a separate standalone selling price is not available, the transaction price is based on the Company’s best estimate of the standalone selling price. The Company uses one or a combination of more than one of the following methods to estimate the standalone selling price: the adjusted market assessment approach, the expected cost plus a margin approach, or another suitable method based on the facts and circumstances.</w:t>
      </w:r>
    </w:p>
    <w:p>
      <w:pPr>
        <w:spacing w:after="0" w:line="208"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Contract assets represent the Company’s rights to consideration where performance obligations are completed but the customer payments are not due until another performance obligation is satisfied. The Company did not have any contract assets as of either July 3, 2020 or June 28, 2019.</w:t>
      </w:r>
    </w:p>
    <w:p>
      <w:pPr>
        <w:spacing w:after="0" w:line="17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Other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and the related amortization as of July 3, 2020 and June 28, 2019 and for the years then ended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Contract liabilities relate to customers’ payments in advance of performance under the contract and primarily relate to remaining performance obligations under support and maintenance contracts. As of July 3, 2020 and June 28, 2019, contract liabilities were $3 million and $43 million, respectively, and were reflected in Accrued expenses. Changes in the contract liability balance during fiscal years 2020 and 2019 include $24 million and $104 million, respectively, of revenue recognized during the respective periods, of which the substantial majority relates to the balances that were deferred at the end of the respective previous years, June 28, 2019 and June 29, 2018, partially offset by payments received and billings in advance of satisfying performance obligations.</w:t>
      </w:r>
    </w:p>
    <w:p>
      <w:pPr>
        <w:spacing w:after="0" w:line="219"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IP license arrangements, which typically range longer than one year. Remaining performance obligations are mainly attributed to right-to-access patent license arrangements and customer support and service contracts which will be recognized over the remaining contract period. The transaction price allocated to the remaining performance obligations as of July 3, 2020 was $112 million, which is mainly attributable to the functional IP license and service arrangements. The Company expects to recognize this amount as revenue as follows: $41 million in fiscal 2021, $40 million in fiscal 2022, $31 million in fiscal 2023 and thereafter.</w:t>
      </w:r>
    </w:p>
    <w:p>
      <w:pPr>
        <w:spacing w:after="0" w:line="204"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Company records an allowance for doubtful accounts by analyzing specific customer accounts and assessing the risk of loss based on insolvency, disputes or other collection issues. In addition, the Company routinely analyzes the different receivable aging categories and establishes reserves based on a combination of past due receivables and expected future losses based primarily on its historical levels of bad debt losses. If the financial condition of a significant customer deteriorates resulting in its inability to pay its accounts when due, or if the Company’s overall loss history changes significantly, an adjustment in the Company’s allowance for doubtful accounts would be required, which could materially affect operating results.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Warranty</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records an accrual for estimated warranty costs when revenue is recognized. The Company generally warrants its products for a period of one to five years, with a small number of products having a warranty ranging up to ten years or more. The warranty provision considers estimated product failure rates and trends, estimated replacement costs, estimated repair costs which include scrap costs and estimated costs for customer compensatory claims related to product quality issues, if any. For warranties ten years or greater, including lifetime warranties, the Company uses the estimated useful life of the product to calculate the warranty exposure. A statistical warranty tracking model is used to help prepare estimates and assist the Company in exercising judgment in determining the underlying estimates. The statistical tracking model captures specific detail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and could differ significantly from the estimates.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Litigation and Other Contingencies</w:t>
      </w:r>
    </w:p>
    <w:p>
      <w:pPr>
        <w:spacing w:after="0" w:line="252"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 xml:space="preserve">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16,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for additional disclosures related to the Company’s litigation.</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Advertising Expense</w:t>
      </w:r>
    </w:p>
    <w:p>
      <w:pPr>
        <w:spacing w:after="0" w:line="2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Advertising costs are expensed as incurred and amounted to $93 million, $107 million and $112 million in 2020, 2019 and 2018, respectively. These expenses are included in Selling, general and administrative in the Consolidated Statements of Operations.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(“R&amp;D”) expenditures are expensed as incurred.</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accounts for income taxes under the asset and liability method, which provides that deferred tax assets and liabilities be recognized for temporary differences between the financial reporting basis and the tax basis of assets and liabilities and expected benefits of utilizing net operating loss (“NOL”) and tax credit carryforwards. The Company records a valuation allowance when it is more likely than not that the deferred tax assets will not be realized. Each quarter, the Company evaluates the need for a valuation allowance for its deferred tax assets and adjusts the valuation allowance so that the Company records net deferred tax assets only to the extent that it has concluded it is more likely than not that these deferred tax assets will be realized. The Company accounts for interest and penalties related to income taxes as a component of the provision for income taxes.</w:t>
      </w:r>
    </w:p>
    <w:p>
      <w:pPr>
        <w:spacing w:after="0" w:line="19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previously-recorded liabilities for unrealized tax benefits, and may materially affect the Company’s operating results.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per Common Share</w:t>
      </w:r>
    </w:p>
    <w:p>
      <w:pPr>
        <w:spacing w:after="0" w:line="25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restricted stock unit awards (“RSU”), restricted stock unit awards with performance conditions or market conditions (“PSU”), rights to purchase shares of common stock under the Company’s Employee Stock Purchase Plan (“ESPP”) and shares issuable in connection with convertible debt.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accounts for all stock-based compensation at fair value. Stock-based compensation cost is measured at the grant date based on the value of the award and is recognized as expense over the vesting period. The fair values of RSUs and PSUs with a performance condition are determined based on the closing market price of the Company’s stock on the date of the grant. The fair values of all ESPP purchase rights are estimated using the Black-Scholes-Merton option-pricing model and require the input of highly subjective assumptions. The fair values of PSUs with a market condition are estimated using a Monte Carlo simulation model. PSUs are granted to certain employees and vest only after the achievement of pre-determined performance or market conditions. Once these conditions are met, vesting of PSUs is subject to continued service by the employee. At the end of each reporting period, the Company evaluates the probability that PSUs with a performance condition will be earned and records the related stock-based compensation expense over the service period. Compensation expense for PSUs with market conditions is recognized ratably over the required service period regardless of expected or actual achievement.</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Comprehensive Income (Loss), Net of Tax</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Other comprehensive income (loss), net of tax refers to revenue, expenses, gains and losses that are recorded as an element of shareholders’ equity but are excluded from net income. The Company’s other comprehensive income (loss), net of tax is primarily comprised of unrealized gains or losses on foreign exchange contracts and interest rate swap agreements designated as cash flow hedges, foreign currency translation, and actuarial gains or losses related to pensions.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Contracts</w:t>
      </w:r>
    </w:p>
    <w:p>
      <w:pPr>
        <w:spacing w:after="0" w:line="252"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majority of the Company’s transactions are in U.S. dollars; however, some transactions are based in various foreign currencies. The Company purchases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Substantially all of these contract maturity dates do not exceed 12 months. All foreign exchange contracts are for risk management purposes only. The Company does not purchase foreign exchange contracts for speculative or trading purposes. The Company had foreign exchange contracts with commercial banks for British pound sterling, European euro, Japanese yen, Malaysian ringgit, Philippine peso, Singapore dollar and Thai baht, which had an aggregate notional amount of $4.62 billion and $5.71 billion at July 3, 2020 and June 28, 2019, respectively.</w:t>
      </w:r>
    </w:p>
    <w:p>
      <w:pPr>
        <w:spacing w:after="0" w:line="20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the derivative is designated as a cash flow hedge and is determined to be highly effective,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are reported in Cost of revenue and Operating expenses, and presented within cash flows from operating activities. The Company accounts for its interest rate swaps as designated cash flow hedges to mitigate variations in interest payments under a portion of its LIBOR-based term loans due to variations in the LIBOR index. The Company pays interest monthly at a fixed rate and receives interest monthly at the LIBOR rate on the notional amount of the contract with realized gains or losses recognized in Interest expense. Hedge effectiveness is measured by comparing the hedging instrument’s cumulative change in fair value from inception to maturity to the underlying exposure’s terminal value. The Company determined the ineffectiveness associated with its cash flow hedges to be immaterial to the Consolidated Financial Statements for all years presented.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change in the fair value of undesignated hedges is recognized in earnings in the period incurred and is reported in 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Pensions and Other Post-Retirement Benefit Plans</w:t>
      </w:r>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has defined benefit pension plans and other post-retirement plans covering certain employees in various countries. The benefits are based on the employees’ years of service and compensation. The plans are funded in conformity with the funding requirements of applicable government authorities. The Company amortizes unrecognized actuarial gains and losses and prior service costs on a straight-line basis over the remaining estimated average service life of the participants. The measurement date for the plans is the Company’s fiscal year-end. The Company recognizes the funded status of its defined benefit pension and post-retirement plans in the Consolidated Balance Sheets, with actuarial changes in the funded status recognized through accumulated other comprehensive income (loss) in the year in which such changes occur.</w:t>
      </w:r>
    </w:p>
    <w:p>
      <w:pPr>
        <w:spacing w:after="0" w:line="205"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Company reports the service cost component in the same line item or items as other compensation costs arising from services rendered by the pertinent employees during the period. In addition, the other components of net benefit cost are presented in Other income (expense), net in the Consolidated Statements of Operations.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52"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 xml:space="preserve">In February 2016, the FASB issued ASU No. 2016-02, “Leases (Topic 842)” (“ASU 2016-02”). ASU 2016-02 supersedes ASC 840 “Leases”. The amendments in this update require, among other things, that lessees recognize the following for all leases (unless a policy election is made by class of underlying asset to exclude short-term leases) at the commencement date: (1) a lease liability, which is a lessee’s obligation to make lease payments arising from a lease, measured on a discounted basis; and (2) a right-of-use asset, which is an asset that represents the lessee’s right to use, or the direct use of, a specified asset for the lease term. The FASB issued ASU 2018-11, “Leases (Topic 842): Targeted Improvements” (“ASU 2018-11”), on July 30, 2018, which allows entities to apply the provisions of ASC 842 at the effective date without adjusting comparative periods. The Company adopted this standard effective June 29, 2019, the first day of the fiscal year ending July 3, 2020, and has elected the transition method provided in ASU 2018-11 to apply Topic 842 as of the date of adoption without adjusting comparative periods. The Company has elected the package of practical expedients and did not reassess prior conclusions including (a) whether its contracts are or contain a lease, (b) lease classification and (c) capitalization of initial direct costs. The adoption of Topic 842 resulted in an increase in lease assets and a corresponding increase in lease liabilities on the Consolidated Balance Sheet of $221 million as of June 29, 2019. The cumulative effect of adopting Topic 842 also included an after-tax decrease to opening retained earnings of $5 million as of June 29, 2019, which was primarily related to previously recorded sublease proceed assumptions on lease exit liabilities for which there was no expected future economic benefit at transition. See Note 9, </w:t>
      </w:r>
      <w:r>
        <w:rPr>
          <w:rFonts w:ascii="Arial" w:cs="Arial" w:eastAsia="Arial" w:hAnsi="Arial"/>
          <w:sz w:val="16"/>
          <w:szCs w:val="16"/>
          <w:i w:val="1"/>
          <w:iCs w:val="1"/>
          <w:color w:val="auto"/>
        </w:rPr>
        <w:t>Leases and Other Commitments</w:t>
      </w:r>
      <w:r>
        <w:rPr>
          <w:rFonts w:ascii="Arial" w:cs="Arial" w:eastAsia="Arial" w:hAnsi="Arial"/>
          <w:sz w:val="16"/>
          <w:szCs w:val="16"/>
          <w:color w:val="auto"/>
        </w:rPr>
        <w:t>, for additional disclosures related to this standard.</w:t>
      </w:r>
    </w:p>
    <w:p>
      <w:pPr>
        <w:spacing w:after="0" w:line="20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October 2018, the FASB issued ASU No. 2018-16, “Derivatives and Hedging (Topic 815): Inclusion of the Secured Overnight Financing Rate (SOFR) Overnight Index Swap (OIS) Rate as a Benchmark Interest Rate for Hedge Accounting Purposes” (“ASU 2018-16”). ASU 2018-16 allows for the use of the OIS rate based on the SOFR as a U.S. benchmark interest rate for hedge accounting purposes under Topic 815, Derivatives and Hedging. The Company adopted this standard in the first quarter of 2020. The Company’s adoption of ASU 2018-16 did not have a material impact on its Consolidated Financial Statements.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ASU 2019-12 removes certain exceptions for recognizing deferred taxes for investments, performing intraperiod allocation and calculating income taxes in interim periods. The ASU also adds guidance to reduce complexity in certain areas, including recognizing deferred taxes for tax goodwill and allocating taxes to members of a consolidated group. This ASU is effective for fiscal years (and interim periods within those fiscal years) beginning after December 15, 2020, which for the Company is the first quarter of fiscal 2022. Early adoption is permitted. The Company does not expect this update to have a material impact on its Consolidated Financial Statements.</w:t>
      </w:r>
    </w:p>
    <w:p>
      <w:pPr>
        <w:spacing w:after="0" w:line="21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November 2018, the FASB issued ASU No. 2018-18, “Collaborative Arrangements (Topic 808): Clarifying the Interaction between Topic 808 and Topic 606” (“ASU 2018-18”). ASU 2018-18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requires retrospective adoption to the date the Company adopted ASC 606 by recognizing a cumulative-effect adjustment to the opening balance of retained earnings of the earliest annual period presented. The amendments are effective for fiscal years, and interim periods within those fiscal years, beginning after December 15, 2019, which for the Company is the first quarter of fiscal 2021. The Company does not expect this update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June 2016, the FASB issued ASU No. 2016-13, “Financial Instruments - 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 range of reasonable and supportable information to inform credit loss estimates. The amendments are effective for fiscal years, and interim periods within those fiscal years, beginning after December 15, 2019, which for the Company is the first quarter of fiscal 2021. The Company does not expect this update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68" w:right="4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Supplemental Financial Statement Data</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From time to time, in connection with factoring agreements, the Company sells trade accounts receivable without recourse to third party purchasers in exchange for cash. In 2020, 2019 and 2018, the Company sold trade accounts receivable and received cash proceeds of $411 million, $1.02 billion and $57 million, respectively. The discounts on the trade accounts receivable sold during the periods were not material and were recorded within Other income (expense), net in the Consolidated Statements of Operations. As of July 3, 2020 and June 28, 2019, the amount of factored receivables that remained outstanding was $113 million and $318 million, respectively.</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July 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02"/>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220" w:type="dxa"/>
            <w:vAlign w:val="bottom"/>
          </w:tcPr>
          <w:p>
            <w:pPr>
              <w:spacing w:after="0"/>
              <w:rPr>
                <w:sz w:val="16"/>
                <w:szCs w:val="16"/>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7"/>
                <w:szCs w:val="17"/>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4"/>
        </w:trPr>
        <w:tc>
          <w:tcPr>
            <w:tcW w:w="8220" w:type="dxa"/>
            <w:vAlign w:val="bottom"/>
          </w:tcPr>
          <w:p>
            <w:pPr>
              <w:ind w:left="120"/>
              <w:spacing w:after="0"/>
              <w:rPr>
                <w:sz w:val="20"/>
                <w:szCs w:val="20"/>
                <w:color w:val="auto"/>
              </w:rPr>
            </w:pPr>
            <w:r>
              <w:rPr>
                <w:rFonts w:ascii="Arial" w:cs="Arial" w:eastAsia="Arial" w:hAnsi="Arial"/>
                <w:sz w:val="16"/>
                <w:szCs w:val="16"/>
                <w:color w:val="auto"/>
              </w:rPr>
              <w:t>Raw materials and component parts</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1"/>
              <w:spacing w:after="0"/>
              <w:rPr>
                <w:sz w:val="20"/>
                <w:szCs w:val="20"/>
                <w:color w:val="auto"/>
              </w:rPr>
            </w:pPr>
            <w:r>
              <w:rPr>
                <w:rFonts w:ascii="Arial" w:cs="Arial" w:eastAsia="Arial" w:hAnsi="Arial"/>
                <w:sz w:val="16"/>
                <w:szCs w:val="16"/>
                <w:color w:val="auto"/>
                <w:w w:val="99"/>
              </w:rPr>
              <w:t>1,306</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1,142</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Work-in-process</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968</w:t>
            </w: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Finished goods</w:t>
            </w:r>
          </w:p>
        </w:tc>
        <w:tc>
          <w:tcPr>
            <w:tcW w:w="960" w:type="dxa"/>
            <w:vAlign w:val="bottom"/>
          </w:tcPr>
          <w:p>
            <w:pPr>
              <w:spacing w:after="0"/>
              <w:rPr>
                <w:sz w:val="19"/>
                <w:szCs w:val="19"/>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1,173</w:t>
            </w:r>
          </w:p>
        </w:tc>
      </w:tr>
      <w:tr>
        <w:trPr>
          <w:trHeight w:val="33"/>
        </w:trPr>
        <w:tc>
          <w:tcPr>
            <w:tcW w:w="8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2"/>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inventories</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9"/>
              </w:rPr>
              <w:t>3,070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3,283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 net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July 3,</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01"/>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7"/>
                <w:szCs w:val="17"/>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4"/>
        </w:trPr>
        <w:tc>
          <w:tcPr>
            <w:tcW w:w="8220" w:type="dxa"/>
            <w:vAlign w:val="bottom"/>
          </w:tcPr>
          <w:p>
            <w:pPr>
              <w:ind w:left="120"/>
              <w:spacing w:after="0"/>
              <w:rPr>
                <w:sz w:val="20"/>
                <w:szCs w:val="20"/>
                <w:color w:val="auto"/>
              </w:rPr>
            </w:pPr>
            <w:r>
              <w:rPr>
                <w:rFonts w:ascii="Arial" w:cs="Arial" w:eastAsia="Arial" w:hAnsi="Arial"/>
                <w:sz w:val="16"/>
                <w:szCs w:val="16"/>
                <w:color w:val="auto"/>
              </w:rPr>
              <w:t>Land</w:t>
            </w:r>
          </w:p>
        </w:tc>
        <w:tc>
          <w:tcPr>
            <w:tcW w:w="920" w:type="dxa"/>
            <w:vAlign w:val="bottom"/>
          </w:tcPr>
          <w:p>
            <w:pPr>
              <w:jc w:val="right"/>
              <w:ind w:right="74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294</w:t>
            </w: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Buildings and improvements</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1,743</w:t>
            </w: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Machinery and equipment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7,267</w:t>
            </w: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Computer equipment and software</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441</w:t>
            </w: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Furniture and fixtures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56</w:t>
            </w: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Construction-in-process</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202</w:t>
            </w:r>
          </w:p>
        </w:tc>
      </w:tr>
      <w:tr>
        <w:trPr>
          <w:trHeight w:val="217"/>
        </w:trPr>
        <w:tc>
          <w:tcPr>
            <w:tcW w:w="8220" w:type="dxa"/>
            <w:vAlign w:val="bottom"/>
          </w:tcPr>
          <w:p>
            <w:pPr>
              <w:ind w:left="220"/>
              <w:spacing w:after="0"/>
              <w:rPr>
                <w:sz w:val="20"/>
                <w:szCs w:val="20"/>
                <w:color w:val="auto"/>
              </w:rPr>
            </w:pPr>
            <w:r>
              <w:rPr>
                <w:rFonts w:ascii="Arial" w:cs="Arial" w:eastAsia="Arial" w:hAnsi="Arial"/>
                <w:sz w:val="16"/>
                <w:szCs w:val="16"/>
                <w:color w:val="auto"/>
              </w:rPr>
              <w:t>Property, plant and equipment, gross</w:t>
            </w: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10,300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10,003</w:t>
            </w:r>
          </w:p>
        </w:tc>
      </w:tr>
      <w:tr>
        <w:trPr>
          <w:trHeight w:val="3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6"/>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(7,446)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(7,160)</w:t>
            </w:r>
          </w:p>
        </w:tc>
      </w:tr>
      <w:tr>
        <w:trPr>
          <w:trHeight w:val="247"/>
        </w:trPr>
        <w:tc>
          <w:tcPr>
            <w:tcW w:w="8220" w:type="dxa"/>
            <w:vAlign w:val="bottom"/>
          </w:tcPr>
          <w:p>
            <w:pPr>
              <w:ind w:left="220"/>
              <w:spacing w:after="0"/>
              <w:rPr>
                <w:sz w:val="20"/>
                <w:szCs w:val="20"/>
                <w:color w:val="auto"/>
              </w:rPr>
            </w:pPr>
            <w:r>
              <w:rPr>
                <w:rFonts w:ascii="Arial" w:cs="Arial" w:eastAsia="Arial" w:hAnsi="Arial"/>
                <w:sz w:val="16"/>
                <w:szCs w:val="16"/>
                <w:color w:val="auto"/>
              </w:rPr>
              <w:t>Property, plant and equipment, net</w:t>
            </w:r>
          </w:p>
        </w:tc>
        <w:tc>
          <w:tcPr>
            <w:tcW w:w="92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2,854</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2,843</w:t>
            </w:r>
          </w:p>
        </w:tc>
      </w:tr>
      <w:tr>
        <w:trPr>
          <w:trHeight w:val="2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of property, plant and equipment totaled $797 million, $844 million and $871 million in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7"/>
              </w:rPr>
              <w:t>Carrying Amount</w:t>
            </w:r>
          </w:p>
        </w:tc>
      </w:tr>
      <w:tr>
        <w:trPr>
          <w:trHeight w:val="196"/>
        </w:trPr>
        <w:tc>
          <w:tcPr>
            <w:tcW w:w="9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301"/>
              <w:spacing w:after="0"/>
              <w:rPr>
                <w:sz w:val="20"/>
                <w:szCs w:val="20"/>
                <w:color w:val="auto"/>
              </w:rPr>
            </w:pPr>
            <w:r>
              <w:rPr>
                <w:rFonts w:ascii="Arial" w:cs="Arial" w:eastAsia="Arial" w:hAnsi="Arial"/>
                <w:sz w:val="14"/>
                <w:szCs w:val="14"/>
                <w:i w:val="1"/>
                <w:iCs w:val="1"/>
                <w:color w:val="auto"/>
              </w:rPr>
              <w:t>(in millions)</w:t>
            </w: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29,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10,075</w:t>
            </w:r>
          </w:p>
        </w:tc>
      </w:tr>
      <w:tr>
        <w:trPr>
          <w:trHeight w:val="224"/>
        </w:trPr>
        <w:tc>
          <w:tcPr>
            <w:tcW w:w="978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14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w:t>
            </w:r>
          </w:p>
        </w:tc>
      </w:tr>
      <w:tr>
        <w:trPr>
          <w:trHeight w:val="33"/>
        </w:trPr>
        <w:tc>
          <w:tcPr>
            <w:tcW w:w="9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28,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10,076</w:t>
            </w:r>
          </w:p>
        </w:tc>
      </w:tr>
      <w:tr>
        <w:trPr>
          <w:trHeight w:val="223"/>
        </w:trPr>
        <w:tc>
          <w:tcPr>
            <w:tcW w:w="9780" w:type="dxa"/>
            <w:vAlign w:val="bottom"/>
          </w:tcPr>
          <w:p>
            <w:pPr>
              <w:ind w:left="120"/>
              <w:spacing w:after="0"/>
              <w:rPr>
                <w:sz w:val="20"/>
                <w:szCs w:val="20"/>
                <w:color w:val="auto"/>
              </w:rPr>
            </w:pPr>
            <w:r>
              <w:rPr>
                <w:rFonts w:ascii="Arial" w:cs="Arial" w:eastAsia="Arial" w:hAnsi="Arial"/>
                <w:sz w:val="16"/>
                <w:szCs w:val="16"/>
                <w:color w:val="auto"/>
              </w:rPr>
              <w:t>Goodwill recorded in connection with an acquisition</w:t>
            </w:r>
          </w:p>
        </w:tc>
        <w:tc>
          <w:tcPr>
            <w:tcW w:w="14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14</w:t>
            </w:r>
          </w:p>
        </w:tc>
      </w:tr>
      <w:tr>
        <w:trPr>
          <w:trHeight w:val="33"/>
        </w:trPr>
        <w:tc>
          <w:tcPr>
            <w:tcW w:w="9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9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Reduction in goodwill in connection with disposition of business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4"/>
        </w:trPr>
        <w:tc>
          <w:tcPr>
            <w:tcW w:w="978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9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2"/>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July 3,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10,067</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Acquisition</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On September 10, 2019, the Company acquired substantially all the assets of Kazan Networks, Inc., an innovator in high-performance networking and non-volatile memory express over fabrics technology ("NVMe-oF"), and an industry leader in application-specific integrated circuit and adapter solutions to connect storage platforms and systems over ethernet fabrics. The purchase price of this acquisition was $22 million in cash, with net assets acquired primarily consisting of IPR&amp;D of $8 million and $14 million allocated to Goodwill. Goodwill is primarily attributable to the benefits the Company expects to derive from diversifying product offerings in its Data Center Devices and Solutions and Client Solutions end markets as well as the acquired workforce. The expenses incurred by the Company related to the acquisition as well as the revenues and earnings related to the acquisition were not material to the Consolidated Financial Statements.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Dispositions</w:t>
      </w:r>
    </w:p>
    <w:p>
      <w:pPr>
        <w:spacing w:after="0" w:line="25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September 2019, the Company announced its intention to exit storage systems, which consisted of IntelliFlash and ActiveScale. These actions allow the Company to redirect investments to other high value priorities. In November 2019, the Company completed its sale of IntelliFlash for a price of $28 million, to be collected over the next three years. The sale of the IntelliFlash business included an immaterial amount of inventory, other tangible and intangible assets, and goodwill; and resulted in a gain of approximately $17 million recorded in Employee termination, asset impairment, and other charges in the Consolidated Statements of Operations for the year ended July 3, 2020. Additionally, in March 2020, the Company completed the sale of ActiveScale. The net assets sold and the proceeds from the sale of ActiveScale were not material. The revenues and expenses related to these businesses were not material to the Consolidated Financial Statements and did not qualify to be reported as discontinued operations. The operating results of these businesses have been reflected in the Company’s results from continuing operations in the Consolidated Statements of Operations for all periods presented through the date of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intangible assets as of July 3, 2020 and June 28,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July 3, 2020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8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Gross Carrying</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1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2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6"/>
                <w:szCs w:val="16"/>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Amortization</w:t>
            </w:r>
          </w:p>
        </w:tc>
        <w:tc>
          <w:tcPr>
            <w:tcW w:w="11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2"/>
              </w:rPr>
              <w:t>(in years)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w w:val="98"/>
              </w:rPr>
              <w:t>(in millions)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Finite:</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980" w:type="dxa"/>
            <w:vAlign w:val="bottom"/>
          </w:tcPr>
          <w:p>
            <w:pPr>
              <w:ind w:left="120"/>
              <w:spacing w:after="0"/>
              <w:rPr>
                <w:sz w:val="20"/>
                <w:szCs w:val="20"/>
                <w:color w:val="auto"/>
              </w:rPr>
            </w:pPr>
            <w:r>
              <w:rPr>
                <w:rFonts w:ascii="Arial" w:cs="Arial" w:eastAsia="Arial" w:hAnsi="Arial"/>
                <w:sz w:val="16"/>
                <w:szCs w:val="16"/>
                <w:color w:val="auto"/>
              </w:rPr>
              <w:t>Existing technology</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4,248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(3,852)</w:t>
            </w:r>
          </w:p>
        </w:tc>
        <w:tc>
          <w:tcPr>
            <w:tcW w:w="10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Trade names and trademarks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23"/>
        </w:trPr>
        <w:tc>
          <w:tcPr>
            <w:tcW w:w="3980" w:type="dxa"/>
            <w:vAlign w:val="bottom"/>
          </w:tcPr>
          <w:p>
            <w:pPr>
              <w:ind w:left="120"/>
              <w:spacing w:after="0"/>
              <w:rPr>
                <w:sz w:val="20"/>
                <w:szCs w:val="20"/>
                <w:color w:val="auto"/>
              </w:rPr>
            </w:pPr>
            <w:r>
              <w:rPr>
                <w:rFonts w:ascii="Arial" w:cs="Arial" w:eastAsia="Arial" w:hAnsi="Arial"/>
                <w:sz w:val="16"/>
                <w:szCs w:val="16"/>
                <w:color w:val="auto"/>
              </w:rPr>
              <w:t>Customer relationships</w:t>
            </w: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Leasehold interests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3980" w:type="dxa"/>
            <w:vAlign w:val="bottom"/>
          </w:tcPr>
          <w:p>
            <w:pPr>
              <w:ind w:left="20"/>
              <w:spacing w:after="0"/>
              <w:rPr>
                <w:sz w:val="20"/>
                <w:szCs w:val="20"/>
                <w:color w:val="auto"/>
              </w:rPr>
            </w:pPr>
            <w:r>
              <w:rPr>
                <w:rFonts w:ascii="Arial" w:cs="Arial" w:eastAsia="Arial" w:hAnsi="Arial"/>
                <w:sz w:val="16"/>
                <w:szCs w:val="16"/>
                <w:color w:val="auto"/>
              </w:rPr>
              <w:t>Total finite intangible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5,541</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(4,680)</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In-process research and development</w:t>
            </w: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47"/>
        </w:trPr>
        <w:tc>
          <w:tcPr>
            <w:tcW w:w="398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5,621</w:t>
            </w:r>
          </w:p>
        </w:tc>
        <w:tc>
          <w:tcPr>
            <w:tcW w:w="1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(4,680)</w:t>
            </w:r>
          </w:p>
        </w:tc>
        <w:tc>
          <w:tcPr>
            <w:tcW w:w="1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0"/>
              </w:rPr>
              <w:t>June 28, 2019</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5400" w:type="dxa"/>
            <w:vAlign w:val="bottom"/>
          </w:tcPr>
          <w:p>
            <w:pPr>
              <w:spacing w:after="0"/>
              <w:rPr>
                <w:sz w:val="13"/>
                <w:szCs w:val="13"/>
                <w:color w:val="auto"/>
              </w:rPr>
            </w:pP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80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22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Net Carrying</w:t>
            </w:r>
          </w:p>
        </w:tc>
      </w:tr>
      <w:tr>
        <w:trPr>
          <w:trHeight w:val="192"/>
        </w:trPr>
        <w:tc>
          <w:tcPr>
            <w:tcW w:w="54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12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Amount</w:t>
            </w:r>
          </w:p>
        </w:tc>
      </w:tr>
      <w:tr>
        <w:trPr>
          <w:trHeight w:val="196"/>
        </w:trPr>
        <w:tc>
          <w:tcPr>
            <w:tcW w:w="540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2"/>
              </w:rPr>
              <w:t>(in years)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220" w:type="dxa"/>
            <w:vAlign w:val="bottom"/>
          </w:tcPr>
          <w:p>
            <w:pPr>
              <w:spacing w:after="0"/>
              <w:rPr>
                <w:sz w:val="17"/>
                <w:szCs w:val="17"/>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Finite:</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3"/>
        </w:trPr>
        <w:tc>
          <w:tcPr>
            <w:tcW w:w="5400" w:type="dxa"/>
            <w:vAlign w:val="bottom"/>
          </w:tcPr>
          <w:p>
            <w:pPr>
              <w:ind w:left="120"/>
              <w:spacing w:after="0"/>
              <w:rPr>
                <w:sz w:val="20"/>
                <w:szCs w:val="20"/>
                <w:color w:val="auto"/>
              </w:rPr>
            </w:pPr>
            <w:r>
              <w:rPr>
                <w:rFonts w:ascii="Arial" w:cs="Arial" w:eastAsia="Arial" w:hAnsi="Arial"/>
                <w:sz w:val="16"/>
                <w:szCs w:val="16"/>
                <w:color w:val="auto"/>
              </w:rPr>
              <w:t>Existing technology</w:t>
            </w:r>
          </w:p>
        </w:tc>
        <w:tc>
          <w:tcPr>
            <w:tcW w:w="14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4,332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(3,316)</w:t>
            </w:r>
          </w:p>
        </w:tc>
        <w:tc>
          <w:tcPr>
            <w:tcW w:w="10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1,016</w:t>
            </w:r>
          </w:p>
        </w:tc>
      </w:tr>
      <w:tr>
        <w:trPr>
          <w:trHeight w:val="33"/>
        </w:trPr>
        <w:tc>
          <w:tcPr>
            <w:tcW w:w="5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Trade names and trademarks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338</w:t>
            </w:r>
          </w:p>
        </w:tc>
      </w:tr>
      <w:tr>
        <w:trPr>
          <w:trHeight w:val="223"/>
        </w:trPr>
        <w:tc>
          <w:tcPr>
            <w:tcW w:w="5400" w:type="dxa"/>
            <w:vAlign w:val="bottom"/>
          </w:tcPr>
          <w:p>
            <w:pPr>
              <w:ind w:left="120"/>
              <w:spacing w:after="0"/>
              <w:rPr>
                <w:sz w:val="20"/>
                <w:szCs w:val="20"/>
                <w:color w:val="auto"/>
              </w:rPr>
            </w:pPr>
            <w:r>
              <w:rPr>
                <w:rFonts w:ascii="Arial" w:cs="Arial" w:eastAsia="Arial" w:hAnsi="Arial"/>
                <w:sz w:val="16"/>
                <w:szCs w:val="16"/>
                <w:color w:val="auto"/>
              </w:rPr>
              <w:t>Customer relationships</w:t>
            </w:r>
          </w:p>
        </w:tc>
        <w:tc>
          <w:tcPr>
            <w:tcW w:w="14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263</w:t>
            </w:r>
          </w:p>
        </w:tc>
      </w:tr>
      <w:tr>
        <w:trPr>
          <w:trHeight w:val="33"/>
        </w:trPr>
        <w:tc>
          <w:tcPr>
            <w:tcW w:w="5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23"/>
        </w:trPr>
        <w:tc>
          <w:tcPr>
            <w:tcW w:w="5400" w:type="dxa"/>
            <w:vAlign w:val="bottom"/>
          </w:tcPr>
          <w:p>
            <w:pPr>
              <w:ind w:left="120"/>
              <w:spacing w:after="0"/>
              <w:rPr>
                <w:sz w:val="20"/>
                <w:szCs w:val="20"/>
                <w:color w:val="auto"/>
              </w:rPr>
            </w:pPr>
            <w:r>
              <w:rPr>
                <w:rFonts w:ascii="Arial" w:cs="Arial" w:eastAsia="Arial" w:hAnsi="Arial"/>
                <w:sz w:val="16"/>
                <w:szCs w:val="16"/>
                <w:color w:val="auto"/>
              </w:rPr>
              <w:t>Leasehold interests</w:t>
            </w:r>
          </w:p>
        </w:tc>
        <w:tc>
          <w:tcPr>
            <w:tcW w:w="14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22</w:t>
            </w:r>
          </w:p>
        </w:tc>
      </w:tr>
      <w:tr>
        <w:trPr>
          <w:trHeight w:val="33"/>
        </w:trPr>
        <w:tc>
          <w:tcPr>
            <w:tcW w:w="54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finite intangible assets</w:t>
            </w: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5,824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1,639</w:t>
            </w: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In-process research and development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72</w:t>
            </w:r>
          </w:p>
        </w:tc>
      </w:tr>
      <w:tr>
        <w:trPr>
          <w:trHeight w:val="33"/>
        </w:trPr>
        <w:tc>
          <w:tcPr>
            <w:tcW w:w="54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1,711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As part of prior acquisitions, the Company recorded at the time of the acquisition acquired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2020, 2019 and 2018, the Company did not record any impairment charges related to intangible assets.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Intangible assets are amortized over the estimated useful lives based on the pattern in which the economic benefits are expected to be received.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was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2018</w:t>
            </w:r>
          </w:p>
        </w:tc>
      </w:tr>
      <w:tr>
        <w:trPr>
          <w:trHeight w:val="196"/>
        </w:trPr>
        <w:tc>
          <w:tcPr>
            <w:tcW w:w="6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center"/>
              <w:ind w:right="165"/>
              <w:spacing w:after="0"/>
              <w:rPr>
                <w:sz w:val="20"/>
                <w:szCs w:val="20"/>
                <w:color w:val="auto"/>
              </w:rPr>
            </w:pPr>
            <w:r>
              <w:rPr>
                <w:rFonts w:ascii="Arial" w:cs="Arial" w:eastAsia="Arial" w:hAnsi="Arial"/>
                <w:sz w:val="14"/>
                <w:szCs w:val="14"/>
                <w:i w:val="1"/>
                <w:iCs w:val="1"/>
                <w:color w:val="auto"/>
                <w:w w:val="98"/>
              </w:rPr>
              <w:t>(in millions)</w:t>
            </w: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 amortization</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769</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968</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1,185</w:t>
            </w:r>
          </w:p>
        </w:tc>
      </w:tr>
      <w:tr>
        <w:trPr>
          <w:trHeight w:val="33"/>
        </w:trPr>
        <w:tc>
          <w:tcPr>
            <w:tcW w:w="6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estimated future amortization expense for intangible assets currently subject to amortization as of July 3, 2020:</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23"/>
              <w:spacing w:after="0"/>
              <w:rPr>
                <w:sz w:val="20"/>
                <w:szCs w:val="20"/>
                <w:color w:val="auto"/>
              </w:rPr>
            </w:pPr>
            <w:r>
              <w:rPr>
                <w:rFonts w:ascii="Arial" w:cs="Arial" w:eastAsia="Arial" w:hAnsi="Arial"/>
                <w:sz w:val="14"/>
                <w:szCs w:val="14"/>
                <w:b w:val="1"/>
                <w:bCs w:val="1"/>
                <w:color w:val="auto"/>
                <w:w w:val="95"/>
              </w:rPr>
              <w:t>Future Intangible</w:t>
            </w:r>
          </w:p>
        </w:tc>
      </w:tr>
      <w:tr>
        <w:trPr>
          <w:trHeight w:val="149"/>
        </w:trPr>
        <w:tc>
          <w:tcPr>
            <w:tcW w:w="9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4"/>
              </w:rPr>
              <w:t>Asset Amortization</w:t>
            </w:r>
          </w:p>
        </w:tc>
      </w:tr>
      <w:tr>
        <w:trPr>
          <w:trHeight w:val="192"/>
        </w:trPr>
        <w:tc>
          <w:tcPr>
            <w:tcW w:w="9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5"/>
              </w:rPr>
              <w:t>Expenses</w:t>
            </w:r>
          </w:p>
        </w:tc>
      </w:tr>
      <w:tr>
        <w:trPr>
          <w:trHeight w:val="196"/>
        </w:trPr>
        <w:tc>
          <w:tcPr>
            <w:tcW w:w="9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23"/>
              <w:spacing w:after="0"/>
              <w:rPr>
                <w:sz w:val="20"/>
                <w:szCs w:val="20"/>
                <w:color w:val="auto"/>
              </w:rPr>
            </w:pPr>
            <w:r>
              <w:rPr>
                <w:rFonts w:ascii="Arial" w:cs="Arial" w:eastAsia="Arial" w:hAnsi="Arial"/>
                <w:sz w:val="14"/>
                <w:szCs w:val="14"/>
                <w:i w:val="1"/>
                <w:iCs w:val="1"/>
                <w:color w:val="auto"/>
              </w:rPr>
              <w:t>(in millions)</w:t>
            </w:r>
          </w:p>
        </w:tc>
      </w:tr>
      <w:tr>
        <w:trPr>
          <w:trHeight w:val="243"/>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4"/>
        </w:trPr>
        <w:tc>
          <w:tcPr>
            <w:tcW w:w="9720" w:type="dxa"/>
            <w:vAlign w:val="bottom"/>
          </w:tcPr>
          <w:p>
            <w:pPr>
              <w:ind w:left="120"/>
              <w:spacing w:after="0"/>
              <w:rPr>
                <w:sz w:val="20"/>
                <w:szCs w:val="20"/>
                <w:color w:val="auto"/>
              </w:rPr>
            </w:pPr>
            <w:r>
              <w:rPr>
                <w:rFonts w:ascii="Arial" w:cs="Arial" w:eastAsia="Arial" w:hAnsi="Arial"/>
                <w:sz w:val="16"/>
                <w:szCs w:val="16"/>
                <w:color w:val="auto"/>
              </w:rPr>
              <w:t>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489</w:t>
            </w: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220</w:t>
            </w:r>
          </w:p>
        </w:tc>
      </w:tr>
      <w:tr>
        <w:trPr>
          <w:trHeight w:val="223"/>
        </w:trPr>
        <w:tc>
          <w:tcPr>
            <w:tcW w:w="9720" w:type="dxa"/>
            <w:vAlign w:val="bottom"/>
          </w:tcPr>
          <w:p>
            <w:pPr>
              <w:ind w:left="1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9"/>
                <w:szCs w:val="19"/>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133</w:t>
            </w: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6"/>
        </w:trPr>
        <w:tc>
          <w:tcPr>
            <w:tcW w:w="9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2024 and thereafter</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19</w:t>
            </w:r>
          </w:p>
        </w:tc>
      </w:tr>
      <w:tr>
        <w:trPr>
          <w:trHeight w:val="247"/>
        </w:trPr>
        <w:tc>
          <w:tcPr>
            <w:tcW w:w="9720" w:type="dxa"/>
            <w:vAlign w:val="bottom"/>
          </w:tcPr>
          <w:p>
            <w:pPr>
              <w:ind w:left="220"/>
              <w:spacing w:after="0"/>
              <w:rPr>
                <w:sz w:val="20"/>
                <w:szCs w:val="20"/>
                <w:color w:val="auto"/>
              </w:rPr>
            </w:pPr>
            <w:r>
              <w:rPr>
                <w:rFonts w:ascii="Arial" w:cs="Arial" w:eastAsia="Arial" w:hAnsi="Arial"/>
                <w:sz w:val="16"/>
                <w:szCs w:val="16"/>
                <w:color w:val="auto"/>
              </w:rPr>
              <w:t>Total future amortization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861</w:t>
            </w:r>
          </w:p>
        </w:tc>
      </w:tr>
      <w:tr>
        <w:trPr>
          <w:trHeight w:val="23"/>
        </w:trPr>
        <w:tc>
          <w:tcPr>
            <w:tcW w:w="9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6"/>
        </w:trPr>
        <w:tc>
          <w:tcPr>
            <w:tcW w:w="6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Warranty accrual, beginning of period</w:t>
            </w:r>
          </w:p>
        </w:tc>
        <w:tc>
          <w:tcPr>
            <w:tcW w:w="960" w:type="dxa"/>
            <w:vAlign w:val="bottom"/>
            <w:tcBorders>
              <w:bottom w:val="single" w:sz="8" w:color="CCEEFF"/>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311</w:t>
            </w:r>
          </w:p>
        </w:tc>
      </w:tr>
      <w:tr>
        <w:trPr>
          <w:trHeight w:val="223"/>
        </w:trPr>
        <w:tc>
          <w:tcPr>
            <w:tcW w:w="6700" w:type="dxa"/>
            <w:vAlign w:val="bottom"/>
          </w:tcPr>
          <w:p>
            <w:pPr>
              <w:ind w:left="120"/>
              <w:spacing w:after="0"/>
              <w:rPr>
                <w:sz w:val="20"/>
                <w:szCs w:val="20"/>
                <w:color w:val="auto"/>
              </w:rPr>
            </w:pPr>
            <w:r>
              <w:rPr>
                <w:rFonts w:ascii="Arial" w:cs="Arial" w:eastAsia="Arial" w:hAnsi="Arial"/>
                <w:sz w:val="16"/>
                <w:szCs w:val="16"/>
                <w:color w:val="auto"/>
              </w:rPr>
              <w:t>Charges to operations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176</w:t>
            </w:r>
          </w:p>
        </w:tc>
      </w:tr>
      <w:tr>
        <w:trPr>
          <w:trHeight w:val="33"/>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Utilization</w:t>
            </w: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23"/>
        </w:trPr>
        <w:tc>
          <w:tcPr>
            <w:tcW w:w="6700" w:type="dxa"/>
            <w:vAlign w:val="bottom"/>
          </w:tcPr>
          <w:p>
            <w:pPr>
              <w:ind w:left="120"/>
              <w:spacing w:after="0"/>
              <w:rPr>
                <w:sz w:val="20"/>
                <w:szCs w:val="20"/>
                <w:color w:val="auto"/>
              </w:rPr>
            </w:pPr>
            <w:r>
              <w:rPr>
                <w:rFonts w:ascii="Arial" w:cs="Arial" w:eastAsia="Arial" w:hAnsi="Arial"/>
                <w:sz w:val="16"/>
                <w:szCs w:val="16"/>
                <w:color w:val="auto"/>
              </w:rPr>
              <w:t>Changes in estimate related to pre-existing warranties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6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Warranty accrual, end of period</w:t>
            </w:r>
          </w:p>
        </w:tc>
        <w:tc>
          <w:tcPr>
            <w:tcW w:w="960" w:type="dxa"/>
            <w:vAlign w:val="bottom"/>
            <w:tcBorders>
              <w:bottom w:val="single" w:sz="8" w:color="CCEEFF"/>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gridSpan w:val="3"/>
          </w:tcPr>
          <w:p>
            <w:pPr>
              <w:jc w:val="right"/>
              <w:ind w:right="5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7"/>
                <w:szCs w:val="17"/>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Warranty accrual</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Current portion (included in Accrued expenses)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188</w:t>
            </w:r>
          </w:p>
        </w:tc>
      </w:tr>
      <w:tr>
        <w:trPr>
          <w:trHeight w:val="33"/>
        </w:trPr>
        <w:tc>
          <w:tcPr>
            <w:tcW w:w="8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Long-term portion (included in Other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162</w:t>
            </w:r>
          </w:p>
        </w:tc>
      </w:tr>
      <w:tr>
        <w:trPr>
          <w:trHeight w:val="247"/>
        </w:trPr>
        <w:tc>
          <w:tcPr>
            <w:tcW w:w="8220" w:type="dxa"/>
            <w:vAlign w:val="bottom"/>
          </w:tcPr>
          <w:p>
            <w:pPr>
              <w:ind w:left="220"/>
              <w:spacing w:after="0"/>
              <w:rPr>
                <w:sz w:val="20"/>
                <w:szCs w:val="20"/>
                <w:color w:val="auto"/>
              </w:rPr>
            </w:pPr>
            <w:r>
              <w:rPr>
                <w:rFonts w:ascii="Arial" w:cs="Arial" w:eastAsia="Arial" w:hAnsi="Arial"/>
                <w:sz w:val="16"/>
                <w:szCs w:val="16"/>
                <w:color w:val="auto"/>
              </w:rPr>
              <w:t>Total warranty accrual</w:t>
            </w:r>
          </w:p>
        </w:tc>
        <w:tc>
          <w:tcPr>
            <w:tcW w:w="100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350</w:t>
            </w:r>
          </w:p>
        </w:tc>
      </w:tr>
      <w:tr>
        <w:trPr>
          <w:trHeight w:val="24"/>
        </w:trPr>
        <w:tc>
          <w:tcPr>
            <w:tcW w:w="8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liabilities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gridSpan w:val="3"/>
          </w:tcPr>
          <w:p>
            <w:pPr>
              <w:jc w:val="right"/>
              <w:ind w:right="5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7"/>
                <w:szCs w:val="17"/>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Non-current net tax payable</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928</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Payables related to unrecognized tax benefits</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699</w:t>
            </w: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Other non-current liabilities</w:t>
            </w:r>
          </w:p>
        </w:tc>
        <w:tc>
          <w:tcPr>
            <w:tcW w:w="94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713</w:t>
            </w:r>
          </w:p>
        </w:tc>
      </w:tr>
      <w:tr>
        <w:trPr>
          <w:trHeight w:val="33"/>
        </w:trPr>
        <w:tc>
          <w:tcPr>
            <w:tcW w:w="8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2"/>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liabilities</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2,416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2,340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52" w:lineRule="exact"/>
        <w:rPr>
          <w:sz w:val="20"/>
          <w:szCs w:val="20"/>
          <w:color w:val="auto"/>
        </w:rPr>
      </w:pPr>
    </w:p>
    <w:p>
      <w:pPr>
        <w:ind w:right="800" w:firstLine="324"/>
        <w:spacing w:after="0" w:line="311" w:lineRule="auto"/>
        <w:rPr>
          <w:sz w:val="20"/>
          <w:szCs w:val="20"/>
          <w:color w:val="auto"/>
        </w:rPr>
      </w:pPr>
      <w:r>
        <w:rPr>
          <w:rFonts w:ascii="Arial" w:cs="Arial" w:eastAsia="Arial" w:hAnsi="Arial"/>
          <w:sz w:val="16"/>
          <w:szCs w:val="16"/>
          <w:color w:val="auto"/>
        </w:rPr>
        <w:t>Accumulated other comprehensive income (loss) (“AOCI”), net of tax refers to expenses, gains and losses that are recorded as an element of shareholders’ equity but are excluded from net income. The following table illustrates the changes in the balances of each component of AOCI:</w:t>
      </w: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Actuarial Pension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Foreign Currency</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2"/>
                <w:szCs w:val="12"/>
                <w:color w:val="auto"/>
              </w:rPr>
            </w:pPr>
          </w:p>
        </w:tc>
        <w:tc>
          <w:tcPr>
            <w:tcW w:w="13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(Losses) on Derivative</w:t>
            </w:r>
          </w:p>
        </w:tc>
        <w:tc>
          <w:tcPr>
            <w:tcW w:w="120" w:type="dxa"/>
            <w:vAlign w:val="bottom"/>
          </w:tcPr>
          <w:p>
            <w:pPr>
              <w:spacing w:after="0"/>
              <w:rPr>
                <w:sz w:val="12"/>
                <w:szCs w:val="12"/>
                <w:color w:val="auto"/>
              </w:rPr>
            </w:pPr>
          </w:p>
        </w:tc>
        <w:tc>
          <w:tcPr>
            <w:tcW w:w="13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Gains (Losses)</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Contracts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5"/>
          </w:tcPr>
          <w:p>
            <w:pPr>
              <w:ind w:left="100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29,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3"/>
        </w:trPr>
        <w:tc>
          <w:tcPr>
            <w:tcW w:w="5120" w:type="dxa"/>
            <w:vAlign w:val="bottom"/>
          </w:tcPr>
          <w:p>
            <w:pPr>
              <w:ind w:left="12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3"/>
              </w:rPr>
              <w:t>Amounts reclassified from accumulated other comprehensive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0"/>
        </w:trPr>
        <w:tc>
          <w:tcPr>
            <w:tcW w:w="5120" w:type="dxa"/>
            <w:vAlign w:val="bottom"/>
          </w:tcPr>
          <w:p>
            <w:pPr>
              <w:ind w:left="120"/>
              <w:spacing w:after="0"/>
              <w:rPr>
                <w:sz w:val="20"/>
                <w:szCs w:val="20"/>
                <w:color w:val="auto"/>
              </w:rPr>
            </w:pPr>
            <w:r>
              <w:rPr>
                <w:rFonts w:ascii="Arial" w:cs="Arial" w:eastAsia="Arial" w:hAnsi="Arial"/>
                <w:sz w:val="16"/>
                <w:szCs w:val="16"/>
                <w:color w:val="auto"/>
              </w:rPr>
              <w:t>Income tax benefit (expense) related to items of other comprehensive</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120"/>
              <w:spacing w:after="0"/>
              <w:rPr>
                <w:sz w:val="20"/>
                <w:szCs w:val="20"/>
                <w:color w:val="auto"/>
              </w:rPr>
            </w:pPr>
            <w:r>
              <w:rPr>
                <w:rFonts w:ascii="Arial" w:cs="Arial" w:eastAsia="Arial" w:hAnsi="Arial"/>
                <w:sz w:val="16"/>
                <w:szCs w:val="16"/>
                <w:color w:val="auto"/>
              </w:rPr>
              <w:t>income (loss)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current-period 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Balance at June 28,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comprehensive loss before reclassifications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23"/>
        </w:trPr>
        <w:tc>
          <w:tcPr>
            <w:tcW w:w="5120" w:type="dxa"/>
            <w:vAlign w:val="bottom"/>
          </w:tcPr>
          <w:p>
            <w:pPr>
              <w:ind w:left="120"/>
              <w:spacing w:after="0"/>
              <w:rPr>
                <w:sz w:val="20"/>
                <w:szCs w:val="20"/>
                <w:color w:val="auto"/>
              </w:rPr>
            </w:pPr>
            <w:r>
              <w:rPr>
                <w:rFonts w:ascii="Arial" w:cs="Arial" w:eastAsia="Arial" w:hAnsi="Arial"/>
                <w:sz w:val="16"/>
                <w:szCs w:val="16"/>
                <w:color w:val="auto"/>
              </w:rPr>
              <w:t>Amounts reclassified from accumulated other comprehensive loss</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4"/>
              </w:rPr>
              <w:t>Income tax benefit (expense) related to items of other comprehensive loss</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5120" w:type="dxa"/>
            <w:vAlign w:val="bottom"/>
          </w:tcPr>
          <w:p>
            <w:pPr>
              <w:ind w:left="220"/>
              <w:spacing w:after="0"/>
              <w:rPr>
                <w:sz w:val="20"/>
                <w:szCs w:val="20"/>
                <w:color w:val="auto"/>
              </w:rPr>
            </w:pPr>
            <w:r>
              <w:rPr>
                <w:rFonts w:ascii="Arial" w:cs="Arial" w:eastAsia="Arial" w:hAnsi="Arial"/>
                <w:sz w:val="16"/>
                <w:szCs w:val="16"/>
                <w:color w:val="auto"/>
              </w:rPr>
              <w:t>Net current-period other comprehensive loss</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July 3,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During 2020, 2019 and 2018, the amounts reclassified out of AOCI related to derivative contracts were substantially all charged to Cost of revenue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 and Investments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52"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52" w:lineRule="exact"/>
        <w:rPr>
          <w:sz w:val="20"/>
          <w:szCs w:val="20"/>
          <w:color w:val="auto"/>
        </w:rPr>
      </w:pPr>
    </w:p>
    <w:p>
      <w:pPr>
        <w:jc w:val="both"/>
        <w:ind w:left="980" w:right="20" w:hanging="647"/>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3, 2020 and June 28, 2019, and indicate the fair value hierarchy of the valuation techniques utilized to determine such values: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July 3, 2020</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2"/>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220"/>
              <w:spacing w:after="0"/>
              <w:rPr>
                <w:sz w:val="20"/>
                <w:szCs w:val="20"/>
                <w:color w:val="auto"/>
              </w:rPr>
            </w:pPr>
            <w:r>
              <w:rPr>
                <w:rFonts w:ascii="Arial" w:cs="Arial" w:eastAsia="Arial" w:hAnsi="Arial"/>
                <w:sz w:val="16"/>
                <w:szCs w:val="16"/>
                <w:color w:val="auto"/>
              </w:rPr>
              <w:t>Cash equivalents - Money market funds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1,079</w:t>
            </w:r>
          </w:p>
        </w:tc>
        <w:tc>
          <w:tcPr>
            <w:tcW w:w="120" w:type="dxa"/>
            <w:vAlign w:val="bottom"/>
          </w:tcPr>
          <w:p>
            <w:pPr>
              <w:spacing w:after="0"/>
              <w:rPr>
                <w:sz w:val="19"/>
                <w:szCs w:val="19"/>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1,079</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5160" w:type="dxa"/>
            <w:vAlign w:val="bottom"/>
          </w:tcPr>
          <w:p>
            <w:pPr>
              <w:ind w:left="86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1,079</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1,107</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23"/>
        </w:trPr>
        <w:tc>
          <w:tcPr>
            <w:tcW w:w="5160" w:type="dxa"/>
            <w:vAlign w:val="bottom"/>
          </w:tcPr>
          <w:p>
            <w:pPr>
              <w:ind w:left="220"/>
              <w:spacing w:after="0"/>
              <w:rPr>
                <w:sz w:val="20"/>
                <w:szCs w:val="20"/>
                <w:color w:val="auto"/>
              </w:rPr>
            </w:pPr>
            <w:r>
              <w:rPr>
                <w:rFonts w:ascii="Arial" w:cs="Arial" w:eastAsia="Arial" w:hAnsi="Arial"/>
                <w:sz w:val="16"/>
                <w:szCs w:val="16"/>
                <w:color w:val="auto"/>
              </w:rPr>
              <w:t>Foreign exchange contracts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rate swap contract</w:t>
            </w: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17"/>
        </w:trPr>
        <w:tc>
          <w:tcPr>
            <w:tcW w:w="5160" w:type="dxa"/>
            <w:vAlign w:val="bottom"/>
          </w:tcPr>
          <w:p>
            <w:pPr>
              <w:ind w:left="86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68"/>
        </w:trPr>
        <w:tc>
          <w:tcPr>
            <w:tcW w:w="5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28, 2019</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3"/>
        </w:trPr>
        <w:tc>
          <w:tcPr>
            <w:tcW w:w="5160" w:type="dxa"/>
            <w:vAlign w:val="bottom"/>
          </w:tcPr>
          <w:p>
            <w:pPr>
              <w:ind w:left="22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5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1,388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1,388</w:t>
            </w:r>
          </w:p>
        </w:tc>
      </w:tr>
      <w:tr>
        <w:trPr>
          <w:trHeight w:val="223"/>
        </w:trPr>
        <w:tc>
          <w:tcPr>
            <w:tcW w:w="5160" w:type="dxa"/>
            <w:vAlign w:val="bottom"/>
          </w:tcPr>
          <w:p>
            <w:pPr>
              <w:ind w:left="46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42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1,405</w:t>
            </w:r>
          </w:p>
        </w:tc>
      </w:tr>
      <w:tr>
        <w:trPr>
          <w:trHeight w:val="217"/>
        </w:trPr>
        <w:tc>
          <w:tcPr>
            <w:tcW w:w="5160" w:type="dxa"/>
            <w:vAlign w:val="bottom"/>
          </w:tcPr>
          <w:p>
            <w:pPr>
              <w:ind w:left="22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rate swap contracts</w:t>
            </w: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5160" w:type="dxa"/>
            <w:vAlign w:val="bottom"/>
          </w:tcPr>
          <w:p>
            <w:pPr>
              <w:ind w:left="86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1,388</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1,451</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24"/>
        </w:trPr>
        <w:tc>
          <w:tcPr>
            <w:tcW w:w="5160" w:type="dxa"/>
            <w:vAlign w:val="bottom"/>
          </w:tcPr>
          <w:p>
            <w:pPr>
              <w:ind w:left="220"/>
              <w:spacing w:after="0"/>
              <w:rPr>
                <w:sz w:val="20"/>
                <w:szCs w:val="20"/>
                <w:color w:val="auto"/>
              </w:rPr>
            </w:pPr>
            <w:r>
              <w:rPr>
                <w:rFonts w:ascii="Arial" w:cs="Arial" w:eastAsia="Arial" w:hAnsi="Arial"/>
                <w:sz w:val="16"/>
                <w:szCs w:val="16"/>
                <w:color w:val="auto"/>
              </w:rPr>
              <w:t>Foreign exchange contracts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rate swap contract</w:t>
            </w: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7"/>
        </w:trPr>
        <w:tc>
          <w:tcPr>
            <w:tcW w:w="5160" w:type="dxa"/>
            <w:vAlign w:val="bottom"/>
          </w:tcPr>
          <w:p>
            <w:pPr>
              <w:ind w:left="86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Company’s money market funds are funds that invest in U.S. Treasury and U.S. Government agency securities.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are valued based on quoted market prices.</w:t>
      </w:r>
    </w:p>
    <w:p>
      <w:pPr>
        <w:spacing w:after="0" w:line="19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i w:val="1"/>
          <w:iCs w:val="1"/>
          <w:color w:val="auto"/>
        </w:rPr>
        <w:t xml:space="preserve">Certificates of Deposit. </w:t>
      </w:r>
      <w:r>
        <w:rPr>
          <w:rFonts w:ascii="Arial" w:cs="Arial" w:eastAsia="Arial" w:hAnsi="Arial"/>
          <w:sz w:val="18"/>
          <w:szCs w:val="18"/>
          <w:color w:val="auto"/>
        </w:rPr>
        <w:t>The Company’s certificates of deposit are investments which are held in custody by a third party. Certificates of deposit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using fixed interest rates.</w:t>
      </w:r>
    </w:p>
    <w:p>
      <w:pPr>
        <w:spacing w:after="0" w:line="19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are short-term contracts to hedge the Company’s foreign currency risk.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Foreign exchange contracts are valued using an income approach that is based on a present value of future cash flows model. The market-based observable inputs for the model include forward rates and credit default swap rates. For more information on the Company’s foreign exchange contracts, see Note 5,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Derivative assets and liabilities are reflected in the Company’s Consolidated Balance Sheet under Other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assets and Accrued expenses, respectively.</w:t>
      </w:r>
    </w:p>
    <w:p>
      <w:pPr>
        <w:spacing w:after="0" w:line="21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Company’s interest rate swaps are long-term contracts to hedge the Company’s variable rate debt risk. Interest rate swaps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based on estimated present value of future cash flows model. The market-based observable inputs for the model include interest rate curves and credit valuation adjustments based on published credit default swap curves.</w:t>
      </w:r>
    </w:p>
    <w:p>
      <w:pPr>
        <w:spacing w:after="0" w:line="21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During 2020 and 2019, the Company had no transfers of financial assets and liabilities between levels and there were no changes in valuation techniques and the inputs used in the fair value measurement.</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5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fourth quarter of 2020 and the fourth quarter of 2019, respectively.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4"/>
                <w:szCs w:val="14"/>
                <w:b w:val="1"/>
                <w:bCs w:val="1"/>
                <w:color w:val="auto"/>
              </w:rPr>
              <w:t>July 3, 2020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28, 2019</w:t>
            </w:r>
          </w:p>
        </w:tc>
        <w:tc>
          <w:tcPr>
            <w:tcW w:w="980" w:type="dxa"/>
            <w:vAlign w:val="bottom"/>
            <w:tcBorders>
              <w:bottom w:val="single" w:sz="8" w:color="auto"/>
            </w:tcBorders>
          </w:tcPr>
          <w:p>
            <w:pPr>
              <w:spacing w:after="0"/>
              <w:rPr>
                <w:sz w:val="16"/>
                <w:szCs w:val="16"/>
                <w:color w:val="auto"/>
              </w:rPr>
            </w:pPr>
          </w:p>
        </w:tc>
      </w:tr>
      <w:tr>
        <w:trPr>
          <w:trHeight w:val="152"/>
        </w:trPr>
        <w:tc>
          <w:tcPr>
            <w:tcW w:w="5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420" w:type="dxa"/>
            <w:vAlign w:val="bottom"/>
          </w:tcPr>
          <w:p>
            <w:pPr>
              <w:spacing w:after="0"/>
              <w:rPr>
                <w:sz w:val="13"/>
                <w:szCs w:val="13"/>
                <w:color w:val="auto"/>
              </w:rPr>
            </w:pPr>
          </w:p>
        </w:tc>
        <w:tc>
          <w:tcPr>
            <w:tcW w:w="11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3"/>
                <w:szCs w:val="13"/>
                <w:color w:val="auto"/>
              </w:rPr>
            </w:pPr>
          </w:p>
        </w:tc>
        <w:tc>
          <w:tcPr>
            <w:tcW w:w="11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980" w:type="dxa"/>
            <w:vAlign w:val="bottom"/>
          </w:tcPr>
          <w:p>
            <w:pPr>
              <w:jc w:val="right"/>
              <w:ind w:right="521"/>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r>
      <w:tr>
        <w:trPr>
          <w:trHeight w:val="196"/>
        </w:trPr>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6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0.50% convertible senior notes due 2020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r>
      <w:tr>
        <w:trPr>
          <w:trHeight w:val="223"/>
        </w:trPr>
        <w:tc>
          <w:tcPr>
            <w:tcW w:w="5140" w:type="dxa"/>
            <w:vAlign w:val="bottom"/>
          </w:tcPr>
          <w:p>
            <w:pPr>
              <w:ind w:left="20"/>
              <w:spacing w:after="0"/>
              <w:rPr>
                <w:sz w:val="20"/>
                <w:szCs w:val="20"/>
                <w:color w:val="auto"/>
              </w:rPr>
            </w:pPr>
            <w:r>
              <w:rPr>
                <w:rFonts w:ascii="Arial" w:cs="Arial" w:eastAsia="Arial" w:hAnsi="Arial"/>
                <w:sz w:val="16"/>
                <w:szCs w:val="16"/>
                <w:color w:val="auto"/>
              </w:rPr>
              <w:t>Variable interest rate Term Loan A-1 maturing 2023</w:t>
            </w:r>
          </w:p>
        </w:tc>
        <w:tc>
          <w:tcPr>
            <w:tcW w:w="26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4,576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4,474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4,824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4,780</w:t>
            </w:r>
          </w:p>
        </w:tc>
      </w:tr>
      <w:tr>
        <w:trPr>
          <w:trHeight w:val="33"/>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Variable interest rate Term Loan B-4 maturing 2023</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1,692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2,424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2,370</w:t>
            </w:r>
          </w:p>
        </w:tc>
      </w:tr>
      <w:tr>
        <w:trPr>
          <w:trHeight w:val="253"/>
        </w:trPr>
        <w:tc>
          <w:tcPr>
            <w:tcW w:w="5140" w:type="dxa"/>
            <w:vAlign w:val="bottom"/>
          </w:tcPr>
          <w:p>
            <w:pPr>
              <w:ind w:left="20"/>
              <w:spacing w:after="0"/>
              <w:rPr>
                <w:sz w:val="20"/>
                <w:szCs w:val="20"/>
                <w:color w:val="auto"/>
              </w:rPr>
            </w:pPr>
            <w:r>
              <w:rPr>
                <w:rFonts w:ascii="Arial" w:cs="Arial" w:eastAsia="Arial" w:hAnsi="Arial"/>
                <w:sz w:val="16"/>
                <w:szCs w:val="16"/>
                <w:color w:val="auto"/>
              </w:rPr>
              <w:t>1.50% convertible notes due 2024</w:t>
            </w:r>
          </w:p>
        </w:tc>
        <w:tc>
          <w:tcPr>
            <w:tcW w:w="260" w:type="dxa"/>
            <w:vAlign w:val="bottom"/>
          </w:tcPr>
          <w:p>
            <w:pPr>
              <w:spacing w:after="0"/>
              <w:rPr>
                <w:sz w:val="22"/>
                <w:szCs w:val="22"/>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987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986</w:t>
            </w:r>
          </w:p>
        </w:tc>
      </w:tr>
      <w:tr>
        <w:trPr>
          <w:trHeight w:val="257"/>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4.75% senior unsecured notes due 2026</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2,286</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2,428</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2,283</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2,263</w:t>
            </w:r>
          </w:p>
        </w:tc>
      </w:tr>
      <w:tr>
        <w:trPr>
          <w:trHeight w:val="250"/>
        </w:trPr>
        <w:tc>
          <w:tcPr>
            <w:tcW w:w="5140" w:type="dxa"/>
            <w:vAlign w:val="bottom"/>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9,575</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9,624</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10,522</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10,430</w:t>
            </w:r>
          </w:p>
        </w:tc>
      </w:tr>
      <w:tr>
        <w:trPr>
          <w:trHeight w:val="23"/>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Instruments and Hedging Activities</w:t>
      </w:r>
    </w:p>
    <w:p>
      <w:pPr>
        <w:spacing w:after="0" w:line="25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As of July 3, 2020,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on a portion of its term loans through February 2023.</w:t>
      </w:r>
    </w:p>
    <w:p>
      <w:pPr>
        <w:spacing w:after="0" w:line="21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of July 3, 2020, the amount of existing net losses related to cash flow hedges recorded in AOCI included $83 million related to the Company’s interest rate swaps that is expected to be reclassified to earnings after twelve months. In addition, as of July 3, 2020, the Company did not have any foreign exchange forward contracts with credit-risk-related contingent features.</w:t>
      </w:r>
    </w:p>
    <w:p>
      <w:pPr>
        <w:spacing w:after="0" w:line="21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Changes in fair values of the non-designated foreign exchange contracts are recognized in Other income (expense), net and are largely offset by corresponding changes in the fair values of the foreign currency denominated monetary assets and liabilities. For each of 2020, 2019 and 2018, total net realized and unrealized transaction and foreign exchange contract currency gains and losses were not material to the Company’s Consolidated Financial Statements.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5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July 3, 2020 and June 28, 2019, the effect of rights of offset was not material and the Company did not offset or net the fair value amounts of derivative instruments in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consisted of the following as of July 3, 2020 and June 28, 2019:</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July 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01"/>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220" w:type="dxa"/>
            <w:vAlign w:val="bottom"/>
          </w:tcPr>
          <w:p>
            <w:pPr>
              <w:spacing w:after="0"/>
              <w:rPr>
                <w:sz w:val="16"/>
                <w:szCs w:val="16"/>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7"/>
                <w:szCs w:val="17"/>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0.50% convertible senior notes due 2020</w:t>
            </w:r>
          </w:p>
        </w:tc>
        <w:tc>
          <w:tcPr>
            <w:tcW w:w="960" w:type="dxa"/>
            <w:vAlign w:val="bottom"/>
            <w:tcBorders>
              <w:bottom w:val="single" w:sz="8" w:color="CCEEFF"/>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r>
      <w:tr>
        <w:trPr>
          <w:trHeight w:val="224"/>
        </w:trPr>
        <w:tc>
          <w:tcPr>
            <w:tcW w:w="8220" w:type="dxa"/>
            <w:vAlign w:val="bottom"/>
          </w:tcPr>
          <w:p>
            <w:pPr>
              <w:ind w:left="20"/>
              <w:spacing w:after="0"/>
              <w:rPr>
                <w:sz w:val="20"/>
                <w:szCs w:val="20"/>
                <w:color w:val="auto"/>
              </w:rPr>
            </w:pPr>
            <w:r>
              <w:rPr>
                <w:rFonts w:ascii="Arial" w:cs="Arial" w:eastAsia="Arial" w:hAnsi="Arial"/>
                <w:sz w:val="16"/>
                <w:szCs w:val="16"/>
                <w:color w:val="auto"/>
              </w:rPr>
              <w:t>Variable interest rate Term Loan A-1 maturing 2023</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4,583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4,834</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Variable interest rate Term Loan B-4 maturing 2023</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1,693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2,425</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1.50% convertible notes due 2024</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1,100</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4.75% senior unsecured notes due 2026</w:t>
            </w: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2,300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2,300</w:t>
            </w:r>
          </w:p>
        </w:tc>
      </w:tr>
      <w:tr>
        <w:trPr>
          <w:trHeight w:val="217"/>
        </w:trPr>
        <w:tc>
          <w:tcPr>
            <w:tcW w:w="822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9,711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10,694</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costs and debt discounts</w:t>
            </w: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7"/>
        </w:trPr>
        <w:tc>
          <w:tcPr>
            <w:tcW w:w="8220" w:type="dxa"/>
            <w:vAlign w:val="bottom"/>
          </w:tcPr>
          <w:p>
            <w:pPr>
              <w:ind w:left="220"/>
              <w:spacing w:after="0"/>
              <w:rPr>
                <w:sz w:val="20"/>
                <w:szCs w:val="20"/>
                <w:color w:val="auto"/>
              </w:rPr>
            </w:pPr>
            <w:r>
              <w:rPr>
                <w:rFonts w:ascii="Arial" w:cs="Arial" w:eastAsia="Arial" w:hAnsi="Arial"/>
                <w:sz w:val="16"/>
                <w:szCs w:val="16"/>
                <w:color w:val="auto"/>
              </w:rPr>
              <w:t>Subtotal</w:t>
            </w: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9,575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10,522</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Less current portion of long-term debt</w:t>
            </w: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47"/>
        </w:trPr>
        <w:tc>
          <w:tcPr>
            <w:tcW w:w="8220" w:type="dxa"/>
            <w:vAlign w:val="bottom"/>
          </w:tcPr>
          <w:p>
            <w:pPr>
              <w:ind w:left="460"/>
              <w:spacing w:after="0"/>
              <w:rPr>
                <w:sz w:val="20"/>
                <w:szCs w:val="20"/>
                <w:color w:val="auto"/>
              </w:rPr>
            </w:pPr>
            <w:r>
              <w:rPr>
                <w:rFonts w:ascii="Arial" w:cs="Arial" w:eastAsia="Arial" w:hAnsi="Arial"/>
                <w:sz w:val="16"/>
                <w:szCs w:val="16"/>
                <w:color w:val="auto"/>
              </w:rPr>
              <w:t>Long-term debt</w:t>
            </w:r>
          </w:p>
        </w:tc>
        <w:tc>
          <w:tcPr>
            <w:tcW w:w="96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9,289</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10,246</w:t>
            </w:r>
          </w:p>
        </w:tc>
      </w:tr>
      <w:tr>
        <w:trPr>
          <w:trHeight w:val="23"/>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a credit agreement originally entered into on April 29, 2016 and most recently amended in July 2020 (as amended, the “Credit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that provides for, among other things, (i) a $2.25 billion revolving credit facility maturing in 2023 (the “Revolving Facility”), (ii) a term loan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A-1 due 2023 (the “Term Loan A-1”), and (iii) a term loan B-4 due 2023 (the “Term Loan B-4”).</w:t>
      </w:r>
    </w:p>
    <w:p>
      <w:pPr>
        <w:spacing w:after="0" w:line="238"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Borrowings under the revolving credit facility bear interest at a rate equal to, at the Company’s option, either an adjusted London Interbank Offered Rate (“LIBOR”) rate, subject to a 0.00% floor, plus an applicable margin varying from 1.125% to 2.000% or a base rate plus an applicable margin varying from 0.125% to 1.000%, in each case depending on the Company’s corporate credit ratings. During 2018, the Company repaid the previously outstanding borrowings under its revolving credit facility. At July 3, 2020, the Company’s borrowing capacity under the revolving credit facility was $2.25 billion.</w:t>
      </w:r>
    </w:p>
    <w:p>
      <w:pPr>
        <w:spacing w:after="0" w:line="18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Term Loan A-1 bears interest at a rate equal to, at the Company’s option, either an adjusted LIBOR rate, subject to a 0.00% floor, plus an applicable margin varying from 1.125% to 2.000% or a base rate plus an applicable margin varying from 0.125% to 1.000%, in each case depending on the Company’s corporate credit ratings. Currently the Company has selected the LIBOR rate option, and the applicable rate was 1.67% as of July 3, 2020. Principal payments are due in quarterly installments of 1.250% per quarter through December 2022, with the remaining balance payable on February 27, 2023. The Term Loan A-1 issuance costs are amortized to interest expense over the term of the loan, and as of July 3, 2020, issuance costs of $7 million remained unamortized.</w:t>
      </w:r>
    </w:p>
    <w:p>
      <w:pPr>
        <w:spacing w:after="0" w:line="21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Term Loan B-4 bears interest at a rate equal to, at the Company’s option, either an adjusted LIBOR rate, subject to a 0.00% floor, plus 1.75% or a base rate plus 0.75%. Currently the Company has selected the LIBOR rate option, and the applicable interest rate was 1.92% as of July 3, 2020. During 2020, the Company made aggregate voluntary prepayments of $725 million on its Term Loan B-4, which was applied toward the remaining scheduled amortization and the remainder towards the principal due at maturity. As of July 3, 2020, there are no longer any scheduled amortization payments due under the Term Loan B-4 prior to its maturity on April 29, 2023. As of July 3, 2020, issuance costs of less than $1 million remained unamortized. On July 31, 2020, the Company made an incremental voluntary prepayment of $150 million on its Term Loan B-4.</w:t>
      </w:r>
    </w:p>
    <w:p>
      <w:pPr>
        <w:spacing w:after="0" w:line="20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February 2018, the Company issued $1.10 billion aggregate principal amount of convertible senior notes due February 1, 2024 (the “2024 Convertible Notes”). The 2024 Convertible Notes bear interest at an annual rate of 1.50% with interest payable on February 1 and August 1 of each year. The Company is not required to make principal payments on the 2024 Convertible Notes prior to the maturity date. The 2024 Convertible Notes are jointly and severally guaranteed by certain material domestic 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2024 Convertible Notes are convertible into cash, shares of the Company’s common stock, or a combination thereof at an initial conversion price of $121.91 per share of common stock. Holders of the 2024 Convertible Notes may freely convert their 2024 Convertible Notes on or after November 1, 2023 until the close of business on the business day immediately preceding the maturity date. Prior to November 1, 2023, holders may convert their 2024 Convertible Notes based on variations in market price of the Company’s common stock in relation to the conversion price or the trading price of the 2024 Convertible Notes or upon the occurrence of specified corporate events. On or after February 5, 2021, the Company may redeem all or part of the 2024 Convertible Notes, at its option, if the market price of the Company’s stock achieves certain levels.</w:t>
      </w:r>
    </w:p>
    <w:p>
      <w:pPr>
        <w:spacing w:after="0" w:line="20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separately accounts for the liability and equity components of the 2024 Convertible Notes. The value of the liability component as of the date of issuance was recognized at the present value of its cash flows using a discount rate of 4.375%, the Company’s borrowing rate at the date of the issuance for a similar debt instrument without the conversion feature, resulting in a debt discount of $165 million, which was allocated to equity as the value of the conversion feature. The 2024 Convertible Notes debt issuance costs were approximately $18 million, of which $15 million was allocated to the debt component and $3 million was allocated to equity. The debt discount and issuance costs are amortized to interest expense over the term of the 2024 Convertible Notes. As of July 3, 2020, debt discount and issuance costs of $113 million remained unamortized.</w:t>
      </w:r>
    </w:p>
    <w:p>
      <w:pPr>
        <w:spacing w:after="0" w:line="205"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In February 2018, the Company issued $2.30 billion aggregate principal amount of senior unsecured notes due February 15, 2026 (the “2026 Senior Unsecured Notes”). The 2026 Senior Unsecured Notes bear interest at an annual rate of 4.750% with interest payable on February 15 and August 15 of each year. The Company is not required to make principal payments on the 2026 Senior Unsecured Notes prior to the maturity date. The 2026 Senior Unsecured Notes are jointly and severally guaranteed by certain material domestic subsidiaries of the Company. The 2026 Senior Unsecured Notes issuance costs are amortized to interest expense over the term of the 2026 Senior Unsecured Notes and as of July 3, 2020, issuance costs of $14 million remained unamortized.</w:t>
      </w:r>
    </w:p>
    <w:p>
      <w:pPr>
        <w:spacing w:after="0" w:line="21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assumed the 0.5% convertible senior notes due October 15, 2020 (the “2020 Convertible Notes”) in connection with its acquisition of SanDisk Corporation (“SanDisk”), pursuant to an Agreement and Plan of Merger, on May 12, 2016. As of July 3, 2020, $35 million principal amount of the 2020 Convertible Notes was outstanding and had a conversion rate of 10.9006 units of reference property per $1,000 principal amount of the</w:t>
      </w:r>
    </w:p>
    <w:p>
      <w:pPr>
        <w:ind w:right="80"/>
        <w:spacing w:after="0" w:line="253" w:lineRule="auto"/>
        <w:rPr>
          <w:sz w:val="20"/>
          <w:szCs w:val="20"/>
          <w:color w:val="auto"/>
        </w:rPr>
      </w:pPr>
      <w:r>
        <w:rPr>
          <w:rFonts w:ascii="Arial" w:cs="Arial" w:eastAsia="Arial" w:hAnsi="Arial"/>
          <w:sz w:val="18"/>
          <w:szCs w:val="18"/>
          <w:color w:val="auto"/>
        </w:rPr>
        <w:t>2020 Convertible Notes, corresponding to 2.6020 shares of the Company’s common stock and $735.79 of cash, subject to adjustments under the indenture. On and after July 15, 2020 until the close of business on the second scheduled trading day immediately preceding the maturity date of October 15, 2020, holders may convert their 2020 Convertible Notes into the reference property by following the procedures set out in the indenture. The 2020 Convertible Notes issuance costs are amortized to interest expense over the term of the 2020 Convertible Notes and as of July 3, 2020, issuance costs of less than $1 million remained unamortized.</w:t>
      </w:r>
    </w:p>
    <w:p>
      <w:pPr>
        <w:spacing w:after="0" w:line="21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Revolving Facility, Term Loan A-1 and Term Loan B-4 are unconditionally guaranteed by each of the guarantors under the Credit Agreement and are secured on a first-priority basis (subject to permitted liens) by a lien on the same collateral that secure the other loans under the Credit Agreement; provided that the security and guarantees will be automatically suspended upon certain conditions.</w:t>
      </w:r>
    </w:p>
    <w:p>
      <w:pPr>
        <w:spacing w:after="0" w:line="21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Credit Agreement requires the Company to comply with certain financial covenants with respect to the Revolving Facility and Term Loan A-1, consisting of a Leverage Ratio and an Interest Coverage Ratio (each as defined below). Consolidated Adjusted EBITDA is defined as net income (loss) plus interest expense, income tax expense (benefit) and depreciation and amortization, as well as other contractual adjustments as provided for in the Credit Agreement, including, for purposes of the financial covenants, an addback for certain depreciation-related payments made to the Company’s Flash Ventures.</w:t>
      </w:r>
    </w:p>
    <w:p>
      <w:pPr>
        <w:spacing w:after="0" w:line="21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is required to maintain a maximum ratio of total funded debt to trailing twelve-month Consolidated Adjusted EBITDA (“Leverage Ratio”) at the end of each quarter of 4.25 to 1.00 through the quarter ending October 2, 2020, 4.00 to 1.00 through the quarter ending July 2, 2021, 3.75 to 1.00 through the quarter ending December 31, 2021, 3.50 to 1.00 through the quarter ending July 1, 2022, and 3.25 to 1.00 thereafter. In addition, the Company is required to maintain a minimum ratio of Consolidated Adjusted EBITDA to interest expense (“Interest Coverage Ratio”), both calculated on a trailing twelve-month basis, at the end of each quarter of 3.50 to 1.00. As of July 3, 2020, the Company was in compliance with all financial covenants under the Credit Agreement.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Credit Agreement also requires the Company and its subsidiaries to comply with customary covenants that include,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certain modifications of organizational documents and certain debt agreements. In addition, the indentures governing the Company’s 2026 Senior Unsecured Notes and the 2024 Convertible Notes contain restrictive covenants that limit the Company’s and its subsidiaries’ ability to, among other things, consolidate, merge or sell all or substantially all of their assets; create liens; and incur, assume or guarantee additional indebtedness.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Debt Payments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3, 2020, required annual future debt payments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Future Debt Payments</w:t>
            </w:r>
          </w:p>
        </w:tc>
      </w:tr>
      <w:tr>
        <w:trPr>
          <w:trHeight w:val="196"/>
        </w:trPr>
        <w:tc>
          <w:tcPr>
            <w:tcW w:w="9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280"/>
              <w:spacing w:after="0"/>
              <w:rPr>
                <w:sz w:val="20"/>
                <w:szCs w:val="20"/>
                <w:color w:val="auto"/>
              </w:rPr>
            </w:pPr>
            <w:r>
              <w:rPr>
                <w:rFonts w:ascii="Arial" w:cs="Arial" w:eastAsia="Arial" w:hAnsi="Arial"/>
                <w:sz w:val="14"/>
                <w:szCs w:val="14"/>
                <w:i w:val="1"/>
                <w:iCs w:val="1"/>
                <w:color w:val="auto"/>
              </w:rPr>
              <w:t>(in millions)</w:t>
            </w:r>
          </w:p>
        </w:tc>
      </w:tr>
      <w:tr>
        <w:trPr>
          <w:trHeight w:val="242"/>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4"/>
        </w:trPr>
        <w:tc>
          <w:tcPr>
            <w:tcW w:w="9720" w:type="dxa"/>
            <w:vAlign w:val="bottom"/>
          </w:tcPr>
          <w:p>
            <w:pPr>
              <w:ind w:left="120"/>
              <w:spacing w:after="0"/>
              <w:rPr>
                <w:sz w:val="20"/>
                <w:szCs w:val="20"/>
                <w:color w:val="auto"/>
              </w:rPr>
            </w:pPr>
            <w:r>
              <w:rPr>
                <w:rFonts w:ascii="Arial" w:cs="Arial" w:eastAsia="Arial" w:hAnsi="Arial"/>
                <w:sz w:val="16"/>
                <w:szCs w:val="16"/>
                <w:color w:val="auto"/>
              </w:rPr>
              <w:t>2021</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24"/>
        </w:trPr>
        <w:tc>
          <w:tcPr>
            <w:tcW w:w="9720" w:type="dxa"/>
            <w:vAlign w:val="bottom"/>
          </w:tcPr>
          <w:p>
            <w:pPr>
              <w:ind w:left="120"/>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5,774</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2024</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r>
      <w:tr>
        <w:trPr>
          <w:trHeight w:val="223"/>
        </w:trPr>
        <w:tc>
          <w:tcPr>
            <w:tcW w:w="9720" w:type="dxa"/>
            <w:vAlign w:val="bottom"/>
          </w:tcPr>
          <w:p>
            <w:pPr>
              <w:ind w:left="120"/>
              <w:spacing w:after="0"/>
              <w:rPr>
                <w:sz w:val="20"/>
                <w:szCs w:val="20"/>
                <w:color w:val="auto"/>
              </w:rPr>
            </w:pPr>
            <w:r>
              <w:rPr>
                <w:rFonts w:ascii="Arial" w:cs="Arial" w:eastAsia="Arial" w:hAnsi="Arial"/>
                <w:sz w:val="16"/>
                <w:szCs w:val="16"/>
                <w:color w:val="auto"/>
              </w:rPr>
              <w:t>2025 and thereafter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2,300</w:t>
            </w:r>
          </w:p>
        </w:tc>
      </w:tr>
      <w:tr>
        <w:trPr>
          <w:trHeight w:val="33"/>
        </w:trPr>
        <w:tc>
          <w:tcPr>
            <w:tcW w:w="9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debt maturities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9,711</w:t>
            </w:r>
          </w:p>
        </w:tc>
      </w:tr>
      <w:tr>
        <w:trPr>
          <w:trHeight w:val="223"/>
        </w:trPr>
        <w:tc>
          <w:tcPr>
            <w:tcW w:w="9720" w:type="dxa"/>
            <w:vAlign w:val="bottom"/>
          </w:tcPr>
          <w:p>
            <w:pPr>
              <w:ind w:left="20"/>
              <w:spacing w:after="0"/>
              <w:rPr>
                <w:sz w:val="20"/>
                <w:szCs w:val="20"/>
                <w:color w:val="auto"/>
              </w:rPr>
            </w:pPr>
            <w:r>
              <w:rPr>
                <w:rFonts w:ascii="Arial" w:cs="Arial" w:eastAsia="Arial" w:hAnsi="Arial"/>
                <w:sz w:val="16"/>
                <w:szCs w:val="16"/>
                <w:color w:val="auto"/>
              </w:rPr>
              <w:t>Issuance costs and debt discounts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33"/>
        </w:trPr>
        <w:tc>
          <w:tcPr>
            <w:tcW w:w="9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2"/>
        </w:trPr>
        <w:tc>
          <w:tcPr>
            <w:tcW w:w="9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carrying value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Pension and Other Post-Retirement Benefit Plans</w:t>
      </w:r>
    </w:p>
    <w:p>
      <w:pPr>
        <w:spacing w:after="0" w:line="25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Consolidated Financial Statements.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Pension Plans: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r>
      <w:tr>
        <w:trPr>
          <w:trHeight w:val="196"/>
        </w:trPr>
        <w:tc>
          <w:tcPr>
            <w:tcW w:w="6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benefit obligation:</w:t>
            </w: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4"/>
        </w:trPr>
        <w:tc>
          <w:tcPr>
            <w:tcW w:w="6800" w:type="dxa"/>
            <w:vAlign w:val="bottom"/>
          </w:tcPr>
          <w:p>
            <w:pPr>
              <w:ind w:left="220"/>
              <w:spacing w:after="0"/>
              <w:rPr>
                <w:sz w:val="20"/>
                <w:szCs w:val="20"/>
                <w:color w:val="auto"/>
              </w:rPr>
            </w:pPr>
            <w:r>
              <w:rPr>
                <w:rFonts w:ascii="Arial" w:cs="Arial" w:eastAsia="Arial" w:hAnsi="Arial"/>
                <w:sz w:val="16"/>
                <w:szCs w:val="16"/>
                <w:color w:val="auto"/>
              </w:rPr>
              <w:t>Projected benefit obligation at beginning of period</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9"/>
                <w:szCs w:val="19"/>
                <w:color w:val="auto"/>
              </w:rPr>
            </w:pP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33"/>
        </w:trPr>
        <w:tc>
          <w:tcPr>
            <w:tcW w:w="6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Service cost</w:t>
            </w: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3"/>
        </w:trPr>
        <w:tc>
          <w:tcPr>
            <w:tcW w:w="6800" w:type="dxa"/>
            <w:vAlign w:val="bottom"/>
          </w:tcPr>
          <w:p>
            <w:pPr>
              <w:ind w:left="460"/>
              <w:spacing w:after="0"/>
              <w:rPr>
                <w:sz w:val="20"/>
                <w:szCs w:val="20"/>
                <w:color w:val="auto"/>
              </w:rPr>
            </w:pPr>
            <w:r>
              <w:rPr>
                <w:rFonts w:ascii="Arial" w:cs="Arial" w:eastAsia="Arial" w:hAnsi="Arial"/>
                <w:sz w:val="16"/>
                <w:szCs w:val="16"/>
                <w:color w:val="auto"/>
              </w:rPr>
              <w:t>Interest cost</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6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Plan amendments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6800" w:type="dxa"/>
            <w:vAlign w:val="bottom"/>
          </w:tcPr>
          <w:p>
            <w:pPr>
              <w:ind w:left="460"/>
              <w:spacing w:after="0"/>
              <w:rPr>
                <w:sz w:val="20"/>
                <w:szCs w:val="20"/>
                <w:color w:val="auto"/>
              </w:rPr>
            </w:pPr>
            <w:r>
              <w:rPr>
                <w:rFonts w:ascii="Arial" w:cs="Arial" w:eastAsia="Arial" w:hAnsi="Arial"/>
                <w:sz w:val="16"/>
                <w:szCs w:val="16"/>
                <w:color w:val="auto"/>
              </w:rPr>
              <w:t>Actuarial loss (gain)</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6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Benefits paid</w:t>
            </w: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23"/>
        </w:trPr>
        <w:tc>
          <w:tcPr>
            <w:tcW w:w="6800" w:type="dxa"/>
            <w:vAlign w:val="bottom"/>
          </w:tcPr>
          <w:p>
            <w:pPr>
              <w:ind w:left="460"/>
              <w:spacing w:after="0"/>
              <w:rPr>
                <w:sz w:val="20"/>
                <w:szCs w:val="20"/>
                <w:color w:val="auto"/>
              </w:rPr>
            </w:pPr>
            <w:r>
              <w:rPr>
                <w:rFonts w:ascii="Arial" w:cs="Arial" w:eastAsia="Arial" w:hAnsi="Arial"/>
                <w:sz w:val="16"/>
                <w:szCs w:val="16"/>
                <w:color w:val="auto"/>
              </w:rPr>
              <w:t>Settlement/curtailment</w:t>
            </w:r>
          </w:p>
        </w:tc>
        <w:tc>
          <w:tcPr>
            <w:tcW w:w="10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6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800" w:type="dxa"/>
            <w:vAlign w:val="bottom"/>
          </w:tcPr>
          <w:p>
            <w:pPr>
              <w:ind w:left="460"/>
              <w:spacing w:after="0"/>
              <w:rPr>
                <w:sz w:val="20"/>
                <w:szCs w:val="20"/>
                <w:color w:val="auto"/>
              </w:rPr>
            </w:pPr>
            <w:r>
              <w:rPr>
                <w:rFonts w:ascii="Arial" w:cs="Arial" w:eastAsia="Arial" w:hAnsi="Arial"/>
                <w:sz w:val="16"/>
                <w:szCs w:val="16"/>
                <w:color w:val="auto"/>
              </w:rPr>
              <w:t>Non-U.S. currency movement</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6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Projected benefit obligation at end of period</w:t>
            </w: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3"/>
        </w:trPr>
        <w:tc>
          <w:tcPr>
            <w:tcW w:w="6800" w:type="dxa"/>
            <w:vAlign w:val="bottom"/>
          </w:tcPr>
          <w:p>
            <w:pPr>
              <w:ind w:left="20"/>
              <w:spacing w:after="0"/>
              <w:rPr>
                <w:sz w:val="20"/>
                <w:szCs w:val="20"/>
                <w:color w:val="auto"/>
              </w:rPr>
            </w:pPr>
            <w:r>
              <w:rPr>
                <w:rFonts w:ascii="Arial" w:cs="Arial" w:eastAsia="Arial" w:hAnsi="Arial"/>
                <w:sz w:val="16"/>
                <w:szCs w:val="16"/>
                <w:color w:val="auto"/>
              </w:rPr>
              <w:t>Change in plan assets:</w:t>
            </w: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33"/>
        </w:trPr>
        <w:tc>
          <w:tcPr>
            <w:tcW w:w="6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Fair value of plan assets at beginning of period</w:t>
            </w: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23"/>
        </w:trPr>
        <w:tc>
          <w:tcPr>
            <w:tcW w:w="6800" w:type="dxa"/>
            <w:vAlign w:val="bottom"/>
          </w:tcPr>
          <w:p>
            <w:pPr>
              <w:ind w:left="220"/>
              <w:spacing w:after="0"/>
              <w:rPr>
                <w:sz w:val="20"/>
                <w:szCs w:val="20"/>
                <w:color w:val="auto"/>
              </w:rPr>
            </w:pPr>
            <w:r>
              <w:rPr>
                <w:rFonts w:ascii="Arial" w:cs="Arial" w:eastAsia="Arial" w:hAnsi="Arial"/>
                <w:sz w:val="16"/>
                <w:szCs w:val="16"/>
                <w:color w:val="auto"/>
              </w:rPr>
              <w:t>Actual return on plan assets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6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Employer contributions</w:t>
            </w: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3"/>
        </w:trPr>
        <w:tc>
          <w:tcPr>
            <w:tcW w:w="6800" w:type="dxa"/>
            <w:vAlign w:val="bottom"/>
          </w:tcPr>
          <w:p>
            <w:pPr>
              <w:ind w:left="220"/>
              <w:spacing w:after="0"/>
              <w:rPr>
                <w:sz w:val="20"/>
                <w:szCs w:val="20"/>
                <w:color w:val="auto"/>
              </w:rPr>
            </w:pPr>
            <w:r>
              <w:rPr>
                <w:rFonts w:ascii="Arial" w:cs="Arial" w:eastAsia="Arial" w:hAnsi="Arial"/>
                <w:sz w:val="16"/>
                <w:szCs w:val="16"/>
                <w:color w:val="auto"/>
              </w:rPr>
              <w:t>Benefits paid</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6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Non-U.S. currency movement</w:t>
            </w:r>
          </w:p>
        </w:tc>
        <w:tc>
          <w:tcPr>
            <w:tcW w:w="10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6800" w:type="dxa"/>
            <w:vAlign w:val="bottom"/>
          </w:tcPr>
          <w:p>
            <w:pPr>
              <w:ind w:left="120"/>
              <w:spacing w:after="0"/>
              <w:rPr>
                <w:sz w:val="20"/>
                <w:szCs w:val="20"/>
                <w:color w:val="auto"/>
              </w:rPr>
            </w:pPr>
            <w:r>
              <w:rPr>
                <w:rFonts w:ascii="Arial" w:cs="Arial" w:eastAsia="Arial" w:hAnsi="Arial"/>
                <w:sz w:val="16"/>
                <w:szCs w:val="16"/>
                <w:color w:val="auto"/>
              </w:rPr>
              <w:t>Fair value of plan assets at end of period</w:t>
            </w:r>
          </w:p>
        </w:tc>
        <w:tc>
          <w:tcPr>
            <w:tcW w:w="10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33"/>
        </w:trPr>
        <w:tc>
          <w:tcPr>
            <w:tcW w:w="6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2"/>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Unfunded status</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unfunded amounts related to the Pension Plans as recognized on the Company’s Consolidated Balance Sheets: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020" w:type="dxa"/>
            <w:vAlign w:val="bottom"/>
          </w:tcPr>
          <w:p>
            <w:pPr>
              <w:jc w:val="right"/>
              <w:ind w:right="24"/>
              <w:spacing w:after="0"/>
              <w:rPr>
                <w:sz w:val="20"/>
                <w:szCs w:val="20"/>
                <w:color w:val="auto"/>
              </w:rPr>
            </w:pPr>
            <w:r>
              <w:rPr>
                <w:rFonts w:ascii="Arial" w:cs="Arial" w:eastAsia="Arial" w:hAnsi="Arial"/>
                <w:sz w:val="14"/>
                <w:szCs w:val="14"/>
                <w:b w:val="1"/>
                <w:bCs w:val="1"/>
                <w:color w:val="auto"/>
              </w:rPr>
              <w:t>July 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03"/>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220" w:type="dxa"/>
            <w:vAlign w:val="bottom"/>
          </w:tcPr>
          <w:p>
            <w:pPr>
              <w:spacing w:after="0"/>
              <w:rPr>
                <w:sz w:val="16"/>
                <w:szCs w:val="16"/>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7"/>
                <w:szCs w:val="17"/>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020" w:type="dxa"/>
            <w:vAlign w:val="bottom"/>
            <w:tcBorders>
              <w:bottom w:val="single" w:sz="8" w:color="CCEEFF"/>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020" w:type="dxa"/>
            <w:vAlign w:val="bottom"/>
          </w:tcPr>
          <w:p>
            <w:pPr>
              <w:spacing w:after="0"/>
              <w:rPr>
                <w:sz w:val="19"/>
                <w:szCs w:val="19"/>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142</w:t>
            </w:r>
          </w:p>
        </w:tc>
      </w:tr>
      <w:tr>
        <w:trPr>
          <w:trHeight w:val="33"/>
        </w:trPr>
        <w:tc>
          <w:tcPr>
            <w:tcW w:w="8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2"/>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amount recognized</w:t>
            </w: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accumulated benefit obligation for the Pension Plans was $366 million at July 3, 2020. As of July 3, 2020, actuarial losses for the Pension Plans of $67 million are included in Accumulated other comprehensive loss in the Consolidated Balance Sheet. There were no material prior service credits for the defined benefit pension plans recognized in Accumulated other comprehensive loss in the Consolidated Balance Sheet as of July 3, 2020.</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benefit costs were not material for 2020, 2019, and 2018.</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Weighted-Average Assumptions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actuarial assumptions used to determine the projected benefit obligations for the Pension Plans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r>
      <w:tr>
        <w:trPr>
          <w:trHeight w:val="236"/>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3"/>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Rate of compensation increase</w:t>
            </w:r>
          </w:p>
        </w:tc>
        <w:tc>
          <w:tcPr>
            <w:tcW w:w="32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spacing w:after="0" w:line="3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actuarial assumptions used to determine benefit costs for the Pension Plans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r>
      <w:tr>
        <w:trPr>
          <w:trHeight w:val="236"/>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Expected long-term rate of return on plan assets</w:t>
            </w:r>
          </w:p>
        </w:tc>
        <w:tc>
          <w:tcPr>
            <w:tcW w:w="32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6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3"/>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6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The Company develops a discount rate by calculating when the estimated benefit payments will be due. Management then matches the benefit payments to high quality bonds which match the timing of the expected benefit payments to determine the appropriate discount rate.</w:t>
      </w:r>
    </w:p>
    <w:p>
      <w:pPr>
        <w:spacing w:after="0" w:line="17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develops the expected long-term rate of return on plan assets by analyzing rates of return in each plan as well as the investment portfolio applicable to the plan depending on each plan’s economic environment. The Company’s estimates of future rates of return on assets is based in large part on the projected rate of return from the respective investment managers using a long-term view of historical returns, as well as actuarial recommendations using the most current generational and mortality tables and rates. As of July 3, 2020, Pension Plan assets materially consisted of plan assets related to the Japan Pension Plan and as such the assumption used herein is primarily related to the Japan Pension Plan.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develops the rate of compensation increase assumptions using local compensation practices and historical rates of increases.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 Policies and Strategies</w:t>
      </w:r>
    </w:p>
    <w:p>
      <w:pPr>
        <w:spacing w:after="0" w:line="252"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The investment policy in the Pension Plans is to generate a stable return on investments over a long-term horizon in order to have adequate pension funds to meet the Company’s future obligations. In order to achieve this investment goal, a diversified portfolio with target asset allocation and expected rate of return is established by considering factors such as composition of participants, level of funded status, capacity to absorb risks and the current economic environment. The target asset allocation is 62% in debt securities, 35% in equity securities, and the remaining 3% in other assets. Risk management is accomplished through diversification, periodic review of plan asset performance and appropriate realignment of asset allocation. Assumptions regarding the expected long-term rate of return on plan assets are periodically reviewed and are based on the historical trend of returns, the risk and correlation of each asset and the latest economic environment.</w:t>
      </w:r>
    </w:p>
    <w:p>
      <w:pPr>
        <w:spacing w:after="0" w:line="20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expected long-term rate of return is estimated based on many factors, including expected forecast for inflation, risk premiums for each asset class, expected asset allocation, current and future financial market conditions and diversification and rebalancing strategies. Historical return patterns and correlations, consensus return forecasts and other relevant financial factors are analyzed periodically by the investment advisor so as to ensure that the expected long-term rate of return is reasonable and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the Pension Plans’ major asset categories and their associated fair values as of July 3, 2020 and June 28, 2019:</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643"/>
              <w:spacing w:after="0"/>
              <w:rPr>
                <w:sz w:val="20"/>
                <w:szCs w:val="20"/>
                <w:color w:val="auto"/>
              </w:rPr>
            </w:pPr>
            <w:r>
              <w:rPr>
                <w:rFonts w:ascii="Arial" w:cs="Arial" w:eastAsia="Arial" w:hAnsi="Arial"/>
                <w:sz w:val="14"/>
                <w:szCs w:val="14"/>
                <w:b w:val="1"/>
                <w:bCs w:val="1"/>
                <w:color w:val="auto"/>
                <w:w w:val="94"/>
              </w:rPr>
              <w:t>July 3, 2020</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5180" w:type="dxa"/>
            <w:vAlign w:val="bottom"/>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196"/>
        </w:trPr>
        <w:tc>
          <w:tcPr>
            <w:tcW w:w="5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643"/>
              <w:spacing w:after="0"/>
              <w:rPr>
                <w:sz w:val="20"/>
                <w:szCs w:val="20"/>
                <w:color w:val="auto"/>
              </w:rPr>
            </w:pPr>
            <w:r>
              <w:rPr>
                <w:rFonts w:ascii="Arial" w:cs="Arial" w:eastAsia="Arial" w:hAnsi="Arial"/>
                <w:sz w:val="14"/>
                <w:szCs w:val="14"/>
                <w:i w:val="1"/>
                <w:iCs w:val="1"/>
                <w:color w:val="auto"/>
                <w:w w:val="98"/>
              </w:rPr>
              <w:t>(in millions)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2"/>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57"/>
        </w:trPr>
        <w:tc>
          <w:tcPr>
            <w:tcW w:w="5180" w:type="dxa"/>
            <w:vAlign w:val="bottom"/>
          </w:tcPr>
          <w:p>
            <w:pPr>
              <w:ind w:left="140"/>
              <w:spacing w:after="0"/>
              <w:rPr>
                <w:sz w:val="20"/>
                <w:szCs w:val="20"/>
                <w:color w:val="auto"/>
              </w:rPr>
            </w:pPr>
            <w:r>
              <w:rPr>
                <w:rFonts w:ascii="Arial" w:cs="Arial" w:eastAsia="Arial" w:hAnsi="Arial"/>
                <w:sz w:val="16"/>
                <w:szCs w:val="16"/>
                <w:color w:val="auto"/>
              </w:rPr>
              <w:t>Equity commingled/mutual funds</w:t>
            </w:r>
            <w:r>
              <w:rPr>
                <w:rFonts w:ascii="Arial" w:cs="Arial" w:eastAsia="Arial" w:hAnsi="Arial"/>
                <w:sz w:val="21"/>
                <w:szCs w:val="21"/>
                <w:color w:val="auto"/>
                <w:vertAlign w:val="superscript"/>
              </w:rPr>
              <w:t>(1)(2)</w:t>
            </w: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72</w:t>
            </w: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income:</w:t>
            </w: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57"/>
        </w:trPr>
        <w:tc>
          <w:tcPr>
            <w:tcW w:w="5180" w:type="dxa"/>
            <w:vAlign w:val="bottom"/>
          </w:tcPr>
          <w:p>
            <w:pPr>
              <w:ind w:left="140"/>
              <w:spacing w:after="0"/>
              <w:rPr>
                <w:sz w:val="20"/>
                <w:szCs w:val="20"/>
                <w:color w:val="auto"/>
              </w:rPr>
            </w:pPr>
            <w:r>
              <w:rPr>
                <w:rFonts w:ascii="Arial" w:cs="Arial" w:eastAsia="Arial" w:hAnsi="Arial"/>
                <w:sz w:val="16"/>
                <w:szCs w:val="16"/>
                <w:color w:val="auto"/>
              </w:rPr>
              <w:t>Fixed income commingled/mutual funds</w:t>
            </w:r>
            <w:r>
              <w:rPr>
                <w:rFonts w:ascii="Arial" w:cs="Arial" w:eastAsia="Arial" w:hAnsi="Arial"/>
                <w:sz w:val="21"/>
                <w:szCs w:val="21"/>
                <w:color w:val="auto"/>
                <w:vertAlign w:val="superscript"/>
              </w:rPr>
              <w:t>(1)(3)</w:t>
            </w:r>
          </w:p>
        </w:tc>
        <w:tc>
          <w:tcPr>
            <w:tcW w:w="106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131</w:t>
            </w:r>
          </w:p>
        </w:tc>
      </w:tr>
      <w:tr>
        <w:trPr>
          <w:trHeight w:val="257"/>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equivalents and short-term investments</w:t>
            </w:r>
          </w:p>
        </w:tc>
        <w:tc>
          <w:tcPr>
            <w:tcW w:w="10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r>
      <w:tr>
        <w:trPr>
          <w:trHeight w:val="247"/>
        </w:trPr>
        <w:tc>
          <w:tcPr>
            <w:tcW w:w="5180" w:type="dxa"/>
            <w:vAlign w:val="bottom"/>
          </w:tcPr>
          <w:p>
            <w:pPr>
              <w:ind w:left="20"/>
              <w:spacing w:after="0"/>
              <w:rPr>
                <w:sz w:val="20"/>
                <w:szCs w:val="20"/>
                <w:color w:val="auto"/>
              </w:rPr>
            </w:pPr>
            <w:r>
              <w:rPr>
                <w:rFonts w:ascii="Arial" w:cs="Arial" w:eastAsia="Arial" w:hAnsi="Arial"/>
                <w:sz w:val="16"/>
                <w:szCs w:val="16"/>
                <w:color w:val="auto"/>
              </w:rPr>
              <w:t>Fair value of plan assets</w:t>
            </w: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215</w:t>
            </w:r>
          </w:p>
        </w:tc>
      </w:tr>
      <w:tr>
        <w:trPr>
          <w:trHeight w:val="23"/>
        </w:trPr>
        <w:tc>
          <w:tcPr>
            <w:tcW w:w="5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68"/>
        </w:trPr>
        <w:tc>
          <w:tcPr>
            <w:tcW w:w="51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643"/>
              <w:spacing w:after="0"/>
              <w:rPr>
                <w:sz w:val="20"/>
                <w:szCs w:val="20"/>
                <w:color w:val="auto"/>
              </w:rPr>
            </w:pPr>
            <w:r>
              <w:rPr>
                <w:rFonts w:ascii="Arial" w:cs="Arial" w:eastAsia="Arial" w:hAnsi="Arial"/>
                <w:sz w:val="14"/>
                <w:szCs w:val="14"/>
                <w:b w:val="1"/>
                <w:bCs w:val="1"/>
                <w:color w:val="auto"/>
                <w:w w:val="90"/>
              </w:rPr>
              <w:t>June 28, 2019</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6"/>
        </w:trPr>
        <w:tc>
          <w:tcPr>
            <w:tcW w:w="5180" w:type="dxa"/>
            <w:vAlign w:val="bottom"/>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196"/>
        </w:trPr>
        <w:tc>
          <w:tcPr>
            <w:tcW w:w="5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center"/>
              <w:ind w:left="643"/>
              <w:spacing w:after="0"/>
              <w:rPr>
                <w:sz w:val="20"/>
                <w:szCs w:val="20"/>
                <w:color w:val="auto"/>
              </w:rPr>
            </w:pPr>
            <w:r>
              <w:rPr>
                <w:rFonts w:ascii="Arial" w:cs="Arial" w:eastAsia="Arial" w:hAnsi="Arial"/>
                <w:sz w:val="14"/>
                <w:szCs w:val="14"/>
                <w:i w:val="1"/>
                <w:iCs w:val="1"/>
                <w:color w:val="auto"/>
                <w:w w:val="98"/>
              </w:rPr>
              <w:t>(in millions)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57"/>
        </w:trPr>
        <w:tc>
          <w:tcPr>
            <w:tcW w:w="5180" w:type="dxa"/>
            <w:vAlign w:val="bottom"/>
          </w:tcPr>
          <w:p>
            <w:pPr>
              <w:ind w:left="140"/>
              <w:spacing w:after="0"/>
              <w:rPr>
                <w:sz w:val="20"/>
                <w:szCs w:val="20"/>
                <w:color w:val="auto"/>
              </w:rPr>
            </w:pPr>
            <w:r>
              <w:rPr>
                <w:rFonts w:ascii="Arial" w:cs="Arial" w:eastAsia="Arial" w:hAnsi="Arial"/>
                <w:sz w:val="16"/>
                <w:szCs w:val="16"/>
                <w:color w:val="auto"/>
              </w:rPr>
              <w:t>Equity commingled/mutual funds</w:t>
            </w:r>
            <w:r>
              <w:rPr>
                <w:rFonts w:ascii="Arial" w:cs="Arial" w:eastAsia="Arial" w:hAnsi="Arial"/>
                <w:sz w:val="21"/>
                <w:szCs w:val="21"/>
                <w:color w:val="auto"/>
                <w:vertAlign w:val="superscript"/>
              </w:rPr>
              <w:t>(1)(2)</w:t>
            </w: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2"/>
                <w:szCs w:val="22"/>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68</w:t>
            </w:r>
          </w:p>
        </w:tc>
      </w:tr>
      <w:tr>
        <w:trPr>
          <w:trHeight w:val="23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income:</w:t>
            </w: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57"/>
        </w:trPr>
        <w:tc>
          <w:tcPr>
            <w:tcW w:w="5180" w:type="dxa"/>
            <w:vAlign w:val="bottom"/>
          </w:tcPr>
          <w:p>
            <w:pPr>
              <w:ind w:left="140"/>
              <w:spacing w:after="0"/>
              <w:rPr>
                <w:sz w:val="20"/>
                <w:szCs w:val="20"/>
                <w:color w:val="auto"/>
              </w:rPr>
            </w:pPr>
            <w:r>
              <w:rPr>
                <w:rFonts w:ascii="Arial" w:cs="Arial" w:eastAsia="Arial" w:hAnsi="Arial"/>
                <w:sz w:val="16"/>
                <w:szCs w:val="16"/>
                <w:color w:val="auto"/>
              </w:rPr>
              <w:t>Fixed income commingled/mutual funds</w:t>
            </w:r>
            <w:r>
              <w:rPr>
                <w:rFonts w:ascii="Arial" w:cs="Arial" w:eastAsia="Arial" w:hAnsi="Arial"/>
                <w:sz w:val="21"/>
                <w:szCs w:val="21"/>
                <w:color w:val="auto"/>
                <w:vertAlign w:val="superscript"/>
              </w:rPr>
              <w:t>(1)(3)</w:t>
            </w:r>
          </w:p>
        </w:tc>
        <w:tc>
          <w:tcPr>
            <w:tcW w:w="106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132</w:t>
            </w:r>
          </w:p>
        </w:tc>
      </w:tr>
      <w:tr>
        <w:trPr>
          <w:trHeight w:val="256"/>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equivalents and short-term investments</w:t>
            </w:r>
          </w:p>
        </w:tc>
        <w:tc>
          <w:tcPr>
            <w:tcW w:w="10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w:t>
            </w:r>
          </w:p>
        </w:tc>
      </w:tr>
      <w:tr>
        <w:trPr>
          <w:trHeight w:val="247"/>
        </w:trPr>
        <w:tc>
          <w:tcPr>
            <w:tcW w:w="5180" w:type="dxa"/>
            <w:vAlign w:val="bottom"/>
          </w:tcPr>
          <w:p>
            <w:pPr>
              <w:ind w:left="20"/>
              <w:spacing w:after="0"/>
              <w:rPr>
                <w:sz w:val="20"/>
                <w:szCs w:val="20"/>
                <w:color w:val="auto"/>
              </w:rPr>
            </w:pPr>
            <w:r>
              <w:rPr>
                <w:rFonts w:ascii="Arial" w:cs="Arial" w:eastAsia="Arial" w:hAnsi="Arial"/>
                <w:sz w:val="16"/>
                <w:szCs w:val="16"/>
                <w:color w:val="auto"/>
              </w:rPr>
              <w:t>Fair value of plan assets</w:t>
            </w:r>
          </w:p>
        </w:tc>
        <w:tc>
          <w:tcPr>
            <w:tcW w:w="106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209</w:t>
            </w:r>
          </w:p>
        </w:tc>
      </w:tr>
      <w:tr>
        <w:trPr>
          <w:trHeight w:val="23"/>
        </w:trPr>
        <w:tc>
          <w:tcPr>
            <w:tcW w:w="5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683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Commingled funds represent pooled institutional investments.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Equity mutual funds invest primarily in equity securities.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Fixed income mutual funds invest primarily in fixed income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movements of assets between any level categories in 2020 or 2019.</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Valuation Techniques</w:t>
      </w:r>
    </w:p>
    <w:p>
      <w:pPr>
        <w:spacing w:after="0" w:line="252"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Equity securities are valued at the closing price reported on the stock exchange on which the individual securities are traded. Equity commingled/mutual funds are typically valued using the net asset value (“NAV”) provided by the investment manager or administrator of the fund. The NAV is based on the value of the underlying assets owned by the fund, minus liabilities and divided by the number of shares or units outstanding. These assets are classified as either Level 1 or Level 2, depending on availability of quoted market prices for identical or similar assets.</w:t>
      </w:r>
    </w:p>
    <w:p>
      <w:pPr>
        <w:spacing w:after="0" w:line="18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If available, fixed income securities are valued using the close price reported on the major market on which the individual securities are traded and are classified as Level 1. The fair value of other fixed income securities is typically estimated using pricing models and quoted prices of securities with similar characteristics, and is generally classified as Level 2.</w:t>
      </w:r>
    </w:p>
    <w:p>
      <w:pPr>
        <w:spacing w:after="0" w:line="211" w:lineRule="exact"/>
        <w:rPr>
          <w:sz w:val="20"/>
          <w:szCs w:val="20"/>
          <w:color w:val="auto"/>
        </w:rPr>
      </w:pPr>
    </w:p>
    <w:p>
      <w:pPr>
        <w:jc w:val="both"/>
        <w:ind w:right="80" w:firstLine="324"/>
        <w:spacing w:after="0" w:line="308" w:lineRule="auto"/>
        <w:rPr>
          <w:sz w:val="20"/>
          <w:szCs w:val="20"/>
          <w:color w:val="auto"/>
        </w:rPr>
      </w:pPr>
      <w:r>
        <w:rPr>
          <w:rFonts w:ascii="Arial" w:cs="Arial" w:eastAsia="Arial" w:hAnsi="Arial"/>
          <w:sz w:val="17"/>
          <w:szCs w:val="17"/>
          <w:color w:val="auto"/>
        </w:rPr>
        <w:t>Cash equivalents includes money market accounts that are valued at their cost plus interest on a daily basis, which approximates fair value. Short-term investments represent securities with original maturities of one year or less. These assets are classified as either Level 1 or Level 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expected employer contributions for 2021 and annual benefit payments over the next five years for its Pension Plans are not expected to be material.</w:t>
      </w: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68" w:right="4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Parties and Related Commitments and Contingencies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procures substantially all of its flash-based memory wafers from its business ventures with Kioxia Corporation (“Kioxia”), which consists of three separate legal entities: Flash Partners Ltd. (“Flash Partners”), Flash Alliance Ltd. (“Flash Alliance”), and Flash Forward Ltd. (“Flash Forward”), collectively referred to as “Flash Ventures”. The Company has a 49.9% ownership interest and Kioxia has a 50.1% ownership interest in each of these entities. Through Flash Ventures, the Company and Kioxia collaborate in the development and manufacture of flash-based memory wafers, which are manufactured by Kioxia at its wafer fabrication facilities located in Japan using semiconductor manufacturing equipment individually owned or leased by each Flash Ventures entity. Each Flash Ventures entity purchases wafers from Kioxia at cost and then resells those wafers to the Company and Kioxia at cost plus a markup</w:t>
      </w:r>
      <w:r>
        <w:rPr>
          <w:rFonts w:ascii="Arial" w:cs="Arial" w:eastAsia="Arial" w:hAnsi="Arial"/>
          <w:sz w:val="18"/>
          <w:szCs w:val="18"/>
          <w:i w:val="1"/>
          <w:iCs w:val="1"/>
          <w:color w:val="auto"/>
        </w:rPr>
        <w:t>.</w:t>
      </w:r>
    </w:p>
    <w:p>
      <w:pPr>
        <w:spacing w:after="0" w:line="22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i w:val="1"/>
          <w:iCs w:val="1"/>
          <w:color w:val="auto"/>
        </w:rPr>
        <w:t>Flash Partners</w:t>
      </w:r>
      <w:r>
        <w:rPr>
          <w:rFonts w:ascii="Arial" w:cs="Arial" w:eastAsia="Arial" w:hAnsi="Arial"/>
          <w:sz w:val="18"/>
          <w:szCs w:val="18"/>
          <w:color w:val="auto"/>
        </w:rPr>
        <w:t>. Flash Partners was formed in 2004 in connection with the construction of Kioxia’s “Y3” 300-millimeter wafer fabrication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Yokkaichi, Japan.</w:t>
      </w:r>
    </w:p>
    <w:p>
      <w:pPr>
        <w:spacing w:after="0" w:line="19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i w:val="1"/>
          <w:iCs w:val="1"/>
          <w:color w:val="auto"/>
        </w:rPr>
        <w:t xml:space="preserve">Flash Alliance. </w:t>
      </w:r>
      <w:r>
        <w:rPr>
          <w:rFonts w:ascii="Arial" w:cs="Arial" w:eastAsia="Arial" w:hAnsi="Arial"/>
          <w:sz w:val="18"/>
          <w:szCs w:val="18"/>
          <w:color w:val="auto"/>
        </w:rPr>
        <w:t>Flash Alliance was formed in 2006 in connection with the construction of Kioxia’s “Y4” 300-millimeter wafer fabrication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Yokkaichi, Japan.</w:t>
      </w:r>
    </w:p>
    <w:p>
      <w:pPr>
        <w:spacing w:after="0" w:line="19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i w:val="1"/>
          <w:iCs w:val="1"/>
          <w:color w:val="auto"/>
        </w:rPr>
        <w:t>Flash Forward</w:t>
      </w:r>
      <w:r>
        <w:rPr>
          <w:rFonts w:ascii="Arial" w:cs="Arial" w:eastAsia="Arial" w:hAnsi="Arial"/>
          <w:sz w:val="18"/>
          <w:szCs w:val="18"/>
          <w:color w:val="auto"/>
        </w:rPr>
        <w:t>. Flash Forward was formed in 2010 in connection with the construction of Kioxia’s “Y5” 300-millimeter wafer fabrication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Yokkaichi, Japan. Y5 was built in two phases of approximately equal size.</w:t>
      </w:r>
    </w:p>
    <w:p>
      <w:pPr>
        <w:spacing w:after="0" w:line="197" w:lineRule="exact"/>
        <w:rPr>
          <w:sz w:val="20"/>
          <w:szCs w:val="20"/>
          <w:color w:val="auto"/>
        </w:rPr>
      </w:pPr>
    </w:p>
    <w:p>
      <w:pPr>
        <w:ind w:right="400" w:firstLine="324"/>
        <w:spacing w:after="0" w:line="291" w:lineRule="auto"/>
        <w:rPr>
          <w:sz w:val="20"/>
          <w:szCs w:val="20"/>
          <w:color w:val="auto"/>
        </w:rPr>
      </w:pPr>
      <w:r>
        <w:rPr>
          <w:rFonts w:ascii="Arial" w:cs="Arial" w:eastAsia="Arial" w:hAnsi="Arial"/>
          <w:sz w:val="16"/>
          <w:szCs w:val="16"/>
          <w:i w:val="1"/>
          <w:iCs w:val="1"/>
          <w:color w:val="auto"/>
        </w:rPr>
        <w:t>New Y2</w:t>
      </w:r>
      <w:r>
        <w:rPr>
          <w:rFonts w:ascii="Arial" w:cs="Arial" w:eastAsia="Arial" w:hAnsi="Arial"/>
          <w:sz w:val="16"/>
          <w:szCs w:val="16"/>
          <w:color w:val="auto"/>
        </w:rPr>
        <w:t>. The Company has a facility agreement with Kioxia related to the construction and operation of Kioxia’s “New Y2” 300-millimeter wafer</w:t>
      </w:r>
      <w:r>
        <w:rPr>
          <w:rFonts w:ascii="Arial" w:cs="Arial" w:eastAsia="Arial" w:hAnsi="Arial"/>
          <w:sz w:val="16"/>
          <w:szCs w:val="16"/>
          <w:i w:val="1"/>
          <w:iCs w:val="1"/>
          <w:color w:val="auto"/>
        </w:rPr>
        <w:t xml:space="preserve"> </w:t>
      </w:r>
      <w:r>
        <w:rPr>
          <w:rFonts w:ascii="Arial" w:cs="Arial" w:eastAsia="Arial" w:hAnsi="Arial"/>
          <w:sz w:val="16"/>
          <w:szCs w:val="16"/>
          <w:color w:val="auto"/>
        </w:rPr>
        <w:t>fabrication facility located in Yokkaichi, Japan. New Y2 primarily provided additional clean room space to convert a portion of 2-dimensional</w:t>
      </w:r>
    </w:p>
    <w:p>
      <w:pPr>
        <w:ind w:right="60"/>
        <w:spacing w:after="0" w:line="260" w:lineRule="auto"/>
        <w:rPr>
          <w:sz w:val="20"/>
          <w:szCs w:val="20"/>
          <w:color w:val="auto"/>
        </w:rPr>
      </w:pPr>
      <w:r>
        <w:rPr>
          <w:rFonts w:ascii="Arial" w:cs="Arial" w:eastAsia="Arial" w:hAnsi="Arial"/>
          <w:sz w:val="18"/>
          <w:szCs w:val="18"/>
          <w:color w:val="auto"/>
        </w:rPr>
        <w:t>(“2D”) flash-based wafer production capacity to 3-dimensional (“3D”) flash-based wafer production capacity. Production of flash-based wafers in New Y2 started in 2016.</w:t>
      </w:r>
    </w:p>
    <w:p>
      <w:pPr>
        <w:spacing w:after="0" w:line="21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i w:val="1"/>
          <w:iCs w:val="1"/>
          <w:color w:val="auto"/>
        </w:rPr>
        <w:t>Y6</w:t>
      </w:r>
      <w:r>
        <w:rPr>
          <w:rFonts w:ascii="Arial" w:cs="Arial" w:eastAsia="Arial" w:hAnsi="Arial"/>
          <w:sz w:val="18"/>
          <w:szCs w:val="18"/>
          <w:color w:val="auto"/>
        </w:rPr>
        <w:t>. The Company also has a facility agreement with Kioxia related to the construction and operation of Kioxia’s “Y6” 300-millimeter wafer</w:t>
      </w:r>
      <w:r>
        <w:rPr>
          <w:rFonts w:ascii="Arial" w:cs="Arial" w:eastAsia="Arial" w:hAnsi="Arial"/>
          <w:sz w:val="18"/>
          <w:szCs w:val="18"/>
          <w:i w:val="1"/>
          <w:iCs w:val="1"/>
          <w:color w:val="auto"/>
        </w:rPr>
        <w:t xml:space="preserve"> </w:t>
      </w:r>
      <w:r>
        <w:rPr>
          <w:rFonts w:ascii="Arial" w:cs="Arial" w:eastAsia="Arial" w:hAnsi="Arial"/>
          <w:sz w:val="18"/>
          <w:szCs w:val="18"/>
          <w:color w:val="auto"/>
        </w:rPr>
        <w:t>fabrication facility in Yokkaichi, Japan. Y6 is primarily intended to provide clean room space to continue the transition of existing 2D flash-based wafer capacity to 3D flash-based wafer production capacity. Production of flash-based wafers in Y6 started in 2018.</w:t>
      </w:r>
    </w:p>
    <w:p>
      <w:pPr>
        <w:spacing w:after="0" w:line="21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i w:val="1"/>
          <w:iCs w:val="1"/>
          <w:color w:val="auto"/>
        </w:rPr>
        <w:t>K1</w:t>
      </w:r>
      <w:r>
        <w:rPr>
          <w:rFonts w:ascii="Arial" w:cs="Arial" w:eastAsia="Arial" w:hAnsi="Arial"/>
          <w:sz w:val="16"/>
          <w:szCs w:val="16"/>
          <w:color w:val="auto"/>
        </w:rPr>
        <w:t>. The Company also has a facility agreement with Kioxia related to the construction and operation of Kioxia’s “K1” 300-milimeter wafer fabrication</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in Kitakami, Japan. The primary purpose of K1 is to provide clean room space to continue the transition of existing flash-based wafer capacity to newer technology nodes. Output from the initial production line at K1 began in the third quarter of fiscal year 2020, although meaningful output from K1 is not expected to begin until the end of calendar 2020. The Company has paid for most of its share of initial K1 equipment investments and relocation costs. Other period expenses associated with the initial production ramp at K1 will begin trailing off as output increases toward the end of calendar year 2020. The Company also agreed to prepay an aggregate of approximately $360 million over a 3-year period beginning in the first half of fiscal year 2020 toward K1 building depreciation, to be credited against future wafer charges. As of July 3, 2020, remaining committed prepayments totaled $206 million.</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Company accounts for its ownership position of each entity within Flash Ventures under the equity method of accounting. The financial and other support provided by the Company in all periods presented was either contractually required or the result of a joint decision to expand wafer capacity, transition to new technologies or refinance existing equipment lease commitments. Entities within Flash Ventures are VIEs. The Company evaluated whether it is the primary beneficiary of any of the entities within Flash Ventures for all periods presented and determined that it is not the primary beneficiary of any of the entities within Flash Ventures because it does not have a controlling financial interest in any of those entities. In determining whether the Company is the primary beneficiary, the Company analyzed the primary purpose and design of Flash Ventures, the activities that most significantly impact Flash Ventures’ economic performance, and whether the Company had the power to direct those activities. The Company concluded, based upon its 49.9% ownership, the voting structure and the manner in which the day-to-day operations are conducted for each entity within Flash Ventures, that the Company lacked the power to direct most of the activities that most significantly impact the economic performance of each entity within Flash Ventures.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notes receivable from, and equity investments in, Flash Ventures as of July 3, 2020 and June 28, 2019:</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July 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01"/>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220" w:type="dxa"/>
            <w:vAlign w:val="bottom"/>
          </w:tcPr>
          <w:p>
            <w:pPr>
              <w:spacing w:after="0"/>
              <w:rPr>
                <w:sz w:val="16"/>
                <w:szCs w:val="16"/>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7"/>
                <w:szCs w:val="17"/>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 receivable, Flash Partners</w:t>
            </w:r>
          </w:p>
        </w:tc>
        <w:tc>
          <w:tcPr>
            <w:tcW w:w="960" w:type="dxa"/>
            <w:vAlign w:val="bottom"/>
            <w:tcBorders>
              <w:bottom w:val="single" w:sz="8" w:color="CCEEFF"/>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551</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Notes receivable, Flash Alliance</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878</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 receivable, Flash Forward</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743</w:t>
            </w:r>
          </w:p>
        </w:tc>
      </w:tr>
      <w:tr>
        <w:trPr>
          <w:trHeight w:val="224"/>
        </w:trPr>
        <w:tc>
          <w:tcPr>
            <w:tcW w:w="8220" w:type="dxa"/>
            <w:vAlign w:val="bottom"/>
          </w:tcPr>
          <w:p>
            <w:pPr>
              <w:ind w:left="20"/>
              <w:spacing w:after="0"/>
              <w:rPr>
                <w:sz w:val="20"/>
                <w:szCs w:val="20"/>
                <w:color w:val="auto"/>
              </w:rPr>
            </w:pPr>
            <w:r>
              <w:rPr>
                <w:rFonts w:ascii="Arial" w:cs="Arial" w:eastAsia="Arial" w:hAnsi="Arial"/>
                <w:sz w:val="16"/>
                <w:szCs w:val="16"/>
                <w:color w:val="auto"/>
              </w:rPr>
              <w:t>Investment in Flash Partners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200</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in Flash Alliance</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296</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Investment in Flash Forward</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123</w:t>
            </w:r>
          </w:p>
        </w:tc>
      </w:tr>
      <w:tr>
        <w:trPr>
          <w:trHeight w:val="33"/>
        </w:trPr>
        <w:tc>
          <w:tcPr>
            <w:tcW w:w="8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2"/>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notes receivable and investments in Flash Ventures</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1,875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2,791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During 2020, 2019 and 2018, the Company made net payments to Flash Ventures of $3.09 billion, $4.13 billion and $3.79 billion, respectively, for purchased flash-based memory wafers and net loans.</w:t>
      </w:r>
    </w:p>
    <w:p>
      <w:pPr>
        <w:spacing w:after="0" w:line="19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84"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As of July 3, 2020 and June 28, 2019, the Company had Accounts payable balances due to Flash Ventures of $407 million and $331 million, respectively.</w:t>
      </w:r>
    </w:p>
    <w:p>
      <w:pPr>
        <w:spacing w:after="0" w:line="197" w:lineRule="exact"/>
        <w:rPr>
          <w:sz w:val="20"/>
          <w:szCs w:val="20"/>
          <w:color w:val="auto"/>
        </w:rPr>
      </w:pPr>
    </w:p>
    <w:p>
      <w:pPr>
        <w:jc w:val="both"/>
        <w:ind w:right="160" w:firstLine="324"/>
        <w:spacing w:after="0" w:line="301"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July 3, 2020,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50"/>
        </w:trPr>
        <w:tc>
          <w:tcPr>
            <w:tcW w:w="9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442"/>
              <w:spacing w:after="0" w:line="150" w:lineRule="exact"/>
              <w:rPr>
                <w:sz w:val="20"/>
                <w:szCs w:val="20"/>
                <w:color w:val="auto"/>
              </w:rPr>
            </w:pPr>
            <w:r>
              <w:rPr>
                <w:rFonts w:ascii="Arial" w:cs="Arial" w:eastAsia="Arial" w:hAnsi="Arial"/>
                <w:sz w:val="14"/>
                <w:szCs w:val="14"/>
                <w:b w:val="1"/>
                <w:bCs w:val="1"/>
                <w:color w:val="auto"/>
              </w:rPr>
              <w:t>July 3,</w:t>
            </w:r>
          </w:p>
        </w:tc>
      </w:tr>
      <w:tr>
        <w:trPr>
          <w:trHeight w:val="192"/>
        </w:trPr>
        <w:tc>
          <w:tcPr>
            <w:tcW w:w="9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02"/>
        </w:trPr>
        <w:tc>
          <w:tcPr>
            <w:tcW w:w="9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7"/>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 receivable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1,244</w:t>
            </w:r>
          </w:p>
        </w:tc>
      </w:tr>
      <w:tr>
        <w:trPr>
          <w:trHeight w:val="223"/>
        </w:trPr>
        <w:tc>
          <w:tcPr>
            <w:tcW w:w="9780" w:type="dxa"/>
            <w:vAlign w:val="bottom"/>
          </w:tcPr>
          <w:p>
            <w:pPr>
              <w:ind w:left="20"/>
              <w:spacing w:after="0"/>
              <w:rPr>
                <w:sz w:val="20"/>
                <w:szCs w:val="20"/>
                <w:color w:val="auto"/>
              </w:rPr>
            </w:pPr>
            <w:r>
              <w:rPr>
                <w:rFonts w:ascii="Arial" w:cs="Arial" w:eastAsia="Arial" w:hAnsi="Arial"/>
                <w:sz w:val="16"/>
                <w:szCs w:val="16"/>
                <w:color w:val="auto"/>
              </w:rPr>
              <w:t>Equity investments</w:t>
            </w:r>
          </w:p>
        </w:tc>
        <w:tc>
          <w:tcPr>
            <w:tcW w:w="3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631</w:t>
            </w:r>
          </w:p>
        </w:tc>
      </w:tr>
      <w:tr>
        <w:trPr>
          <w:trHeight w:val="33"/>
        </w:trPr>
        <w:tc>
          <w:tcPr>
            <w:tcW w:w="9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guarantees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1,903</w:t>
            </w:r>
          </w:p>
        </w:tc>
      </w:tr>
      <w:tr>
        <w:trPr>
          <w:trHeight w:val="223"/>
        </w:trPr>
        <w:tc>
          <w:tcPr>
            <w:tcW w:w="9780" w:type="dxa"/>
            <w:vAlign w:val="bottom"/>
          </w:tcPr>
          <w:p>
            <w:pPr>
              <w:ind w:left="20"/>
              <w:spacing w:after="0"/>
              <w:rPr>
                <w:sz w:val="20"/>
                <w:szCs w:val="20"/>
                <w:color w:val="auto"/>
              </w:rPr>
            </w:pPr>
            <w:r>
              <w:rPr>
                <w:rFonts w:ascii="Arial" w:cs="Arial" w:eastAsia="Arial" w:hAnsi="Arial"/>
                <w:sz w:val="16"/>
                <w:szCs w:val="16"/>
                <w:color w:val="auto"/>
              </w:rPr>
              <w:t>Inventory and prepayments</w:t>
            </w:r>
          </w:p>
        </w:tc>
        <w:tc>
          <w:tcPr>
            <w:tcW w:w="3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526</w:t>
            </w:r>
          </w:p>
        </w:tc>
      </w:tr>
      <w:tr>
        <w:trPr>
          <w:trHeight w:val="33"/>
        </w:trPr>
        <w:tc>
          <w:tcPr>
            <w:tcW w:w="9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2"/>
        </w:trPr>
        <w:tc>
          <w:tcPr>
            <w:tcW w:w="9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Maximum estimable loss exposure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4,304</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As of July 3, 2020 and June 28, 2019, the Company’s retained earnings included undistributed earnings of Flash Ventures of $24 million and $14 million, respectively.</w:t>
      </w:r>
    </w:p>
    <w:p>
      <w:pPr>
        <w:spacing w:after="0" w:line="19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Flash Ventures entity’s operating cash flow is insufficient to fund these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Flash Ventures has historically operated near 100% of its manufacturing capacity. During 2019, as a result of flash business conditions, the Company temporarily reduced its utilization of its share of Flash Ventures’ manufacturing capacity to an abnormally low level to more closely align the Company’s flash-based wafer supply with the projected demand. In 2019, the Company incurred costs of $264 million associated with the reduction in utilization, which was recorded as a charge to Cost of revenue.</w:t>
      </w:r>
    </w:p>
    <w:p>
      <w:pPr>
        <w:spacing w:after="0" w:line="21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June 2019, an unexpected power outage incident occurred at the flash-based memory manufacturing facilities operated by Flash Ventures in Yokkaichi, Japan. The power outage incident impacted the facilities and process tools and resulted in the damage of flash wafers in production and a reduction in the Company’s flash wafer availability. As a result of this incident, the Company incurred charges of $68 million and $145 million in 2020 and 2019, respectively, which were recorded in Cost of revenue and primarily consisted of the write-off of damaged inventory and unabsorbed manufacturing overhead costs. The Company continues to pursue recovery of its losses associated with this event; however, the total amount of recovery cannot be estimated at this time.</w:t>
      </w:r>
    </w:p>
    <w:p>
      <w:pPr>
        <w:spacing w:after="0" w:line="21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1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Research and Development Activities. </w:t>
      </w:r>
      <w:r>
        <w:rPr>
          <w:rFonts w:ascii="Arial" w:cs="Arial" w:eastAsia="Arial" w:hAnsi="Arial"/>
          <w:sz w:val="18"/>
          <w:szCs w:val="18"/>
          <w:color w:val="auto"/>
        </w:rPr>
        <w:t>The Company participates in common R&amp;D activities with Kioxia and is contractually committed to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level. R&amp;D commitments are immaterial to the Consolidated Financial Statements.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1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July 3,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Lease Amounts</w:t>
            </w:r>
          </w:p>
        </w:tc>
        <w:tc>
          <w:tcPr>
            <w:tcW w:w="760" w:type="dxa"/>
            <w:vAlign w:val="bottom"/>
            <w:tcBorders>
              <w:bottom w:val="single" w:sz="8" w:color="auto"/>
            </w:tcBorders>
          </w:tcPr>
          <w:p>
            <w:pPr>
              <w:spacing w:after="0"/>
              <w:rPr>
                <w:sz w:val="16"/>
                <w:szCs w:val="16"/>
                <w:color w:val="auto"/>
              </w:rPr>
            </w:pPr>
          </w:p>
        </w:tc>
      </w:tr>
      <w:tr>
        <w:trPr>
          <w:trHeight w:val="156"/>
        </w:trPr>
        <w:tc>
          <w:tcPr>
            <w:tcW w:w="8220" w:type="dxa"/>
            <w:vAlign w:val="bottom"/>
          </w:tcPr>
          <w:p>
            <w:pPr>
              <w:spacing w:after="0"/>
              <w:rPr>
                <w:sz w:val="13"/>
                <w:szCs w:val="13"/>
                <w:color w:val="auto"/>
              </w:rPr>
            </w:pPr>
          </w:p>
        </w:tc>
        <w:tc>
          <w:tcPr>
            <w:tcW w:w="1480" w:type="dxa"/>
            <w:vAlign w:val="bottom"/>
            <w:gridSpan w:val="2"/>
          </w:tcPr>
          <w:p>
            <w:pPr>
              <w:jc w:val="center"/>
              <w:spacing w:after="0" w:line="156" w:lineRule="exact"/>
              <w:rPr>
                <w:sz w:val="20"/>
                <w:szCs w:val="20"/>
                <w:color w:val="auto"/>
              </w:rPr>
            </w:pPr>
            <w:r>
              <w:rPr>
                <w:rFonts w:ascii="Arial" w:cs="Arial" w:eastAsia="Arial" w:hAnsi="Arial"/>
                <w:sz w:val="14"/>
                <w:szCs w:val="14"/>
                <w:i w:val="1"/>
                <w:iCs w:val="1"/>
                <w:color w:val="auto"/>
                <w:w w:val="90"/>
              </w:rPr>
              <w:t>(Japanese yen, in</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8220" w:type="dxa"/>
            <w:vAlign w:val="bottom"/>
          </w:tcPr>
          <w:p>
            <w:pPr>
              <w:spacing w:after="0"/>
              <w:rPr>
                <w:sz w:val="16"/>
                <w:szCs w:val="16"/>
                <w:color w:val="auto"/>
              </w:rPr>
            </w:pPr>
          </w:p>
        </w:tc>
        <w:tc>
          <w:tcPr>
            <w:tcW w:w="1020" w:type="dxa"/>
            <w:vAlign w:val="bottom"/>
          </w:tcPr>
          <w:p>
            <w:pPr>
              <w:jc w:val="center"/>
              <w:ind w:left="345"/>
              <w:spacing w:after="0"/>
              <w:rPr>
                <w:sz w:val="20"/>
                <w:szCs w:val="20"/>
                <w:color w:val="auto"/>
              </w:rPr>
            </w:pPr>
            <w:r>
              <w:rPr>
                <w:rFonts w:ascii="Arial" w:cs="Arial" w:eastAsia="Arial" w:hAnsi="Arial"/>
                <w:sz w:val="14"/>
                <w:szCs w:val="14"/>
                <w:i w:val="1"/>
                <w:iCs w:val="1"/>
                <w:color w:val="auto"/>
              </w:rPr>
              <w:t>billions)</w:t>
            </w:r>
          </w:p>
        </w:tc>
        <w:tc>
          <w:tcPr>
            <w:tcW w:w="46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i w:val="1"/>
                <w:iCs w:val="1"/>
                <w:color w:val="auto"/>
                <w:w w:val="97"/>
              </w:rPr>
              <w:t>(U.S. dollar, in millions)</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guarantee obligations</w:t>
            </w:r>
          </w:p>
        </w:tc>
        <w:tc>
          <w:tcPr>
            <w:tcW w:w="1020" w:type="dxa"/>
            <w:vAlign w:val="bottom"/>
            <w:shd w:val="clear" w:color="auto" w:fill="CCEEFF"/>
          </w:tcPr>
          <w:p>
            <w:pPr>
              <w:jc w:val="right"/>
              <w:ind w:right="845"/>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205</w:t>
            </w:r>
          </w:p>
        </w:tc>
        <w:tc>
          <w:tcPr>
            <w:tcW w:w="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w:t>
            </w:r>
          </w:p>
        </w:tc>
      </w:tr>
      <w:tr>
        <w:trPr>
          <w:trHeight w:val="33"/>
        </w:trPr>
        <w:tc>
          <w:tcPr>
            <w:tcW w:w="8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July 3, 2020 in U.S. dollars, based upon the Japanese yen to U.S. dollar exchange rate as of July 3,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Purchase Option</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48"/>
        </w:trPr>
        <w:tc>
          <w:tcPr>
            <w:tcW w:w="6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Payment of Principal</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Exercise Price at Final</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88"/>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Annual Installments</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Amortization</w:t>
            </w:r>
          </w:p>
        </w:tc>
        <w:tc>
          <w:tcPr>
            <w:tcW w:w="1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Lease Terms</w:t>
            </w:r>
          </w:p>
        </w:tc>
        <w:tc>
          <w:tcPr>
            <w:tcW w:w="14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Arial" w:cs="Arial" w:eastAsia="Arial" w:hAnsi="Arial"/>
                <w:sz w:val="14"/>
                <w:szCs w:val="14"/>
                <w:color w:val="auto"/>
                <w:w w:val="92"/>
              </w:rPr>
              <w:t>Guarantee Amount</w:t>
            </w:r>
          </w:p>
        </w:tc>
      </w:tr>
      <w:tr>
        <w:trPr>
          <w:trHeight w:val="196"/>
        </w:trPr>
        <w:tc>
          <w:tcPr>
            <w:tcW w:w="6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w:t>
            </w:r>
          </w:p>
        </w:tc>
      </w:tr>
      <w:tr>
        <w:trPr>
          <w:trHeight w:val="224"/>
        </w:trPr>
        <w:tc>
          <w:tcPr>
            <w:tcW w:w="6560" w:type="dxa"/>
            <w:vAlign w:val="bottom"/>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33"/>
        </w:trPr>
        <w:tc>
          <w:tcPr>
            <w:tcW w:w="6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23"/>
        </w:trPr>
        <w:tc>
          <w:tcPr>
            <w:tcW w:w="6560" w:type="dxa"/>
            <w:vAlign w:val="bottom"/>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33"/>
        </w:trPr>
        <w:tc>
          <w:tcPr>
            <w:tcW w:w="6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24"/>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10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6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2"/>
        </w:trPr>
        <w:tc>
          <w:tcPr>
            <w:tcW w:w="6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guarantee obligations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July 3, 2020, no amounts have been accrued in the Consolidated Financial Statements with respect to these indemnification agreements.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Unis Venture</w:t>
      </w:r>
    </w:p>
    <w:p>
      <w:pPr>
        <w:spacing w:after="0" w:line="25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both the years ended July 3, 2020 and June 28, 2019, the Company recognized less than 2% of its consolidated revenue on products distributed by the Unis Venture. The outstanding accounts receivable due from and investment in the Unis Venture were less than 5% of Accounts receivable, net as of both July 3, 2020 and June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 and Other Commitments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that option. Lease expense is recognized on a straight-line basis over the lease term. The following table summarizes supplemental balance sheet information related to operating leases as of July 3,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9"/>
              </w:rPr>
              <w:t>Lease Amounts</w:t>
            </w:r>
          </w:p>
        </w:tc>
        <w:tc>
          <w:tcPr>
            <w:tcW w:w="180" w:type="dxa"/>
            <w:vAlign w:val="bottom"/>
            <w:tcBorders>
              <w:bottom w:val="single" w:sz="8" w:color="auto"/>
            </w:tcBorders>
          </w:tcPr>
          <w:p>
            <w:pPr>
              <w:spacing w:after="0"/>
              <w:rPr>
                <w:sz w:val="16"/>
                <w:szCs w:val="16"/>
                <w:color w:val="auto"/>
              </w:rPr>
            </w:pPr>
          </w:p>
        </w:tc>
      </w:tr>
      <w:tr>
        <w:trPr>
          <w:trHeight w:val="237"/>
        </w:trPr>
        <w:tc>
          <w:tcPr>
            <w:tcW w:w="9640" w:type="dxa"/>
            <w:vAlign w:val="bottom"/>
          </w:tcPr>
          <w:p>
            <w:pPr>
              <w:ind w:left="20"/>
              <w:spacing w:after="0"/>
              <w:rPr>
                <w:sz w:val="20"/>
                <w:szCs w:val="20"/>
                <w:color w:val="auto"/>
              </w:rPr>
            </w:pPr>
            <w:r>
              <w:rPr>
                <w:rFonts w:ascii="Arial" w:cs="Arial" w:eastAsia="Arial" w:hAnsi="Arial"/>
                <w:sz w:val="16"/>
                <w:szCs w:val="16"/>
                <w:color w:val="auto"/>
              </w:rPr>
              <w:t>Minimum lease payments by fiscal year:</w:t>
            </w:r>
          </w:p>
        </w:tc>
        <w:tc>
          <w:tcPr>
            <w:tcW w:w="200" w:type="dxa"/>
            <w:vAlign w:val="bottom"/>
          </w:tcPr>
          <w:p>
            <w:pPr>
              <w:spacing w:after="0"/>
              <w:rPr>
                <w:sz w:val="20"/>
                <w:szCs w:val="20"/>
                <w:color w:val="auto"/>
              </w:rPr>
            </w:pPr>
          </w:p>
        </w:tc>
        <w:tc>
          <w:tcPr>
            <w:tcW w:w="1200" w:type="dxa"/>
            <w:vAlign w:val="bottom"/>
          </w:tcPr>
          <w:p>
            <w:pPr>
              <w:jc w:val="right"/>
              <w:ind w:right="18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0"/>
                <w:szCs w:val="20"/>
                <w:color w:val="auto"/>
              </w:rPr>
            </w:pPr>
          </w:p>
        </w:tc>
      </w:tr>
      <w:tr>
        <w:trPr>
          <w:trHeight w:val="243"/>
        </w:trPr>
        <w:tc>
          <w:tcPr>
            <w:tcW w:w="9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23"/>
        </w:trPr>
        <w:tc>
          <w:tcPr>
            <w:tcW w:w="9640" w:type="dxa"/>
            <w:vAlign w:val="bottom"/>
          </w:tcPr>
          <w:p>
            <w:pPr>
              <w:ind w:left="1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9"/>
                <w:szCs w:val="19"/>
                <w:color w:val="auto"/>
              </w:rPr>
            </w:pPr>
          </w:p>
        </w:tc>
      </w:tr>
      <w:tr>
        <w:trPr>
          <w:trHeight w:val="33"/>
        </w:trPr>
        <w:tc>
          <w:tcPr>
            <w:tcW w:w="9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9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2023</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9640" w:type="dxa"/>
            <w:vAlign w:val="bottom"/>
          </w:tcPr>
          <w:p>
            <w:pPr>
              <w:ind w:left="1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9"/>
                <w:szCs w:val="19"/>
                <w:color w:val="auto"/>
              </w:rPr>
            </w:pPr>
          </w:p>
        </w:tc>
      </w:tr>
      <w:tr>
        <w:trPr>
          <w:trHeight w:val="33"/>
        </w:trPr>
        <w:tc>
          <w:tcPr>
            <w:tcW w:w="9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9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2025</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9640" w:type="dxa"/>
            <w:vAlign w:val="bottom"/>
          </w:tcPr>
          <w:p>
            <w:pPr>
              <w:ind w:left="12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w:t>
            </w:r>
          </w:p>
        </w:tc>
        <w:tc>
          <w:tcPr>
            <w:tcW w:w="180" w:type="dxa"/>
            <w:vAlign w:val="bottom"/>
          </w:tcPr>
          <w:p>
            <w:pPr>
              <w:spacing w:after="0"/>
              <w:rPr>
                <w:sz w:val="19"/>
                <w:szCs w:val="19"/>
                <w:color w:val="auto"/>
              </w:rPr>
            </w:pPr>
          </w:p>
        </w:tc>
      </w:tr>
      <w:tr>
        <w:trPr>
          <w:trHeight w:val="33"/>
        </w:trPr>
        <w:tc>
          <w:tcPr>
            <w:tcW w:w="9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9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future minimum lease payments</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9640" w:type="dxa"/>
            <w:vAlign w:val="bottom"/>
          </w:tcPr>
          <w:p>
            <w:pPr>
              <w:ind w:left="120"/>
              <w:spacing w:after="0"/>
              <w:rPr>
                <w:sz w:val="20"/>
                <w:szCs w:val="20"/>
                <w:color w:val="auto"/>
              </w:rPr>
            </w:pPr>
            <w:r>
              <w:rPr>
                <w:rFonts w:ascii="Arial" w:cs="Arial" w:eastAsia="Arial" w:hAnsi="Arial"/>
                <w:sz w:val="16"/>
                <w:szCs w:val="16"/>
                <w:color w:val="auto"/>
              </w:rPr>
              <w:t>Less: Imputed Interest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9"/>
                <w:szCs w:val="19"/>
                <w:color w:val="auto"/>
              </w:rPr>
            </w:pPr>
          </w:p>
        </w:tc>
      </w:tr>
      <w:tr>
        <w:trPr>
          <w:trHeight w:val="33"/>
        </w:trPr>
        <w:tc>
          <w:tcPr>
            <w:tcW w:w="9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9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Present value of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9640" w:type="dxa"/>
            <w:vAlign w:val="bottom"/>
          </w:tcPr>
          <w:p>
            <w:pPr>
              <w:ind w:left="120"/>
              <w:spacing w:after="0"/>
              <w:rPr>
                <w:sz w:val="20"/>
                <w:szCs w:val="20"/>
                <w:color w:val="auto"/>
              </w:rPr>
            </w:pPr>
            <w:r>
              <w:rPr>
                <w:rFonts w:ascii="Arial" w:cs="Arial" w:eastAsia="Arial" w:hAnsi="Arial"/>
                <w:sz w:val="16"/>
                <w:szCs w:val="16"/>
                <w:color w:val="auto"/>
              </w:rPr>
              <w:t>Less: Current portion (included in Accrued expenses)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9"/>
                <w:szCs w:val="19"/>
                <w:color w:val="auto"/>
              </w:rPr>
            </w:pPr>
          </w:p>
        </w:tc>
      </w:tr>
      <w:tr>
        <w:trPr>
          <w:trHeight w:val="33"/>
        </w:trPr>
        <w:tc>
          <w:tcPr>
            <w:tcW w:w="9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72"/>
        </w:trPr>
        <w:tc>
          <w:tcPr>
            <w:tcW w:w="9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Long-term operating lease liabilities (included in Other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80" w:type="dxa"/>
            <w:vAlign w:val="bottom"/>
            <w:tcBorders>
              <w:bottom w:val="single" w:sz="8" w:color="auto"/>
            </w:tcBorders>
            <w:shd w:val="clear" w:color="auto" w:fill="CCEEFF"/>
          </w:tcPr>
          <w:p>
            <w:pPr>
              <w:spacing w:after="0"/>
              <w:rPr>
                <w:sz w:val="23"/>
                <w:szCs w:val="23"/>
                <w:color w:val="auto"/>
              </w:rPr>
            </w:pP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9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6"/>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(included in Other non-current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57"/>
        </w:trPr>
        <w:tc>
          <w:tcPr>
            <w:tcW w:w="9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spacing w:after="0"/>
              <w:rPr>
                <w:sz w:val="22"/>
                <w:szCs w:val="22"/>
                <w:color w:val="auto"/>
              </w:rPr>
            </w:pPr>
          </w:p>
        </w:tc>
      </w:tr>
      <w:tr>
        <w:trPr>
          <w:trHeight w:val="237"/>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r>
      <w:tr>
        <w:trPr>
          <w:trHeight w:val="223"/>
        </w:trPr>
        <w:tc>
          <w:tcPr>
            <w:tcW w:w="964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spacing w:after="0" w:line="3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supplemental disclosures of operating cost and cash flow information related to operating leases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3, 2020: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6"/>
              </w:rPr>
              <w:t>Year Ended</w:t>
            </w:r>
          </w:p>
        </w:tc>
      </w:tr>
      <w:tr>
        <w:trPr>
          <w:trHeight w:val="152"/>
        </w:trPr>
        <w:tc>
          <w:tcPr>
            <w:tcW w:w="9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4"/>
              <w:spacing w:after="0" w:line="153" w:lineRule="exact"/>
              <w:rPr>
                <w:sz w:val="20"/>
                <w:szCs w:val="20"/>
                <w:color w:val="auto"/>
              </w:rPr>
            </w:pPr>
            <w:r>
              <w:rPr>
                <w:rFonts w:ascii="Arial" w:cs="Arial" w:eastAsia="Arial" w:hAnsi="Arial"/>
                <w:sz w:val="14"/>
                <w:szCs w:val="14"/>
                <w:b w:val="1"/>
                <w:bCs w:val="1"/>
                <w:color w:val="auto"/>
                <w:w w:val="96"/>
              </w:rPr>
              <w:t>July 3,</w:t>
            </w:r>
          </w:p>
        </w:tc>
      </w:tr>
      <w:tr>
        <w:trPr>
          <w:trHeight w:val="192"/>
        </w:trPr>
        <w:tc>
          <w:tcPr>
            <w:tcW w:w="9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6"/>
              </w:rPr>
              <w:t>2020</w:t>
            </w:r>
          </w:p>
        </w:tc>
      </w:tr>
      <w:tr>
        <w:trPr>
          <w:trHeight w:val="196"/>
        </w:trPr>
        <w:tc>
          <w:tcPr>
            <w:tcW w:w="9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right="164"/>
              <w:spacing w:after="0"/>
              <w:rPr>
                <w:sz w:val="20"/>
                <w:szCs w:val="20"/>
                <w:color w:val="auto"/>
              </w:rPr>
            </w:pPr>
            <w:r>
              <w:rPr>
                <w:rFonts w:ascii="Arial" w:cs="Arial" w:eastAsia="Arial" w:hAnsi="Arial"/>
                <w:sz w:val="14"/>
                <w:szCs w:val="14"/>
                <w:i w:val="1"/>
                <w:iCs w:val="1"/>
                <w:color w:val="auto"/>
                <w:w w:val="98"/>
              </w:rPr>
              <w:t>(in millions)</w:t>
            </w: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operating leases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55</w:t>
            </w:r>
          </w:p>
        </w:tc>
      </w:tr>
      <w:tr>
        <w:trPr>
          <w:trHeight w:val="223"/>
        </w:trPr>
        <w:tc>
          <w:tcPr>
            <w:tcW w:w="9780" w:type="dxa"/>
            <w:vAlign w:val="bottom"/>
          </w:tcPr>
          <w:p>
            <w:pPr>
              <w:ind w:left="20"/>
              <w:spacing w:after="0"/>
              <w:rPr>
                <w:sz w:val="20"/>
                <w:szCs w:val="20"/>
                <w:color w:val="auto"/>
              </w:rPr>
            </w:pPr>
            <w:r>
              <w:rPr>
                <w:rFonts w:ascii="Arial" w:cs="Arial" w:eastAsia="Arial" w:hAnsi="Arial"/>
                <w:sz w:val="16"/>
                <w:szCs w:val="16"/>
                <w:color w:val="auto"/>
              </w:rPr>
              <w:t>Cash paid for operating leases</w:t>
            </w:r>
          </w:p>
        </w:tc>
        <w:tc>
          <w:tcPr>
            <w:tcW w:w="240" w:type="dxa"/>
            <w:vAlign w:val="bottom"/>
          </w:tcPr>
          <w:p>
            <w:pPr>
              <w:spacing w:after="0"/>
              <w:rPr>
                <w:sz w:val="19"/>
                <w:szCs w:val="19"/>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53</w:t>
            </w:r>
          </w:p>
        </w:tc>
      </w:tr>
      <w:tr>
        <w:trPr>
          <w:trHeight w:val="33"/>
        </w:trPr>
        <w:tc>
          <w:tcPr>
            <w:tcW w:w="9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57</w:t>
            </w:r>
          </w:p>
        </w:tc>
      </w:tr>
      <w:tr>
        <w:trPr>
          <w:trHeight w:val="33"/>
        </w:trPr>
        <w:tc>
          <w:tcPr>
            <w:tcW w:w="9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Cost of operating leases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2018</w:t>
            </w:r>
          </w:p>
        </w:tc>
      </w:tr>
      <w:tr>
        <w:trPr>
          <w:trHeight w:val="196"/>
        </w:trPr>
        <w:tc>
          <w:tcPr>
            <w:tcW w:w="6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center"/>
              <w:ind w:right="165"/>
              <w:spacing w:after="0"/>
              <w:rPr>
                <w:sz w:val="20"/>
                <w:szCs w:val="20"/>
                <w:color w:val="auto"/>
              </w:rPr>
            </w:pPr>
            <w:r>
              <w:rPr>
                <w:rFonts w:ascii="Arial" w:cs="Arial" w:eastAsia="Arial" w:hAnsi="Arial"/>
                <w:sz w:val="14"/>
                <w:szCs w:val="14"/>
                <w:i w:val="1"/>
                <w:iCs w:val="1"/>
                <w:color w:val="auto"/>
                <w:w w:val="98"/>
              </w:rPr>
              <w:t>(in millions)</w:t>
            </w: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operating leases</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55</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47</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49</w:t>
            </w:r>
          </w:p>
        </w:tc>
      </w:tr>
      <w:tr>
        <w:trPr>
          <w:trHeight w:val="33"/>
        </w:trPr>
        <w:tc>
          <w:tcPr>
            <w:tcW w:w="6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Purchase Agreements and Other Commitments</w:t>
      </w:r>
    </w:p>
    <w:p>
      <w:pPr>
        <w:spacing w:after="0" w:line="25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July 3, 2020, the Company had the following minimum long-term commitments:</w:t>
      </w:r>
    </w:p>
    <w:tbl>
      <w:tblPr>
        <w:tblLayout w:type="fixed"/>
        <w:tblInd w:w="40" w:type="dxa"/>
        <w:tblCellMar>
          <w:top w:w="0" w:type="dxa"/>
          <w:left w:w="0" w:type="dxa"/>
          <w:bottom w:w="0" w:type="dxa"/>
          <w:right w:w="0" w:type="dxa"/>
        </w:tblCellMar>
      </w:tblPr>
      <w:tr>
        <w:trPr>
          <w:trHeight w:val="151"/>
        </w:trPr>
        <w:tc>
          <w:tcPr>
            <w:tcW w:w="9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22"/>
              <w:spacing w:after="0" w:line="151" w:lineRule="exact"/>
              <w:rPr>
                <w:sz w:val="20"/>
                <w:szCs w:val="20"/>
                <w:color w:val="auto"/>
              </w:rPr>
            </w:pPr>
            <w:r>
              <w:rPr>
                <w:rFonts w:ascii="Arial" w:cs="Arial" w:eastAsia="Arial" w:hAnsi="Arial"/>
                <w:sz w:val="14"/>
                <w:szCs w:val="14"/>
                <w:b w:val="1"/>
                <w:bCs w:val="1"/>
                <w:color w:val="auto"/>
                <w:w w:val="95"/>
              </w:rPr>
              <w:t>Long-term</w:t>
            </w:r>
          </w:p>
        </w:tc>
      </w:tr>
      <w:tr>
        <w:trPr>
          <w:trHeight w:val="192"/>
        </w:trPr>
        <w:tc>
          <w:tcPr>
            <w:tcW w:w="9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2"/>
              </w:rPr>
              <w:t>commitments</w:t>
            </w:r>
          </w:p>
        </w:tc>
      </w:tr>
      <w:tr>
        <w:trPr>
          <w:trHeight w:val="196"/>
        </w:trPr>
        <w:tc>
          <w:tcPr>
            <w:tcW w:w="9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i w:val="1"/>
                <w:iCs w:val="1"/>
                <w:color w:val="auto"/>
                <w:w w:val="98"/>
              </w:rPr>
              <w:t>(in millions)</w:t>
            </w:r>
          </w:p>
        </w:tc>
      </w:tr>
      <w:tr>
        <w:trPr>
          <w:trHeight w:val="243"/>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9720" w:type="dxa"/>
            <w:vAlign w:val="bottom"/>
          </w:tcPr>
          <w:p>
            <w:pPr>
              <w:ind w:left="120"/>
              <w:spacing w:after="0"/>
              <w:rPr>
                <w:sz w:val="20"/>
                <w:szCs w:val="20"/>
                <w:color w:val="auto"/>
              </w:rPr>
            </w:pPr>
            <w:r>
              <w:rPr>
                <w:rFonts w:ascii="Arial" w:cs="Arial" w:eastAsia="Arial" w:hAnsi="Arial"/>
                <w:sz w:val="16"/>
                <w:szCs w:val="16"/>
                <w:color w:val="auto"/>
              </w:rPr>
              <w:t>2021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448</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606</w:t>
            </w:r>
          </w:p>
        </w:tc>
      </w:tr>
      <w:tr>
        <w:trPr>
          <w:trHeight w:val="223"/>
        </w:trPr>
        <w:tc>
          <w:tcPr>
            <w:tcW w:w="9720" w:type="dxa"/>
            <w:vAlign w:val="bottom"/>
          </w:tcPr>
          <w:p>
            <w:pPr>
              <w:ind w:left="12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19"/>
                <w:szCs w:val="19"/>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521</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322</w:t>
            </w:r>
          </w:p>
        </w:tc>
      </w:tr>
      <w:tr>
        <w:trPr>
          <w:trHeight w:val="224"/>
        </w:trPr>
        <w:tc>
          <w:tcPr>
            <w:tcW w:w="9720" w:type="dxa"/>
            <w:vAlign w:val="bottom"/>
          </w:tcPr>
          <w:p>
            <w:pPr>
              <w:ind w:left="120"/>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9"/>
                <w:szCs w:val="19"/>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148</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190</w:t>
            </w:r>
          </w:p>
        </w:tc>
      </w:tr>
      <w:tr>
        <w:trPr>
          <w:trHeight w:val="247"/>
        </w:trPr>
        <w:tc>
          <w:tcPr>
            <w:tcW w:w="9720" w:type="dxa"/>
            <w:vAlign w:val="bottom"/>
          </w:tcPr>
          <w:p>
            <w:pPr>
              <w:ind w:left="20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2,235</w:t>
            </w:r>
          </w:p>
        </w:tc>
      </w:tr>
      <w:tr>
        <w:trPr>
          <w:trHeight w:val="23"/>
        </w:trPr>
        <w:tc>
          <w:tcPr>
            <w:tcW w:w="9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Sale-Leaseback</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April 2019, the Company completed a sale and leaseback of its manufacturing facility in Fremont, California. The Company received proceeds from the sale of $115 million and recognized a loss of $25 million. The property is being leased back over a term of 15 years at an annual lease rate of $7 million for the first year and increasing by 3% per year thereafter. The lease includes four 5-year renewal options for the ability to extend up to 20 years.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 Revenue Information, Geographic Information and Concentration of Risk</w:t>
      </w:r>
    </w:p>
    <w:p>
      <w:pPr>
        <w:spacing w:after="0" w:line="256"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Company manufactures, markets, and sells data storage devices and solutions in the U.S. and in foreign countries through its sales personnel, dealers, distributors, retailers, and subsidiaries. Based upon the management structure under the current operating model, the Company determined that the Company’s Chief Operating Decision Maker, its Chief Executive Officer, evaluates performance of the Company and makes decisions regarding allocation of resources based on total Company results. As a result, the Company concluded it operates in one segment, data storage devices and solutions.</w:t>
      </w:r>
    </w:p>
    <w:p>
      <w:pPr>
        <w:spacing w:after="0" w:line="184"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following table summarizes the Company’s revenue by end market product category, between Client Devices (mobile, desktop, gaming and digital video hard drives, SSDs, embedded products and wafers); Data Center Devices and Solutions (capacity and performance enterprise HDDs, enterprise SSDs, data center software and system solutions); and Client Solutions (removable products, hard drive content solutions and flash content solutions):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6"/>
        </w:trPr>
        <w:tc>
          <w:tcPr>
            <w:tcW w:w="6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Product</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4"/>
        </w:trPr>
        <w:tc>
          <w:tcPr>
            <w:tcW w:w="6700" w:type="dxa"/>
            <w:vAlign w:val="bottom"/>
          </w:tcPr>
          <w:p>
            <w:pPr>
              <w:ind w:left="120"/>
              <w:spacing w:after="0"/>
              <w:rPr>
                <w:sz w:val="20"/>
                <w:szCs w:val="20"/>
                <w:color w:val="auto"/>
              </w:rPr>
            </w:pPr>
            <w:r>
              <w:rPr>
                <w:rFonts w:ascii="Arial" w:cs="Arial" w:eastAsia="Arial" w:hAnsi="Arial"/>
                <w:sz w:val="16"/>
                <w:szCs w:val="16"/>
                <w:color w:val="auto"/>
              </w:rPr>
              <w:t>HDD</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8,967</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8,746</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10,698</w:t>
            </w:r>
          </w:p>
        </w:tc>
      </w:tr>
      <w:tr>
        <w:trPr>
          <w:trHeight w:val="33"/>
        </w:trPr>
        <w:tc>
          <w:tcPr>
            <w:tcW w:w="6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Flash-based</w:t>
            </w: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7,823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9,949</w:t>
            </w:r>
          </w:p>
        </w:tc>
      </w:tr>
      <w:tr>
        <w:trPr>
          <w:trHeight w:val="217"/>
        </w:trPr>
        <w:tc>
          <w:tcPr>
            <w:tcW w:w="67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880" w:type="dxa"/>
            <w:vAlign w:val="bottom"/>
            <w:tcBorders>
              <w:top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16,736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16,569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20,647</w:t>
            </w:r>
          </w:p>
        </w:tc>
      </w:tr>
      <w:tr>
        <w:trPr>
          <w:trHeight w:val="33"/>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6"/>
                <w:szCs w:val="16"/>
                <w:color w:val="auto"/>
              </w:rPr>
              <w:t>Revenue by End Market</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6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Client Devices</w:t>
            </w:r>
          </w:p>
        </w:tc>
        <w:tc>
          <w:tcPr>
            <w:tcW w:w="880" w:type="dxa"/>
            <w:vAlign w:val="bottom"/>
            <w:tcBorders>
              <w:bottom w:val="single" w:sz="8" w:color="CCEEFF"/>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8,095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10,108</w:t>
            </w:r>
          </w:p>
        </w:tc>
      </w:tr>
      <w:tr>
        <w:trPr>
          <w:trHeight w:val="224"/>
        </w:trPr>
        <w:tc>
          <w:tcPr>
            <w:tcW w:w="6700" w:type="dxa"/>
            <w:vAlign w:val="bottom"/>
          </w:tcPr>
          <w:p>
            <w:pPr>
              <w:ind w:left="120"/>
              <w:spacing w:after="0"/>
              <w:rPr>
                <w:sz w:val="20"/>
                <w:szCs w:val="20"/>
                <w:color w:val="auto"/>
              </w:rPr>
            </w:pPr>
            <w:r>
              <w:rPr>
                <w:rFonts w:ascii="Arial" w:cs="Arial" w:eastAsia="Arial" w:hAnsi="Arial"/>
                <w:sz w:val="16"/>
                <w:szCs w:val="16"/>
                <w:color w:val="auto"/>
              </w:rPr>
              <w:t>Data Center Devices &amp; Solutions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5,038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6,075</w:t>
            </w:r>
          </w:p>
        </w:tc>
      </w:tr>
      <w:tr>
        <w:trPr>
          <w:trHeight w:val="33"/>
        </w:trPr>
        <w:tc>
          <w:tcPr>
            <w:tcW w:w="6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Client Solutions</w:t>
            </w: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4,464</w:t>
            </w:r>
          </w:p>
        </w:tc>
      </w:tr>
      <w:tr>
        <w:trPr>
          <w:trHeight w:val="247"/>
        </w:trPr>
        <w:tc>
          <w:tcPr>
            <w:tcW w:w="6700" w:type="dxa"/>
            <w:vAlign w:val="bottom"/>
          </w:tcPr>
          <w:p>
            <w:pPr>
              <w:ind w:left="120"/>
              <w:spacing w:after="0"/>
              <w:rPr>
                <w:sz w:val="20"/>
                <w:szCs w:val="20"/>
                <w:color w:val="auto"/>
              </w:rPr>
            </w:pPr>
            <w:r>
              <w:rPr>
                <w:rFonts w:ascii="Arial" w:cs="Arial" w:eastAsia="Arial" w:hAnsi="Arial"/>
                <w:sz w:val="16"/>
                <w:szCs w:val="16"/>
                <w:color w:val="auto"/>
              </w:rPr>
              <w:t>Total Revenue</w:t>
            </w:r>
          </w:p>
        </w:tc>
        <w:tc>
          <w:tcPr>
            <w:tcW w:w="88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16,736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16,569</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20,647</w:t>
            </w:r>
          </w:p>
        </w:tc>
      </w:tr>
      <w:tr>
        <w:trPr>
          <w:trHeight w:val="24"/>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Company’s operations outside the United States include manufacturing facilities in China, Japan, Malaysia, the Philippines and Thailand, as well as sales offices throughout the Americas, Asia Pacific, Europe and the Middle East. The following tables summarize the Company’s operations by geographic area: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196"/>
        </w:trPr>
        <w:tc>
          <w:tcPr>
            <w:tcW w:w="6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2"/>
        </w:trPr>
        <w:tc>
          <w:tcPr>
            <w:tcW w:w="6680" w:type="dxa"/>
            <w:vAlign w:val="bottom"/>
            <w:shd w:val="clear" w:color="auto" w:fill="CCEEFF"/>
          </w:tcPr>
          <w:p>
            <w:pPr>
              <w:ind w:left="40"/>
              <w:spacing w:after="0" w:line="222" w:lineRule="exact"/>
              <w:rPr>
                <w:sz w:val="20"/>
                <w:szCs w:val="20"/>
                <w:color w:val="auto"/>
              </w:rPr>
            </w:pPr>
            <w:r>
              <w:rPr>
                <w:rFonts w:ascii="Arial" w:cs="Arial" w:eastAsia="Arial" w:hAnsi="Arial"/>
                <w:sz w:val="16"/>
                <w:szCs w:val="16"/>
                <w:color w:val="auto"/>
              </w:rPr>
              <w:t xml:space="preserve">Net revenue </w:t>
            </w:r>
            <w:r>
              <w:rPr>
                <w:rFonts w:ascii="Arial" w:cs="Arial" w:eastAsia="Arial" w:hAnsi="Arial"/>
                <w:sz w:val="21"/>
                <w:szCs w:val="21"/>
                <w:color w:val="auto"/>
                <w:vertAlign w:val="superscript"/>
              </w:rPr>
              <w:t>(1)</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6680" w:type="dxa"/>
            <w:vAlign w:val="bottom"/>
          </w:tcPr>
          <w:p>
            <w:pPr>
              <w:ind w:left="120"/>
              <w:spacing w:after="0"/>
              <w:rPr>
                <w:sz w:val="20"/>
                <w:szCs w:val="20"/>
                <w:color w:val="auto"/>
              </w:rPr>
            </w:pPr>
            <w:r>
              <w:rPr>
                <w:rFonts w:ascii="Arial" w:cs="Arial" w:eastAsia="Arial" w:hAnsi="Arial"/>
                <w:sz w:val="16"/>
                <w:szCs w:val="16"/>
                <w:color w:val="auto"/>
              </w:rPr>
              <w:t>United States</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4,640</w:t>
            </w:r>
          </w:p>
        </w:tc>
      </w:tr>
      <w:tr>
        <w:trPr>
          <w:trHeight w:val="27"/>
        </w:trPr>
        <w:tc>
          <w:tcPr>
            <w:tcW w:w="6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China</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r>
      <w:tr>
        <w:trPr>
          <w:trHeight w:val="243"/>
        </w:trPr>
        <w:tc>
          <w:tcPr>
            <w:tcW w:w="6680" w:type="dxa"/>
            <w:vAlign w:val="bottom"/>
          </w:tcPr>
          <w:p>
            <w:pPr>
              <w:ind w:left="120"/>
              <w:spacing w:after="0"/>
              <w:rPr>
                <w:sz w:val="20"/>
                <w:szCs w:val="20"/>
                <w:color w:val="auto"/>
              </w:rPr>
            </w:pPr>
            <w:r>
              <w:rPr>
                <w:rFonts w:ascii="Arial" w:cs="Arial" w:eastAsia="Arial" w:hAnsi="Arial"/>
                <w:sz w:val="16"/>
                <w:szCs w:val="16"/>
                <w:color w:val="auto"/>
              </w:rPr>
              <w:t>Hong Kong</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4,022</w:t>
            </w:r>
          </w:p>
        </w:tc>
      </w:tr>
      <w:tr>
        <w:trPr>
          <w:trHeight w:val="27"/>
        </w:trPr>
        <w:tc>
          <w:tcPr>
            <w:tcW w:w="6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Rest of Asia</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r>
      <w:tr>
        <w:trPr>
          <w:trHeight w:val="243"/>
        </w:trPr>
        <w:tc>
          <w:tcPr>
            <w:tcW w:w="6680" w:type="dxa"/>
            <w:vAlign w:val="bottom"/>
          </w:tcPr>
          <w:p>
            <w:pPr>
              <w:ind w:left="120"/>
              <w:spacing w:after="0"/>
              <w:rPr>
                <w:sz w:val="20"/>
                <w:szCs w:val="20"/>
                <w:color w:val="auto"/>
              </w:rPr>
            </w:pPr>
            <w:r>
              <w:rPr>
                <w:rFonts w:ascii="Arial" w:cs="Arial" w:eastAsia="Arial" w:hAnsi="Arial"/>
                <w:sz w:val="16"/>
                <w:szCs w:val="16"/>
                <w:color w:val="auto"/>
              </w:rPr>
              <w:t>Europe, Middle East and Africa</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3,858</w:t>
            </w:r>
          </w:p>
        </w:tc>
      </w:tr>
      <w:tr>
        <w:trPr>
          <w:trHeight w:val="27"/>
        </w:trPr>
        <w:tc>
          <w:tcPr>
            <w:tcW w:w="6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60"/>
        </w:trPr>
        <w:tc>
          <w:tcPr>
            <w:tcW w:w="6680" w:type="dxa"/>
            <w:vAlign w:val="bottom"/>
          </w:tcPr>
          <w:p>
            <w:pPr>
              <w:ind w:left="220"/>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16,736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16,569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20,647</w:t>
            </w:r>
          </w:p>
        </w:tc>
      </w:tr>
      <w:tr>
        <w:trPr>
          <w:trHeight w:val="23"/>
        </w:trPr>
        <w:tc>
          <w:tcPr>
            <w:tcW w:w="66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405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20" w:firstLine="8"/>
        <w:spacing w:after="0" w:line="277"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revenue is attributed to geographic regions based on the ship-to location of the customer. License and royalty revenue is attributed to countries based upon the location of the headquarters of the licensee.</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7"/>
                <w:szCs w:val="17"/>
                <w:color w:val="auto"/>
              </w:rPr>
            </w:pPr>
          </w:p>
        </w:tc>
      </w:tr>
      <w:tr>
        <w:trPr>
          <w:trHeight w:val="222"/>
        </w:trPr>
        <w:tc>
          <w:tcPr>
            <w:tcW w:w="8220" w:type="dxa"/>
            <w:vAlign w:val="bottom"/>
            <w:shd w:val="clear" w:color="auto" w:fill="CCEEFF"/>
          </w:tcPr>
          <w:p>
            <w:pPr>
              <w:ind w:left="20"/>
              <w:spacing w:after="0" w:line="222" w:lineRule="exact"/>
              <w:rPr>
                <w:sz w:val="20"/>
                <w:szCs w:val="20"/>
                <w:color w:val="auto"/>
              </w:rPr>
            </w:pPr>
            <w:r>
              <w:rPr>
                <w:rFonts w:ascii="Arial" w:cs="Arial" w:eastAsia="Arial" w:hAnsi="Arial"/>
                <w:sz w:val="16"/>
                <w:szCs w:val="16"/>
                <w:color w:val="auto"/>
              </w:rPr>
              <w:t xml:space="preserve">Long-lived assets </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220" w:type="dxa"/>
            <w:vAlign w:val="bottom"/>
          </w:tcPr>
          <w:p>
            <w:pPr>
              <w:ind w:left="120"/>
              <w:spacing w:after="0"/>
              <w:rPr>
                <w:sz w:val="20"/>
                <w:szCs w:val="20"/>
                <w:color w:val="auto"/>
              </w:rPr>
            </w:pPr>
            <w:r>
              <w:rPr>
                <w:rFonts w:ascii="Arial" w:cs="Arial" w:eastAsia="Arial" w:hAnsi="Arial"/>
                <w:sz w:val="16"/>
                <w:szCs w:val="16"/>
                <w:color w:val="auto"/>
              </w:rPr>
              <w:t>United States</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7"/>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Malaysia</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43"/>
        </w:trPr>
        <w:tc>
          <w:tcPr>
            <w:tcW w:w="8220" w:type="dxa"/>
            <w:vAlign w:val="bottom"/>
          </w:tcPr>
          <w:p>
            <w:pPr>
              <w:ind w:left="120"/>
              <w:spacing w:after="0"/>
              <w:rPr>
                <w:sz w:val="20"/>
                <w:szCs w:val="20"/>
                <w:color w:val="auto"/>
              </w:rPr>
            </w:pPr>
            <w:r>
              <w:rPr>
                <w:rFonts w:ascii="Arial" w:cs="Arial" w:eastAsia="Arial" w:hAnsi="Arial"/>
                <w:sz w:val="16"/>
                <w:szCs w:val="16"/>
                <w:color w:val="auto"/>
              </w:rPr>
              <w:t>China</w:t>
            </w:r>
          </w:p>
        </w:tc>
        <w:tc>
          <w:tcPr>
            <w:tcW w:w="92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Thailand</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8220" w:type="dxa"/>
            <w:vAlign w:val="bottom"/>
          </w:tcPr>
          <w:p>
            <w:pPr>
              <w:ind w:left="120"/>
              <w:spacing w:after="0"/>
              <w:rPr>
                <w:sz w:val="20"/>
                <w:szCs w:val="20"/>
                <w:color w:val="auto"/>
              </w:rPr>
            </w:pPr>
            <w:r>
              <w:rPr>
                <w:rFonts w:ascii="Arial" w:cs="Arial" w:eastAsia="Arial" w:hAnsi="Arial"/>
                <w:sz w:val="16"/>
                <w:szCs w:val="16"/>
                <w:color w:val="auto"/>
              </w:rPr>
              <w:t>Rest of Asia</w:t>
            </w:r>
          </w:p>
        </w:tc>
        <w:tc>
          <w:tcPr>
            <w:tcW w:w="92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7"/>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Europe, Middle East and Africa</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60"/>
        </w:trPr>
        <w:tc>
          <w:tcPr>
            <w:tcW w:w="8220" w:type="dxa"/>
            <w:vAlign w:val="bottom"/>
          </w:tcPr>
          <w:p>
            <w:pPr>
              <w:ind w:left="22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2,854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w:t>
            </w:r>
          </w:p>
        </w:tc>
      </w:tr>
      <w:tr>
        <w:trPr>
          <w:trHeight w:val="2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405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(1) Long-lived assets include property, plant and equipment and are attributed to the geographic location in which they are located.</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Customer Concentration and Credit Risk</w:t>
      </w:r>
    </w:p>
    <w:p>
      <w:pPr>
        <w:spacing w:after="0" w:line="25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sells its products to computer manufacturers, resellers and retailers throughout the world. For each of 2020, 2019 and 2018, no customer accounted for 10% or more of the Company’s net revenue. For 2020, 2019 and 2018, the Company’s top 10 customers accounted for 42%, 45%, and 42%, respectively, of the Company’s net revenue.</w:t>
      </w:r>
    </w:p>
    <w:p>
      <w:pPr>
        <w:spacing w:after="0" w:line="211"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The Company performs ongoing credit evaluations of its customers’ financial condition and generally requires no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results. As of July 3, 2020, one customer, Kingston Technology Company, accounted for 10% of the Company’s net accounts receivable. As of June 28, 2019, two customers, Dell Technologies Inc. and Huawei Investment &amp; Holding Co., accounted for 14% and 10%, respectively, of the Company’s net accounts receivable. As of July 3, 2020 and June 28, 2019, the Company had net accounts receivable of $2.4 billion and $1.2 billion, respectively, and reserves for potential credit losses were not material as of each period end.</w:t>
      </w:r>
    </w:p>
    <w:p>
      <w:pPr>
        <w:spacing w:after="0" w:line="204"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Company also has cash equivalent and investment policies that limit the amount of credit exposure to any one financial institution or investment instrument and requires that investments be made only with financial institutions or in investment instruments evaluated as highly credit-worthy.</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Supplier Concentration</w:t>
      </w:r>
    </w:p>
    <w:p>
      <w:pPr>
        <w:spacing w:after="0" w:line="252" w:lineRule="exact"/>
        <w:rPr>
          <w:sz w:val="20"/>
          <w:szCs w:val="20"/>
          <w:color w:val="auto"/>
        </w:rPr>
      </w:pPr>
    </w:p>
    <w:p>
      <w:pPr>
        <w:jc w:val="both"/>
        <w:ind w:right="100" w:firstLine="324"/>
        <w:spacing w:after="0" w:line="311" w:lineRule="auto"/>
        <w:rPr>
          <w:sz w:val="20"/>
          <w:szCs w:val="20"/>
          <w:color w:val="auto"/>
        </w:rPr>
      </w:pPr>
      <w:r>
        <w:rPr>
          <w:rFonts w:ascii="Arial" w:cs="Arial" w:eastAsia="Arial" w:hAnsi="Arial"/>
          <w:sz w:val="16"/>
          <w:szCs w:val="16"/>
          <w:color w:val="auto"/>
        </w:rPr>
        <w:t>All of the Company’s flash memory system products require silicon wafers for the memory and controller components. The Company’s flash memory wafers are currently supplied almost entirely from Flash Ventures and the controller wafers are all manufactured by third-party sources. The failure of any of these sources to deliver silicon wafers could have a material adverse effect on the Company’s business, financial condition and results of operations.</w:t>
      </w:r>
    </w:p>
    <w:p>
      <w:pPr>
        <w:spacing w:after="0" w:line="17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addition, some key components are purchased from single source vendors for which alternative sources are currently not available. Shortages could occur in these essential materials due to an interruption of supply or increased demand in the industry. If the Company was unable to procure certain of such materials, the Company’s sales could decline, which could have a material adverse effect upon its results of operations. The Company also relies on third-party subcontractors to assemble and test a portion of its products. The Company does not have long-term contracts with some of these subcontractors and cannot directly control product delivery schedules or manufacturing processes. This could lead to product shortages or quality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assurance problems that could increase the manufacturing costs of the Company’s products and have material adverse effects on the Company’s operating results.</w:t>
      </w:r>
    </w:p>
    <w:p>
      <w:pPr>
        <w:sectPr>
          <w:pgSz w:w="11900" w:h="16838" w:orient="portrait"/>
          <w:cols w:equalWidth="0" w:num="1">
            <w:col w:w="11080"/>
          </w:cols>
          <w:pgMar w:left="320" w:top="368" w:right="499" w:bottom="9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68" w:right="499" w:bottom="925"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Western Digital Corporation 401(k) Plan</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maintains the Western Digital Corporation 401(k) Plan (the “Plan”). The Plan covers substantially all domestic employees, subject to certain eligibility requirements. Eligible employees receive employer matching contributions immediately upon hire unless the individual is covered by a collective bargaining agreement, provides services as a consultant, intern, independent contractor, leased or temporary employee, or otherwise is not treated as a common-law employee.</w:t>
      </w:r>
    </w:p>
    <w:p>
      <w:pPr>
        <w:spacing w:after="0" w:line="21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Eligible employees are generally able to contribute up to 30% of their eligible compensation on a pre-tax basis or 10% of their eligible compensation on an after-tax basis subject to Internal Revenue Service (“IRS”) limitations. The Company makes a basic matching contribution equal to 50% of each eligible participant’s contribution that does not exceed 6% of the eligible participant’s annual compensation in the year of contribution. The Company’s employer matching contributions vest over a two-year graded period. The Company may suspend matching contributions at any time at its discretion. Contributions, including the Company’s matching contribution to the Plan, are recorded as soon as administratively possible after the Company makes payroll deductions from Plan participants.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2020, 2019 and 2018, the Company made Plan contributions of $33 million, $34 million and $35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Shareholders’ Equity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2017 Performance Incentive Plan</w:t>
      </w:r>
    </w:p>
    <w:p>
      <w:pPr>
        <w:spacing w:after="0" w:line="25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types of awards that may be granted under the Western Digital Corporation Amended and Restated 2017 Performance Incentive Plan (as amended, the “2017 Performance Incentive Plan”) include stock options, stock appreciation rights (“SARs”), RSUs, PSUs, stock bonuses and other forms of awards granted or denominated in the Company’s common stock or units of the Company’s common stock, as well as cash bonus awards. Persons eligible to receive awards under the 2017 Performance Incentive Plan include officers and employees of the Company or any of its subsidiaries, directors of the Company and certain consultants and advisors to the Company or any of its subsidiaries. The vesting of awards under the 2017 Performance Incentive Plan is determined at the date of grant. Each award expires on a date determined at the date of grant; however, the maximum term of options and SARs under the 2017 Performance Incentive Plan is ten years after the grant date of the award. RSUs granted under the 2017 Performance Incentive Plan typically vest over periods ranging from one to four years from the date of grant. PSUs are granted to certain employees and vest only after the achievement of pre-determined performance conditions or market conditions and completion of requisite service periods. Once the performance conditions or market conditions are met, vesting of PSUs is generally subject to continued service by the employee. To the extent available, the Company issues shares out of treasury stock upon the vesting of awards, the exercise of employee stock options and the purchase of shares pursuant to the ESPP.</w:t>
      </w:r>
    </w:p>
    <w:p>
      <w:pPr>
        <w:spacing w:after="0" w:line="199"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Outstanding RSU and PSU awards have dividend equivalent rights which entitle holders of such outstanding awards to the same dividend value per share as holders of common stock. Dividend equivalent rights are subject to the same vesting and other terms and conditions as the corresponding unvested RSUs and PSUs. Dividend equivalent rights are accumulated and paid in additional shares when the underlying shares vest.</w:t>
      </w:r>
    </w:p>
    <w:p>
      <w:pPr>
        <w:spacing w:after="0" w:line="1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July 3, 2020, the maximum number of shares of the Company’s common stock that was authorized for award grants under the 2017 Performance Incentive Plan was 95.6 million shares. Shares issued in respect of stock options and SARs granted under the 2017 Performance Incentive Plan count against the plan’s share limit on a one-for-one basis, whereas currently, shares issued in respect of any other type of award granted count against the plan’s share limit as 1.72 shares for every one share issued in connection with such award. The 2017 Performance Incentive Plan will terminate on August 4, 2025 unless terminated earlier by the Company’s Board of Directors.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Employee Stock Purchase Plan</w:t>
      </w:r>
    </w:p>
    <w:p>
      <w:pPr>
        <w:spacing w:after="0" w:line="25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Under the Company’s ESPP, eligible employees may authorize payroll deductions of up to 10% of their eligible compensation, subject to IRS limitations, during prescribed offering periods to purchase shares of the Company’s common stock at 95% of the fair market value of common stock either at the beginning of that offering period or on the applicable exercise date, whichever is less. A participant may participate in only one offering period at a time, and a new offering period generally begins each June 1st and December 1st. Each offering period is generally 24 months and consists of four exercise dates (each, generally six months following the start of the offering period or the preceding exercise date, as the case may be). If the fair market value of the Company’s common stock is less on a given exercise date than on the date of grant, employee participation in that offering period ends and participants are automatically re-enrolled in the next new offering period.</w:t>
      </w:r>
    </w:p>
    <w:p>
      <w:pPr>
        <w:spacing w:after="0" w:line="20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During 2020, 2019 and 2018, the Company issued 3.0 million, 2.6 million, and 2.5 million shares, respectively, for aggregate purchase amounts of $107 million, $102 million and $119 million, respectively.</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 Expense</w:t>
      </w:r>
    </w:p>
    <w:p>
      <w:pPr>
        <w:spacing w:after="0" w:line="252" w:lineRule="exact"/>
        <w:rPr>
          <w:sz w:val="20"/>
          <w:szCs w:val="20"/>
          <w:color w:val="auto"/>
        </w:rPr>
      </w:pPr>
    </w:p>
    <w:p>
      <w:pPr>
        <w:ind w:right="340" w:firstLine="324"/>
        <w:spacing w:after="0" w:line="276"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and financial statement line as well as the related tax benefit included in the Company’s Consolidated Statements of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6"/>
        </w:trPr>
        <w:tc>
          <w:tcPr>
            <w:tcW w:w="6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8"/>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980" w:type="dxa"/>
            <w:vAlign w:val="bottom"/>
            <w:tcBorders>
              <w:bottom w:val="single" w:sz="8" w:color="CCEEFF"/>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24"/>
        </w:trPr>
        <w:tc>
          <w:tcPr>
            <w:tcW w:w="6700" w:type="dxa"/>
            <w:vAlign w:val="bottom"/>
          </w:tcPr>
          <w:p>
            <w:pPr>
              <w:ind w:left="20"/>
              <w:spacing w:after="0"/>
              <w:rPr>
                <w:sz w:val="20"/>
                <w:szCs w:val="20"/>
                <w:color w:val="auto"/>
              </w:rPr>
            </w:pPr>
            <w:r>
              <w:rPr>
                <w:rFonts w:ascii="Arial" w:cs="Arial" w:eastAsia="Arial" w:hAnsi="Arial"/>
                <w:sz w:val="16"/>
                <w:szCs w:val="16"/>
                <w:color w:val="auto"/>
              </w:rPr>
              <w:t>RSUs and PSUs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33"/>
        </w:trPr>
        <w:tc>
          <w:tcPr>
            <w:tcW w:w="6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9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47"/>
        </w:trPr>
        <w:tc>
          <w:tcPr>
            <w:tcW w:w="6700" w:type="dxa"/>
            <w:vAlign w:val="bottom"/>
          </w:tcPr>
          <w:p>
            <w:pPr>
              <w:ind w:left="120"/>
              <w:spacing w:after="0"/>
              <w:rPr>
                <w:sz w:val="20"/>
                <w:szCs w:val="20"/>
                <w:color w:val="auto"/>
              </w:rPr>
            </w:pPr>
            <w:r>
              <w:rPr>
                <w:rFonts w:ascii="Arial" w:cs="Arial" w:eastAsia="Arial" w:hAnsi="Arial"/>
                <w:sz w:val="16"/>
                <w:szCs w:val="16"/>
                <w:color w:val="auto"/>
              </w:rPr>
              <w:t>Total</w:t>
            </w:r>
          </w:p>
        </w:tc>
        <w:tc>
          <w:tcPr>
            <w:tcW w:w="98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w:t>
            </w:r>
          </w:p>
        </w:tc>
      </w:tr>
      <w:tr>
        <w:trPr>
          <w:trHeight w:val="24"/>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541"/>
        </w:trPr>
        <w:tc>
          <w:tcPr>
            <w:tcW w:w="6700" w:type="dxa"/>
            <w:vAlign w:val="bottom"/>
          </w:tcPr>
          <w:p>
            <w:pPr>
              <w:spacing w:after="0"/>
              <w:rPr>
                <w:sz w:val="24"/>
                <w:szCs w:val="24"/>
                <w:color w:val="auto"/>
              </w:rPr>
            </w:pPr>
          </w:p>
        </w:tc>
        <w:tc>
          <w:tcPr>
            <w:tcW w:w="9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6"/>
        </w:trPr>
        <w:tc>
          <w:tcPr>
            <w:tcW w:w="6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8"/>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80" w:type="dxa"/>
            <w:vAlign w:val="bottom"/>
            <w:tcBorders>
              <w:bottom w:val="single" w:sz="8" w:color="CCEEFF"/>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23"/>
        </w:trPr>
        <w:tc>
          <w:tcPr>
            <w:tcW w:w="67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33"/>
        </w:trPr>
        <w:tc>
          <w:tcPr>
            <w:tcW w:w="6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24"/>
        </w:trPr>
        <w:tc>
          <w:tcPr>
            <w:tcW w:w="6700" w:type="dxa"/>
            <w:vAlign w:val="bottom"/>
          </w:tcPr>
          <w:p>
            <w:pPr>
              <w:ind w:left="20"/>
              <w:spacing w:after="0"/>
              <w:rPr>
                <w:sz w:val="20"/>
                <w:szCs w:val="20"/>
                <w:color w:val="auto"/>
              </w:rPr>
            </w:pPr>
            <w:r>
              <w:rPr>
                <w:rFonts w:ascii="Arial" w:cs="Arial" w:eastAsia="Arial" w:hAnsi="Arial"/>
                <w:sz w:val="16"/>
                <w:szCs w:val="16"/>
                <w:color w:val="auto"/>
              </w:rPr>
              <w:t>Employee termination, asset impairment, and other charges</w:t>
            </w: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6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Subtotal</w:t>
            </w: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24"/>
        </w:trPr>
        <w:tc>
          <w:tcPr>
            <w:tcW w:w="6700" w:type="dxa"/>
            <w:vAlign w:val="bottom"/>
          </w:tcPr>
          <w:p>
            <w:pPr>
              <w:ind w:left="20"/>
              <w:spacing w:after="0"/>
              <w:rPr>
                <w:sz w:val="20"/>
                <w:szCs w:val="20"/>
                <w:color w:val="auto"/>
              </w:rPr>
            </w:pPr>
            <w:r>
              <w:rPr>
                <w:rFonts w:ascii="Arial" w:cs="Arial" w:eastAsia="Arial" w:hAnsi="Arial"/>
                <w:sz w:val="16"/>
                <w:szCs w:val="16"/>
                <w:color w:val="auto"/>
              </w:rPr>
              <w:t>Tax benefit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6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Windfall tax benefits related to the vesting and exercise of stock-based awards, which are recognized as a component of the Company’s Income tax expense, were immaterial for the periods presented.</w:t>
      </w:r>
    </w:p>
    <w:p>
      <w:pPr>
        <w:spacing w:after="0" w:line="19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Compensation cost related to unvested RSUs, PSUs, and rights to purchase shares of common stock under the ESPP will generally be amortized on a straight-line basis over the remaining average service period. The remaining compensation cost related to unvested stock options is immaterial as of July 3, 2020. The following table presents the unamortized compensation cost and weighted average service period of all unvested outstanding awards as of July 3,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24"/>
              <w:spacing w:after="0"/>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8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Compensation Costs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Service Period</w:t>
            </w:r>
          </w:p>
        </w:tc>
      </w:tr>
      <w:tr>
        <w:trPr>
          <w:trHeight w:val="196"/>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24"/>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6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RSUs and PSUs </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543</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2.4</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ESPP</w:t>
            </w:r>
          </w:p>
        </w:tc>
        <w:tc>
          <w:tcPr>
            <w:tcW w:w="100" w:type="dxa"/>
            <w:vAlign w:val="bottom"/>
          </w:tcPr>
          <w:p>
            <w:pPr>
              <w:spacing w:after="0"/>
              <w:rPr>
                <w:sz w:val="19"/>
                <w:szCs w:val="19"/>
                <w:color w:val="auto"/>
              </w:rPr>
            </w:pPr>
          </w:p>
        </w:tc>
        <w:tc>
          <w:tcPr>
            <w:tcW w:w="1360" w:type="dxa"/>
            <w:vAlign w:val="bottom"/>
          </w:tcPr>
          <w:p>
            <w:pPr>
              <w:jc w:val="right"/>
              <w:ind w:right="4"/>
              <w:spacing w:after="0"/>
              <w:rPr>
                <w:sz w:val="20"/>
                <w:szCs w:val="20"/>
                <w:color w:val="auto"/>
              </w:rPr>
            </w:pPr>
            <w:r>
              <w:rPr>
                <w:rFonts w:ascii="Arial" w:cs="Arial" w:eastAsia="Arial" w:hAnsi="Arial"/>
                <w:sz w:val="16"/>
                <w:szCs w:val="16"/>
                <w:color w:val="auto"/>
              </w:rPr>
              <w:t>38</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1.1</w:t>
            </w:r>
          </w:p>
        </w:tc>
      </w:tr>
      <w:tr>
        <w:trPr>
          <w:trHeight w:val="33"/>
        </w:trPr>
        <w:tc>
          <w:tcPr>
            <w:tcW w:w="8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72"/>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unamortized compensation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326"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Weighted average service period assumes the performance conditions are met for the PSUs.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22"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34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(in years)</w:t>
            </w:r>
          </w:p>
        </w:tc>
        <w:tc>
          <w:tcPr>
            <w:tcW w:w="100" w:type="dxa"/>
            <w:vAlign w:val="bottom"/>
          </w:tcPr>
          <w:p>
            <w:pPr>
              <w:spacing w:after="0"/>
              <w:rPr>
                <w:sz w:val="17"/>
                <w:szCs w:val="17"/>
                <w:color w:val="auto"/>
              </w:rPr>
            </w:pPr>
          </w:p>
        </w:tc>
        <w:tc>
          <w:tcPr>
            <w:tcW w:w="1340" w:type="dxa"/>
            <w:vAlign w:val="bottom"/>
          </w:tcPr>
          <w:p>
            <w:pPr>
              <w:jc w:val="center"/>
              <w:ind w:right="22"/>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June 30, 2017</w:t>
            </w:r>
          </w:p>
        </w:tc>
        <w:tc>
          <w:tcPr>
            <w:tcW w:w="1420" w:type="dxa"/>
            <w:vAlign w:val="bottom"/>
            <w:tcBorders>
              <w:bottom w:val="single" w:sz="8" w:color="CCEEFF"/>
            </w:tcBorders>
            <w:shd w:val="clear" w:color="auto" w:fill="CCEEFF"/>
          </w:tcPr>
          <w:p>
            <w:pPr>
              <w:jc w:val="center"/>
              <w:ind w:left="980"/>
              <w:spacing w:after="0"/>
              <w:rPr>
                <w:sz w:val="20"/>
                <w:szCs w:val="20"/>
                <w:color w:val="auto"/>
              </w:rPr>
            </w:pPr>
            <w:r>
              <w:rPr>
                <w:rFonts w:ascii="Arial" w:cs="Arial" w:eastAsia="Arial" w:hAnsi="Arial"/>
                <w:sz w:val="16"/>
                <w:szCs w:val="16"/>
                <w:color w:val="auto"/>
                <w:w w:val="89"/>
              </w:rPr>
              <w:t>7.4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1420" w:type="dxa"/>
            <w:vAlign w:val="bottom"/>
          </w:tcPr>
          <w:p>
            <w:pPr>
              <w:jc w:val="center"/>
              <w:ind w:left="960"/>
              <w:spacing w:after="0"/>
              <w:rPr>
                <w:sz w:val="20"/>
                <w:szCs w:val="20"/>
                <w:color w:val="auto"/>
              </w:rPr>
            </w:pPr>
            <w:r>
              <w:rPr>
                <w:rFonts w:ascii="Arial" w:cs="Arial" w:eastAsia="Arial" w:hAnsi="Arial"/>
                <w:sz w:val="16"/>
                <w:szCs w:val="16"/>
                <w:color w:val="auto"/>
                <w:w w:val="91"/>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44.52</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Canceled or expired</w:t>
            </w:r>
          </w:p>
        </w:tc>
        <w:tc>
          <w:tcPr>
            <w:tcW w:w="1420" w:type="dxa"/>
            <w:vAlign w:val="bottom"/>
            <w:tcBorders>
              <w:bottom w:val="single" w:sz="8" w:color="CCEEFF"/>
            </w:tcBorders>
            <w:shd w:val="clear" w:color="auto" w:fill="CCEEFF"/>
          </w:tcPr>
          <w:p>
            <w:pPr>
              <w:jc w:val="center"/>
              <w:ind w:left="960"/>
              <w:spacing w:after="0"/>
              <w:rPr>
                <w:sz w:val="20"/>
                <w:szCs w:val="20"/>
                <w:color w:val="auto"/>
              </w:rPr>
            </w:pPr>
            <w:r>
              <w:rPr>
                <w:rFonts w:ascii="Arial" w:cs="Arial" w:eastAsia="Arial" w:hAnsi="Arial"/>
                <w:sz w:val="16"/>
                <w:szCs w:val="16"/>
                <w:color w:val="auto"/>
                <w:w w:val="91"/>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60.85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5180" w:type="dxa"/>
            <w:vAlign w:val="bottom"/>
          </w:tcPr>
          <w:p>
            <w:pPr>
              <w:ind w:left="20"/>
              <w:spacing w:after="0"/>
              <w:rPr>
                <w:sz w:val="20"/>
                <w:szCs w:val="20"/>
                <w:color w:val="auto"/>
              </w:rPr>
            </w:pPr>
            <w:r>
              <w:rPr>
                <w:rFonts w:ascii="Arial" w:cs="Arial" w:eastAsia="Arial" w:hAnsi="Arial"/>
                <w:sz w:val="16"/>
                <w:szCs w:val="16"/>
                <w:color w:val="auto"/>
              </w:rPr>
              <w:t>Options outstanding at June 29, 2018</w:t>
            </w:r>
          </w:p>
        </w:tc>
        <w:tc>
          <w:tcPr>
            <w:tcW w:w="1420" w:type="dxa"/>
            <w:vAlign w:val="bottom"/>
            <w:tcBorders>
              <w:top w:val="single" w:sz="8" w:color="auto"/>
            </w:tcBorders>
          </w:tcPr>
          <w:p>
            <w:pPr>
              <w:jc w:val="center"/>
              <w:ind w:left="980"/>
              <w:spacing w:after="0"/>
              <w:rPr>
                <w:sz w:val="20"/>
                <w:szCs w:val="20"/>
                <w:color w:val="auto"/>
              </w:rPr>
            </w:pPr>
            <w:r>
              <w:rPr>
                <w:rFonts w:ascii="Arial" w:cs="Arial" w:eastAsia="Arial" w:hAnsi="Arial"/>
                <w:sz w:val="16"/>
                <w:szCs w:val="16"/>
                <w:color w:val="auto"/>
                <w:w w:val="89"/>
              </w:rPr>
              <w:t>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64.23</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420" w:type="dxa"/>
            <w:vAlign w:val="bottom"/>
            <w:tcBorders>
              <w:bottom w:val="single" w:sz="8" w:color="CCEEFF"/>
            </w:tcBorders>
            <w:shd w:val="clear" w:color="auto" w:fill="CCEEFF"/>
          </w:tcPr>
          <w:p>
            <w:pPr>
              <w:jc w:val="center"/>
              <w:ind w:left="960"/>
              <w:spacing w:after="0"/>
              <w:rPr>
                <w:sz w:val="20"/>
                <w:szCs w:val="20"/>
                <w:color w:val="auto"/>
              </w:rPr>
            </w:pPr>
            <w:r>
              <w:rPr>
                <w:rFonts w:ascii="Arial" w:cs="Arial" w:eastAsia="Arial" w:hAnsi="Arial"/>
                <w:sz w:val="16"/>
                <w:szCs w:val="16"/>
                <w:color w:val="auto"/>
                <w:w w:val="91"/>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39.58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4"/>
        </w:trPr>
        <w:tc>
          <w:tcPr>
            <w:tcW w:w="5180" w:type="dxa"/>
            <w:vAlign w:val="bottom"/>
          </w:tcPr>
          <w:p>
            <w:pPr>
              <w:ind w:left="220"/>
              <w:spacing w:after="0"/>
              <w:rPr>
                <w:sz w:val="20"/>
                <w:szCs w:val="20"/>
                <w:color w:val="auto"/>
              </w:rPr>
            </w:pPr>
            <w:r>
              <w:rPr>
                <w:rFonts w:ascii="Arial" w:cs="Arial" w:eastAsia="Arial" w:hAnsi="Arial"/>
                <w:sz w:val="16"/>
                <w:szCs w:val="16"/>
                <w:color w:val="auto"/>
              </w:rPr>
              <w:t>Canceled or expired</w:t>
            </w:r>
          </w:p>
        </w:tc>
        <w:tc>
          <w:tcPr>
            <w:tcW w:w="1420" w:type="dxa"/>
            <w:vAlign w:val="bottom"/>
          </w:tcPr>
          <w:p>
            <w:pPr>
              <w:jc w:val="center"/>
              <w:ind w:left="960"/>
              <w:spacing w:after="0"/>
              <w:rPr>
                <w:sz w:val="20"/>
                <w:szCs w:val="20"/>
                <w:color w:val="auto"/>
              </w:rPr>
            </w:pPr>
            <w:r>
              <w:rPr>
                <w:rFonts w:ascii="Arial" w:cs="Arial" w:eastAsia="Arial" w:hAnsi="Arial"/>
                <w:sz w:val="16"/>
                <w:szCs w:val="16"/>
                <w:color w:val="auto"/>
                <w:w w:val="91"/>
              </w:rPr>
              <w:t>(0.5)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74.79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June 28, 2019</w:t>
            </w:r>
          </w:p>
        </w:tc>
        <w:tc>
          <w:tcPr>
            <w:tcW w:w="1420" w:type="dxa"/>
            <w:vAlign w:val="bottom"/>
            <w:tcBorders>
              <w:bottom w:val="single" w:sz="8" w:color="CCEEFF"/>
            </w:tcBorders>
            <w:shd w:val="clear" w:color="auto" w:fill="CCEEFF"/>
          </w:tcPr>
          <w:p>
            <w:pPr>
              <w:jc w:val="center"/>
              <w:ind w:left="980"/>
              <w:spacing w:after="0"/>
              <w:rPr>
                <w:sz w:val="20"/>
                <w:szCs w:val="20"/>
                <w:color w:val="auto"/>
              </w:rPr>
            </w:pPr>
            <w:r>
              <w:rPr>
                <w:rFonts w:ascii="Arial" w:cs="Arial" w:eastAsia="Arial" w:hAnsi="Arial"/>
                <w:sz w:val="16"/>
                <w:szCs w:val="16"/>
                <w:color w:val="auto"/>
                <w:w w:val="89"/>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65.72</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1420" w:type="dxa"/>
            <w:vAlign w:val="bottom"/>
          </w:tcPr>
          <w:p>
            <w:pPr>
              <w:jc w:val="center"/>
              <w:ind w:left="960"/>
              <w:spacing w:after="0"/>
              <w:rPr>
                <w:sz w:val="20"/>
                <w:szCs w:val="20"/>
                <w:color w:val="auto"/>
              </w:rPr>
            </w:pPr>
            <w:r>
              <w:rPr>
                <w:rFonts w:ascii="Arial" w:cs="Arial" w:eastAsia="Arial" w:hAnsi="Arial"/>
                <w:sz w:val="16"/>
                <w:szCs w:val="16"/>
                <w:color w:val="auto"/>
                <w:w w:val="91"/>
              </w:rPr>
              <w:t>(0.8)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43.26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Canceled or expired</w:t>
            </w:r>
          </w:p>
        </w:tc>
        <w:tc>
          <w:tcPr>
            <w:tcW w:w="1420" w:type="dxa"/>
            <w:vAlign w:val="bottom"/>
            <w:tcBorders>
              <w:bottom w:val="single" w:sz="8" w:color="CCEEFF"/>
            </w:tcBorders>
            <w:shd w:val="clear" w:color="auto" w:fill="CCEEFF"/>
          </w:tcPr>
          <w:p>
            <w:pPr>
              <w:jc w:val="center"/>
              <w:ind w:left="960"/>
              <w:spacing w:after="0"/>
              <w:rPr>
                <w:sz w:val="20"/>
                <w:szCs w:val="20"/>
                <w:color w:val="auto"/>
              </w:rPr>
            </w:pPr>
            <w:r>
              <w:rPr>
                <w:rFonts w:ascii="Arial" w:cs="Arial" w:eastAsia="Arial" w:hAnsi="Arial"/>
                <w:sz w:val="16"/>
                <w:szCs w:val="16"/>
                <w:color w:val="auto"/>
                <w:w w:val="91"/>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88.58</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180" w:type="dxa"/>
            <w:vAlign w:val="bottom"/>
          </w:tcPr>
          <w:p>
            <w:pPr>
              <w:ind w:left="20"/>
              <w:spacing w:after="0"/>
              <w:rPr>
                <w:sz w:val="20"/>
                <w:szCs w:val="20"/>
                <w:color w:val="auto"/>
              </w:rPr>
            </w:pPr>
            <w:r>
              <w:rPr>
                <w:rFonts w:ascii="Arial" w:cs="Arial" w:eastAsia="Arial" w:hAnsi="Arial"/>
                <w:sz w:val="16"/>
                <w:szCs w:val="16"/>
                <w:color w:val="auto"/>
              </w:rPr>
              <w:t>Options outstanding at July 3, 2020</w:t>
            </w:r>
          </w:p>
        </w:tc>
        <w:tc>
          <w:tcPr>
            <w:tcW w:w="1420" w:type="dxa"/>
            <w:vAlign w:val="bottom"/>
            <w:tcBorders>
              <w:top w:val="single" w:sz="8" w:color="auto"/>
              <w:bottom w:val="single" w:sz="8" w:color="auto"/>
            </w:tcBorders>
          </w:tcPr>
          <w:p>
            <w:pPr>
              <w:jc w:val="center"/>
              <w:ind w:left="980"/>
              <w:spacing w:after="0"/>
              <w:rPr>
                <w:sz w:val="20"/>
                <w:szCs w:val="20"/>
                <w:color w:val="auto"/>
              </w:rPr>
            </w:pPr>
            <w:r>
              <w:rPr>
                <w:rFonts w:ascii="Arial" w:cs="Arial" w:eastAsia="Arial" w:hAnsi="Arial"/>
                <w:sz w:val="16"/>
                <w:szCs w:val="16"/>
                <w:color w:val="auto"/>
                <w:w w:val="89"/>
              </w:rPr>
              <w:t>2.7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69.16</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at July 3, 2020</w:t>
            </w:r>
          </w:p>
        </w:tc>
        <w:tc>
          <w:tcPr>
            <w:tcW w:w="1420" w:type="dxa"/>
            <w:vAlign w:val="bottom"/>
            <w:tcBorders>
              <w:bottom w:val="single" w:sz="8" w:color="auto"/>
            </w:tcBorders>
            <w:shd w:val="clear" w:color="auto" w:fill="CCEEFF"/>
          </w:tcPr>
          <w:p>
            <w:pPr>
              <w:jc w:val="center"/>
              <w:ind w:left="980"/>
              <w:spacing w:after="0"/>
              <w:rPr>
                <w:sz w:val="20"/>
                <w:szCs w:val="20"/>
                <w:color w:val="auto"/>
              </w:rPr>
            </w:pPr>
            <w:r>
              <w:rPr>
                <w:rFonts w:ascii="Arial" w:cs="Arial" w:eastAsia="Arial" w:hAnsi="Arial"/>
                <w:sz w:val="16"/>
                <w:szCs w:val="16"/>
                <w:color w:val="auto"/>
                <w:w w:val="89"/>
              </w:rPr>
              <w:t>2.6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70.10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options were granted in 2020, 2019 or 2018.</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RSUs and PSUs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4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Grant Date Fair Value</w:t>
            </w:r>
          </w:p>
        </w:tc>
        <w:tc>
          <w:tcPr>
            <w:tcW w:w="120" w:type="dxa"/>
            <w:vAlign w:val="bottom"/>
          </w:tcPr>
          <w:p>
            <w:pPr>
              <w:spacing w:after="0"/>
              <w:rPr>
                <w:sz w:val="16"/>
                <w:szCs w:val="16"/>
                <w:color w:val="auto"/>
              </w:rPr>
            </w:pPr>
          </w:p>
        </w:tc>
        <w:tc>
          <w:tcPr>
            <w:tcW w:w="134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Value at Vest Date</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1420" w:type="dxa"/>
            <w:vAlign w:val="bottom"/>
            <w:tcBorders>
              <w:top w:val="single" w:sz="8" w:color="auto"/>
            </w:tcBorders>
          </w:tcPr>
          <w:p>
            <w:pPr>
              <w:jc w:val="right"/>
              <w:ind w:right="28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4"/>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RSUs and PSUs outstanding at June 30, 2017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23"/>
        </w:trPr>
        <w:tc>
          <w:tcPr>
            <w:tcW w:w="6640" w:type="dxa"/>
            <w:vAlign w:val="bottom"/>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RSUs and PSUs outstanding at June 29, 2018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24"/>
        </w:trPr>
        <w:tc>
          <w:tcPr>
            <w:tcW w:w="6640" w:type="dxa"/>
            <w:vAlign w:val="bottom"/>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RSUs and PSUs outstanding at June 28, 2019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23"/>
        </w:trPr>
        <w:tc>
          <w:tcPr>
            <w:tcW w:w="6640" w:type="dxa"/>
            <w:vAlign w:val="bottom"/>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RSUs and PSUs outstanding at July 3,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Valuation Assumptions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 and PSU Grants</w:t>
      </w:r>
    </w:p>
    <w:p>
      <w:pPr>
        <w:spacing w:after="0" w:line="252"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The fair value of the Company’s RSU and PSU awards with a performance condition is determined based upon the closing price of the Company’s stock price on the date of grant. The fair value of PSU awards with a market condition is estimated using a Monte Carlo simulation model on the date of grant using historical volatility.</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ESPP — Black-Scholes-Merton Model</w:t>
      </w:r>
    </w:p>
    <w:p>
      <w:pPr>
        <w:spacing w:after="0" w:line="252"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The fair value of ESPP purchase rights issued is estimated at the date of grant of the purchase rights using the Black-Scholes-Merton option-pricing model. The Black-Scholes-Merton option-pricing model requires the input of assumptions such as the expected stock price volatility and the expected period until options are exercised. Purchase rights under the ESPP are generally granted on either June 1st or December 1st of each year.</w:t>
      </w:r>
    </w:p>
    <w:p>
      <w:pPr>
        <w:spacing w:after="0" w:line="176" w:lineRule="exact"/>
        <w:rPr>
          <w:sz w:val="20"/>
          <w:szCs w:val="20"/>
          <w:color w:val="auto"/>
        </w:rPr>
      </w:pPr>
    </w:p>
    <w:p>
      <w:pPr>
        <w:ind w:right="700" w:firstLine="324"/>
        <w:spacing w:after="0" w:line="276" w:lineRule="auto"/>
        <w:rPr>
          <w:sz w:val="20"/>
          <w:szCs w:val="20"/>
          <w:color w:val="auto"/>
        </w:rPr>
      </w:pPr>
      <w:r>
        <w:rPr>
          <w:rFonts w:ascii="Arial" w:cs="Arial" w:eastAsia="Arial" w:hAnsi="Arial"/>
          <w:sz w:val="18"/>
          <w:szCs w:val="18"/>
          <w:color w:val="auto"/>
        </w:rPr>
        <w:t>The fair values of ESPP purchase rights have been estimated at the date of grant using a Black-Scholes-Merton option-pricing model with the following weighted average assumptions: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expected term (in years)</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1.26</w:t>
            </w:r>
          </w:p>
        </w:tc>
      </w:tr>
      <w:tr>
        <w:trPr>
          <w:trHeight w:val="223"/>
        </w:trPr>
        <w:tc>
          <w:tcPr>
            <w:tcW w:w="67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0.55%</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2.25%</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0.81%</w:t>
            </w:r>
          </w:p>
        </w:tc>
      </w:tr>
      <w:tr>
        <w:trPr>
          <w:trHeight w:val="33"/>
        </w:trPr>
        <w:tc>
          <w:tcPr>
            <w:tcW w:w="6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price volatility</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0.59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0.42</w:t>
            </w:r>
          </w:p>
        </w:tc>
      </w:tr>
      <w:tr>
        <w:trPr>
          <w:trHeight w:val="223"/>
        </w:trPr>
        <w:tc>
          <w:tcPr>
            <w:tcW w:w="674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1.08%</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2.42%</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4.02%</w:t>
            </w:r>
          </w:p>
        </w:tc>
      </w:tr>
      <w:tr>
        <w:trPr>
          <w:trHeight w:val="33"/>
        </w:trPr>
        <w:tc>
          <w:tcPr>
            <w:tcW w:w="6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$10.06</w:t>
            </w:r>
          </w:p>
        </w:tc>
      </w:tr>
      <w:tr>
        <w:trPr>
          <w:trHeight w:val="33"/>
        </w:trPr>
        <w:tc>
          <w:tcPr>
            <w:tcW w:w="67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5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Company’s Board of Directors has authorized a stock repurchase program for the repurchase of up to $5.0 billion of the Company’s common stock, which authorization is effective through July 25, 2023. For the year ended July 3, 2020, the Company did not make any stock repurchases and has not repurchased any shares of its common stock pursuant to its stock repurchase program since the first quarter of fiscal 2019. Although the Company will reevaluate the repurchasing of common stock when appropriate, there can be no assurance if, when or at what level the Company may resume such activity. The remaining amount available to be repurchased under the Company’s current stock repurchase program as of July 3, 2020 was $4.5 billion. Repurchases under the stock repurchase program may be made in the open market or in privately negotiated transactions and may be made under a Rule 10b5-1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Reserved for Issuance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all common stock reserved for issuance at July 3, 2020:</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00" w:type="dxa"/>
            <w:vAlign w:val="bottom"/>
          </w:tcPr>
          <w:p>
            <w:pPr>
              <w:spacing w:after="0"/>
              <w:rPr>
                <w:sz w:val="16"/>
                <w:szCs w:val="16"/>
                <w:color w:val="auto"/>
              </w:rPr>
            </w:pPr>
          </w:p>
        </w:tc>
        <w:tc>
          <w:tcPr>
            <w:tcW w:w="15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Number of Shares</w:t>
            </w:r>
          </w:p>
        </w:tc>
      </w:tr>
      <w:tr>
        <w:trPr>
          <w:trHeight w:val="196"/>
        </w:trPr>
        <w:tc>
          <w:tcPr>
            <w:tcW w:w="9700" w:type="dxa"/>
            <w:vAlign w:val="bottom"/>
          </w:tcPr>
          <w:p>
            <w:pPr>
              <w:spacing w:after="0"/>
              <w:rPr>
                <w:sz w:val="17"/>
                <w:szCs w:val="17"/>
                <w:color w:val="auto"/>
              </w:rPr>
            </w:pPr>
          </w:p>
        </w:tc>
        <w:tc>
          <w:tcPr>
            <w:tcW w:w="1540" w:type="dxa"/>
            <w:vAlign w:val="bottom"/>
          </w:tcPr>
          <w:p>
            <w:pPr>
              <w:jc w:val="right"/>
              <w:ind w:right="343"/>
              <w:spacing w:after="0"/>
              <w:rPr>
                <w:sz w:val="20"/>
                <w:szCs w:val="20"/>
                <w:color w:val="auto"/>
              </w:rPr>
            </w:pPr>
            <w:r>
              <w:rPr>
                <w:rFonts w:ascii="Arial" w:cs="Arial" w:eastAsia="Arial" w:hAnsi="Arial"/>
                <w:sz w:val="14"/>
                <w:szCs w:val="14"/>
                <w:i w:val="1"/>
                <w:iCs w:val="1"/>
                <w:color w:val="auto"/>
              </w:rPr>
              <w:t>(in millions)</w:t>
            </w:r>
          </w:p>
        </w:tc>
      </w:tr>
      <w:tr>
        <w:trPr>
          <w:trHeight w:val="242"/>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awards and shares available for award grants</w:t>
            </w:r>
          </w:p>
        </w:tc>
        <w:tc>
          <w:tcPr>
            <w:tcW w:w="15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31</w:t>
            </w:r>
          </w:p>
        </w:tc>
      </w:tr>
      <w:tr>
        <w:trPr>
          <w:trHeight w:val="224"/>
        </w:trPr>
        <w:tc>
          <w:tcPr>
            <w:tcW w:w="9700" w:type="dxa"/>
            <w:vAlign w:val="bottom"/>
          </w:tcPr>
          <w:p>
            <w:pPr>
              <w:ind w:left="20"/>
              <w:spacing w:after="0"/>
              <w:rPr>
                <w:sz w:val="20"/>
                <w:szCs w:val="20"/>
                <w:color w:val="auto"/>
              </w:rPr>
            </w:pPr>
            <w:r>
              <w:rPr>
                <w:rFonts w:ascii="Arial" w:cs="Arial" w:eastAsia="Arial" w:hAnsi="Arial"/>
                <w:sz w:val="16"/>
                <w:szCs w:val="16"/>
                <w:color w:val="auto"/>
              </w:rPr>
              <w:t>ESPP</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9</w:t>
            </w:r>
          </w:p>
        </w:tc>
      </w:tr>
      <w:tr>
        <w:trPr>
          <w:trHeight w:val="33"/>
        </w:trPr>
        <w:tc>
          <w:tcPr>
            <w:tcW w:w="97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75"/>
        </w:trPr>
        <w:tc>
          <w:tcPr>
            <w:tcW w:w="9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5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5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issued a quarterly cash dividend from the first quarter of fiscal 2013 up to the third quarter of fiscal 2020. During the year ended July 3, 2020, the Company declared aggregate cash dividends of $1.50 per share on its outstanding common stock totaling $449 million. In April 2020, the Company suspended its dividend to reinvest in the business and to support its ongoing deleveraging efforts.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Note 13. Income Tax Expense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(loss) Before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domestic and foreign components of Income (loss) before taxes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6"/>
        </w:trPr>
        <w:tc>
          <w:tcPr>
            <w:tcW w:w="6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8"/>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960" w:type="dxa"/>
            <w:vAlign w:val="bottom"/>
            <w:tcBorders>
              <w:bottom w:val="single" w:sz="8" w:color="CCEEFF"/>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center"/>
              <w:ind w:left="703"/>
              <w:spacing w:after="0"/>
              <w:rPr>
                <w:sz w:val="20"/>
                <w:szCs w:val="20"/>
                <w:color w:val="auto"/>
              </w:rPr>
            </w:pPr>
            <w:r>
              <w:rPr>
                <w:rFonts w:ascii="Arial" w:cs="Arial" w:eastAsia="Arial" w:hAnsi="Arial"/>
                <w:sz w:val="16"/>
                <w:szCs w:val="16"/>
                <w:color w:val="auto"/>
                <w:w w:val="90"/>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2,398</w:t>
            </w:r>
          </w:p>
        </w:tc>
      </w:tr>
      <w:tr>
        <w:trPr>
          <w:trHeight w:val="223"/>
        </w:trPr>
        <w:tc>
          <w:tcPr>
            <w:tcW w:w="6700" w:type="dxa"/>
            <w:vAlign w:val="bottom"/>
          </w:tcPr>
          <w:p>
            <w:pPr>
              <w:ind w:left="20"/>
              <w:spacing w:after="0"/>
              <w:rPr>
                <w:sz w:val="20"/>
                <w:szCs w:val="20"/>
                <w:color w:val="auto"/>
              </w:rPr>
            </w:pPr>
            <w:r>
              <w:rPr>
                <w:rFonts w:ascii="Arial" w:cs="Arial" w:eastAsia="Arial" w:hAnsi="Arial"/>
                <w:sz w:val="16"/>
                <w:szCs w:val="16"/>
                <w:color w:val="auto"/>
              </w:rPr>
              <w:t>Domestic</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left="723"/>
              <w:spacing w:after="0"/>
              <w:rPr>
                <w:sz w:val="20"/>
                <w:szCs w:val="20"/>
                <w:color w:val="auto"/>
              </w:rPr>
            </w:pPr>
            <w:r>
              <w:rPr>
                <w:rFonts w:ascii="Arial" w:cs="Arial" w:eastAsia="Arial" w:hAnsi="Arial"/>
                <w:sz w:val="16"/>
                <w:szCs w:val="16"/>
                <w:color w:val="auto"/>
                <w:w w:val="89"/>
              </w:rPr>
              <w:t>355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33"/>
        </w:trPr>
        <w:tc>
          <w:tcPr>
            <w:tcW w:w="6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(loss) before taxes</w:t>
            </w:r>
          </w:p>
        </w:tc>
        <w:tc>
          <w:tcPr>
            <w:tcW w:w="960" w:type="dxa"/>
            <w:vAlign w:val="bottom"/>
            <w:tcBorders>
              <w:bottom w:val="single" w:sz="8" w:color="CCEEFF"/>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center"/>
              <w:ind w:left="703"/>
              <w:spacing w:after="0"/>
              <w:rPr>
                <w:sz w:val="20"/>
                <w:szCs w:val="20"/>
                <w:color w:val="auto"/>
              </w:rPr>
            </w:pPr>
            <w:r>
              <w:rPr>
                <w:rFonts w:ascii="Arial" w:cs="Arial" w:eastAsia="Arial" w:hAnsi="Arial"/>
                <w:sz w:val="16"/>
                <w:szCs w:val="16"/>
                <w:color w:val="auto"/>
                <w:w w:val="90"/>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2,085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 (Benefit)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income tax expense (benefit)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6"/>
        </w:trPr>
        <w:tc>
          <w:tcPr>
            <w:tcW w:w="6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3"/>
        </w:trPr>
        <w:tc>
          <w:tcPr>
            <w:tcW w:w="6700" w:type="dxa"/>
            <w:vAlign w:val="bottom"/>
          </w:tcPr>
          <w:p>
            <w:pPr>
              <w:ind w:left="120"/>
              <w:spacing w:after="0"/>
              <w:rPr>
                <w:sz w:val="20"/>
                <w:szCs w:val="20"/>
                <w:color w:val="auto"/>
              </w:rPr>
            </w:pPr>
            <w:r>
              <w:rPr>
                <w:rFonts w:ascii="Arial" w:cs="Arial" w:eastAsia="Arial" w:hAnsi="Arial"/>
                <w:sz w:val="16"/>
                <w:szCs w:val="16"/>
                <w:color w:val="auto"/>
              </w:rPr>
              <w:t>Foreign</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Domestic - Federal</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1,597</w:t>
            </w:r>
          </w:p>
        </w:tc>
      </w:tr>
      <w:tr>
        <w:trPr>
          <w:trHeight w:val="223"/>
        </w:trPr>
        <w:tc>
          <w:tcPr>
            <w:tcW w:w="6700" w:type="dxa"/>
            <w:vAlign w:val="bottom"/>
          </w:tcPr>
          <w:p>
            <w:pPr>
              <w:ind w:left="120"/>
              <w:spacing w:after="0"/>
              <w:rPr>
                <w:sz w:val="20"/>
                <w:szCs w:val="20"/>
                <w:color w:val="auto"/>
              </w:rPr>
            </w:pPr>
            <w:r>
              <w:rPr>
                <w:rFonts w:ascii="Arial" w:cs="Arial" w:eastAsia="Arial" w:hAnsi="Arial"/>
                <w:sz w:val="16"/>
                <w:szCs w:val="16"/>
                <w:color w:val="auto"/>
              </w:rPr>
              <w:t>Domestic - State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1,758</w:t>
            </w:r>
          </w:p>
        </w:tc>
      </w:tr>
      <w:tr>
        <w:trPr>
          <w:trHeight w:val="203"/>
        </w:trPr>
        <w:tc>
          <w:tcPr>
            <w:tcW w:w="6700" w:type="dxa"/>
            <w:vAlign w:val="bottom"/>
          </w:tcPr>
          <w:p>
            <w:pPr>
              <w:ind w:left="20"/>
              <w:spacing w:after="0"/>
              <w:rPr>
                <w:sz w:val="20"/>
                <w:szCs w:val="20"/>
                <w:color w:val="auto"/>
              </w:rPr>
            </w:pPr>
            <w:r>
              <w:rPr>
                <w:rFonts w:ascii="Arial" w:cs="Arial" w:eastAsia="Arial" w:hAnsi="Arial"/>
                <w:sz w:val="16"/>
                <w:szCs w:val="16"/>
                <w:color w:val="auto"/>
              </w:rPr>
              <w:t>Deferred:</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Foreign</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23"/>
        </w:trPr>
        <w:tc>
          <w:tcPr>
            <w:tcW w:w="6700" w:type="dxa"/>
            <w:vAlign w:val="bottom"/>
          </w:tcPr>
          <w:p>
            <w:pPr>
              <w:ind w:left="120"/>
              <w:spacing w:after="0"/>
              <w:rPr>
                <w:sz w:val="20"/>
                <w:szCs w:val="20"/>
                <w:color w:val="auto"/>
              </w:rPr>
            </w:pPr>
            <w:r>
              <w:rPr>
                <w:rFonts w:ascii="Arial" w:cs="Arial" w:eastAsia="Arial" w:hAnsi="Arial"/>
                <w:sz w:val="16"/>
                <w:szCs w:val="16"/>
                <w:color w:val="auto"/>
              </w:rPr>
              <w:t>Domestic - Federal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Domestic - State</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67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(348)</w:t>
            </w:r>
          </w:p>
        </w:tc>
      </w:tr>
      <w:tr>
        <w:trPr>
          <w:trHeight w:val="33"/>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2"/>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March 27, 2020, the Coronavirus Aid, Relief, and Economic Security Act (the “CARES Act”) was enacted in response to the COVID-19 pandemic in the U.S. The CARES Act, among other things, allows NOLs arising in tax years 2018, 2019, and 2020 to be carried back to each of the five preceding taxable years to generate a refund of previously paid income taxes and increases the business interest expense limitation from 30% to 50% of adjusted taxable income for tax years 2019 and 2020. Additionally, countries around the world continue to implement emergency tax measures to provide relief similar to the CARES Act. The provisions of the CARES Act and the emergency tax measures around the world did not result in a material cash benefit to the Company. However, the Company continues to monitor and evaluate the regulatory and interpretive guidance related to the CARES Act as well as in other jurisdictions.</w:t>
      </w:r>
    </w:p>
    <w:p>
      <w:pPr>
        <w:spacing w:after="0" w:line="22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Tax Cuts and Jobs Act (the “2017 Act”) includes a broad range of tax reform proposals affecting businesses. The Company completed its accounting for the tax effects of the enactment of the 2017 Act during the second quarter of fiscal 2019. However, the U.S. Treasury and the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Temporary differences and carryforwards, which give rise to a significant portion of deferred tax assets and liabilities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July 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00"/>
              <w:spacing w:after="0"/>
              <w:rPr>
                <w:sz w:val="20"/>
                <w:szCs w:val="20"/>
                <w:color w:val="auto"/>
              </w:rPr>
            </w:pPr>
            <w:r>
              <w:rPr>
                <w:rFonts w:ascii="Arial" w:cs="Arial" w:eastAsia="Arial" w:hAnsi="Arial"/>
                <w:sz w:val="14"/>
                <w:szCs w:val="14"/>
                <w:b w:val="1"/>
                <w:bCs w:val="1"/>
                <w:color w:val="auto"/>
              </w:rPr>
              <w:t>June 28,</w:t>
            </w:r>
          </w:p>
        </w:tc>
      </w:tr>
      <w:tr>
        <w:trPr>
          <w:trHeight w:val="192"/>
        </w:trPr>
        <w:tc>
          <w:tcPr>
            <w:tcW w:w="8220" w:type="dxa"/>
            <w:vAlign w:val="bottom"/>
          </w:tcPr>
          <w:p>
            <w:pPr>
              <w:spacing w:after="0"/>
              <w:rPr>
                <w:sz w:val="16"/>
                <w:szCs w:val="16"/>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7"/>
                <w:szCs w:val="17"/>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4"/>
        </w:trPr>
        <w:tc>
          <w:tcPr>
            <w:tcW w:w="8220" w:type="dxa"/>
            <w:vAlign w:val="bottom"/>
          </w:tcPr>
          <w:p>
            <w:pPr>
              <w:ind w:left="120"/>
              <w:spacing w:after="0"/>
              <w:rPr>
                <w:sz w:val="20"/>
                <w:szCs w:val="20"/>
                <w:color w:val="auto"/>
              </w:rPr>
            </w:pPr>
            <w:r>
              <w:rPr>
                <w:rFonts w:ascii="Arial" w:cs="Arial" w:eastAsia="Arial" w:hAnsi="Arial"/>
                <w:sz w:val="16"/>
                <w:szCs w:val="16"/>
                <w:color w:val="auto"/>
              </w:rPr>
              <w:t>Sales related reserves and accrued expenses not currently deductible</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Accrued compensation and benefits not currently deductible</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23"/>
        </w:trPr>
        <w:tc>
          <w:tcPr>
            <w:tcW w:w="8220" w:type="dxa"/>
            <w:vAlign w:val="bottom"/>
          </w:tcPr>
          <w:p>
            <w:pPr>
              <w:ind w:left="120"/>
              <w:spacing w:after="0"/>
              <w:rPr>
                <w:sz w:val="20"/>
                <w:szCs w:val="20"/>
                <w:color w:val="auto"/>
              </w:rPr>
            </w:pPr>
            <w:r>
              <w:rPr>
                <w:rFonts w:ascii="Arial" w:cs="Arial" w:eastAsia="Arial" w:hAnsi="Arial"/>
                <w:sz w:val="16"/>
                <w:szCs w:val="16"/>
                <w:color w:val="auto"/>
              </w:rPr>
              <w:t>Net operating loss carryforward</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Business credit carryforward</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224"/>
        </w:trPr>
        <w:tc>
          <w:tcPr>
            <w:tcW w:w="8220" w:type="dxa"/>
            <w:vAlign w:val="bottom"/>
          </w:tcPr>
          <w:p>
            <w:pPr>
              <w:ind w:left="120"/>
              <w:spacing w:after="0"/>
              <w:rPr>
                <w:sz w:val="20"/>
                <w:szCs w:val="20"/>
                <w:color w:val="auto"/>
              </w:rPr>
            </w:pPr>
            <w:r>
              <w:rPr>
                <w:rFonts w:ascii="Arial" w:cs="Arial" w:eastAsia="Arial" w:hAnsi="Arial"/>
                <w:sz w:val="16"/>
                <w:szCs w:val="16"/>
                <w:color w:val="auto"/>
              </w:rPr>
              <w:t>Long-lived assets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7"/>
        </w:trPr>
        <w:tc>
          <w:tcPr>
            <w:tcW w:w="8220" w:type="dxa"/>
            <w:vAlign w:val="bottom"/>
          </w:tcPr>
          <w:p>
            <w:pPr>
              <w:ind w:left="20"/>
              <w:spacing w:after="0"/>
              <w:rPr>
                <w:sz w:val="20"/>
                <w:szCs w:val="20"/>
                <w:color w:val="auto"/>
              </w:rPr>
            </w:pPr>
            <w:r>
              <w:rPr>
                <w:rFonts w:ascii="Arial" w:cs="Arial" w:eastAsia="Arial" w:hAnsi="Arial"/>
                <w:sz w:val="16"/>
                <w:szCs w:val="16"/>
                <w:color w:val="auto"/>
              </w:rPr>
              <w:t>Total deferred tax assets</w:t>
            </w: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1,127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1,146</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4"/>
        </w:trPr>
        <w:tc>
          <w:tcPr>
            <w:tcW w:w="8220" w:type="dxa"/>
            <w:vAlign w:val="bottom"/>
          </w:tcPr>
          <w:p>
            <w:pPr>
              <w:ind w:left="120"/>
              <w:spacing w:after="0"/>
              <w:rPr>
                <w:sz w:val="20"/>
                <w:szCs w:val="20"/>
                <w:color w:val="auto"/>
              </w:rPr>
            </w:pPr>
            <w:r>
              <w:rPr>
                <w:rFonts w:ascii="Arial" w:cs="Arial" w:eastAsia="Arial" w:hAnsi="Arial"/>
                <w:sz w:val="16"/>
                <w:szCs w:val="16"/>
                <w:color w:val="auto"/>
              </w:rPr>
              <w:t>Long-lived assets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Unremitted earnings of certain non-U.S. entities</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24"/>
        </w:trPr>
        <w:tc>
          <w:tcPr>
            <w:tcW w:w="8220" w:type="dxa"/>
            <w:vAlign w:val="bottom"/>
          </w:tcPr>
          <w:p>
            <w:pPr>
              <w:ind w:left="12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8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17"/>
        </w:trPr>
        <w:tc>
          <w:tcPr>
            <w:tcW w:w="8220" w:type="dxa"/>
            <w:vAlign w:val="bottom"/>
          </w:tcPr>
          <w:p>
            <w:pPr>
              <w:ind w:left="20"/>
              <w:spacing w:after="0"/>
              <w:rPr>
                <w:sz w:val="20"/>
                <w:szCs w:val="20"/>
                <w:color w:val="auto"/>
              </w:rPr>
            </w:pPr>
            <w:r>
              <w:rPr>
                <w:rFonts w:ascii="Arial" w:cs="Arial" w:eastAsia="Arial" w:hAnsi="Arial"/>
                <w:sz w:val="16"/>
                <w:szCs w:val="16"/>
                <w:color w:val="auto"/>
              </w:rPr>
              <w:t>Valuation allowances</w:t>
            </w: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w:t>
            </w:r>
          </w:p>
        </w:tc>
      </w:tr>
      <w:tr>
        <w:trPr>
          <w:trHeight w:val="33"/>
        </w:trPr>
        <w:tc>
          <w:tcPr>
            <w:tcW w:w="8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The net deferred tax asset valuation allowance increased by $5 million in each of 2020 and 2019. The assessment of valuation allowances against deferred tax assets requires estimations and significant judgment. The Company continues to assess and adjust its valuation allowance based on operating results and market conditions. After weighing both the positive and negative evidence available, including, but not limited to, earnings history, projected future outcomes, industry and market trends and the nature of each of the deferred tax assets, the Company determined that it is able to realize most of its deferred tax assets with the exception of certain loss and credit carryforwards.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Effective Tax Rate</w:t>
      </w:r>
    </w:p>
    <w:p>
      <w:pPr>
        <w:spacing w:after="0" w:line="25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Under the 2017 Act, the reduction of the U.S. federal corporate tax rate from 35% to 21% became effective January 1, 2018, requiring companies to use a blended rate for their fiscal 2018 tax year by applying a pro-rated percentage of the number of days before and after the January 1, 2018 effective date. This results in the use of an estimated annual effective tax rate of approximately 28% for the Company’s U.S. federal corporate tax rate for fiscal year 2018. For fiscal year 2019 and beyond, the Company will utilize the enacted U.S. federal corporate tax rate of 21%.</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Reconciliation of the U.S. Federal statutory rate to the Company’s effective tax rate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r>
      <w:tr>
        <w:trPr>
          <w:trHeight w:val="236"/>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Federal statutory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4"/>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Tax rate differential on international income</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9"/>
                <w:szCs w:val="19"/>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9"/>
                <w:szCs w:val="19"/>
                <w:color w:val="auto"/>
              </w:rPr>
            </w:pPr>
          </w:p>
        </w:tc>
      </w:tr>
      <w:tr>
        <w:trPr>
          <w:trHeight w:val="33"/>
        </w:trPr>
        <w:tc>
          <w:tcPr>
            <w:tcW w:w="6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Tax effect of U.S. foreign income inclusion</w:t>
            </w: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Tax effect of U.S. foreign minimum tax</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9"/>
                <w:szCs w:val="19"/>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r>
      <w:tr>
        <w:trPr>
          <w:trHeight w:val="33"/>
        </w:trPr>
        <w:tc>
          <w:tcPr>
            <w:tcW w:w="6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Tax effect of U.S. foreign derived intangible income</w:t>
            </w:r>
          </w:p>
        </w:tc>
        <w:tc>
          <w:tcPr>
            <w:tcW w:w="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Tax effect of U.S. non-deductible stock-based compensation</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9"/>
                <w:szCs w:val="19"/>
                <w:color w:val="auto"/>
              </w:rPr>
            </w:pPr>
          </w:p>
        </w:tc>
      </w:tr>
      <w:tr>
        <w:trPr>
          <w:trHeight w:val="33"/>
        </w:trPr>
        <w:tc>
          <w:tcPr>
            <w:tcW w:w="6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Tax effect of U.S. permanent differences</w:t>
            </w: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Impact of 2017 Act: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3"/>
        </w:trPr>
        <w:tc>
          <w:tcPr>
            <w:tcW w:w="6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7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One-time mandatory deemed repatriation tax</w:t>
            </w:r>
          </w:p>
        </w:tc>
        <w:tc>
          <w:tcPr>
            <w:tcW w:w="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7400" w:type="dxa"/>
            <w:vAlign w:val="bottom"/>
            <w:gridSpan w:val="2"/>
          </w:tcPr>
          <w:p>
            <w:pPr>
              <w:ind w:left="120"/>
              <w:spacing w:after="0"/>
              <w:rPr>
                <w:sz w:val="20"/>
                <w:szCs w:val="20"/>
                <w:color w:val="auto"/>
              </w:rPr>
            </w:pPr>
            <w:r>
              <w:rPr>
                <w:rFonts w:ascii="Arial" w:cs="Arial" w:eastAsia="Arial" w:hAnsi="Arial"/>
                <w:sz w:val="16"/>
                <w:szCs w:val="16"/>
                <w:color w:val="auto"/>
              </w:rPr>
              <w:t>Re-measurement of deferred taxes</w:t>
            </w: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9"/>
                <w:szCs w:val="19"/>
                <w:color w:val="auto"/>
              </w:rPr>
            </w:pPr>
          </w:p>
        </w:tc>
      </w:tr>
      <w:tr>
        <w:trPr>
          <w:trHeight w:val="33"/>
        </w:trPr>
        <w:tc>
          <w:tcPr>
            <w:tcW w:w="6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Unremitted earnings of certain non-U.S. entities</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9"/>
                <w:szCs w:val="19"/>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r>
      <w:tr>
        <w:trPr>
          <w:trHeight w:val="33"/>
        </w:trPr>
        <w:tc>
          <w:tcPr>
            <w:tcW w:w="6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Foreign income tax credits</w:t>
            </w:r>
          </w:p>
        </w:tc>
        <w:tc>
          <w:tcPr>
            <w:tcW w:w="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Federal R&amp;D credits</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9"/>
                <w:szCs w:val="19"/>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9"/>
                <w:szCs w:val="19"/>
                <w:color w:val="auto"/>
              </w:rPr>
            </w:pPr>
          </w:p>
        </w:tc>
      </w:tr>
      <w:tr>
        <w:trPr>
          <w:trHeight w:val="33"/>
        </w:trPr>
        <w:tc>
          <w:tcPr>
            <w:tcW w:w="6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7"/>
        </w:trPr>
        <w:tc>
          <w:tcPr>
            <w:tcW w:w="644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96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(443) %</w:t>
            </w:r>
          </w:p>
        </w:tc>
        <w:tc>
          <w:tcPr>
            <w:tcW w:w="10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 %</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r>
      <w:tr>
        <w:trPr>
          <w:trHeight w:val="23"/>
        </w:trPr>
        <w:tc>
          <w:tcPr>
            <w:tcW w:w="64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 Holidays and Carryforwards</w:t>
      </w:r>
    </w:p>
    <w:p>
      <w:pPr>
        <w:spacing w:after="0" w:line="252"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6"/>
          <w:szCs w:val="16"/>
          <w:color w:val="auto"/>
        </w:rPr>
        <w:t>A substantial portion of the Company’s manufacturing operations in Malaysia, the Philippines and Thailand operate under various tax holidays and tax incentive programs which expired or will expire in whole or in part at various dates during fiscal years 2021 through 2030. Certain of the holidays may be extended if specific conditions are met. The net impact of these tax holidays and tax incentives was an increase to the Company’s net earnings by</w:t>
      </w:r>
    </w:p>
    <w:p>
      <w:pPr>
        <w:spacing w:after="0" w:line="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$464 million, or $1.54 per diluted share, $393 million, or $1.33 per diluted share, and $519 million, or $1.69 per diluted share, in 2020, 2019, and 2018, respectively.</w:t>
      </w:r>
    </w:p>
    <w:p>
      <w:pPr>
        <w:spacing w:after="0" w:line="21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As of July 3, 2020, the Company had varying amounts of federal and state NOL/tax credit carryforwards that do not expire or, if not used, expire in various years. Following is a summary of the Company’s federal and state NOL/tax credit carryforwards and the related expiration dates of these NOL/tax credit carryforwards: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NOL/Tax Credit</w:t>
            </w:r>
          </w:p>
        </w:tc>
        <w:tc>
          <w:tcPr>
            <w:tcW w:w="144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Carryforward</w:t>
            </w:r>
          </w:p>
        </w:tc>
        <w:tc>
          <w:tcPr>
            <w:tcW w:w="1440" w:type="dxa"/>
            <w:vAlign w:val="bottom"/>
          </w:tcPr>
          <w:p>
            <w:pPr>
              <w:spacing w:after="0"/>
              <w:rPr>
                <w:sz w:val="17"/>
                <w:szCs w:val="17"/>
                <w:color w:val="auto"/>
              </w:rPr>
            </w:pPr>
          </w:p>
        </w:tc>
      </w:tr>
      <w:tr>
        <w:trPr>
          <w:trHeight w:val="210"/>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Jurisdiction</w:t>
            </w:r>
          </w:p>
        </w:tc>
        <w:tc>
          <w:tcPr>
            <w:tcW w:w="29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Amount</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r>
      <w:tr>
        <w:trPr>
          <w:trHeight w:val="33"/>
        </w:trPr>
        <w:tc>
          <w:tcPr>
            <w:tcW w:w="54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5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i w:val="1"/>
                <w:iCs w:val="1"/>
                <w:color w:val="auto"/>
                <w:w w:val="98"/>
              </w:rPr>
              <w:t>(in millions)</w:t>
            </w:r>
          </w:p>
        </w:tc>
        <w:tc>
          <w:tcPr>
            <w:tcW w:w="1440" w:type="dxa"/>
            <w:vAlign w:val="bottom"/>
          </w:tcPr>
          <w:p>
            <w:pPr>
              <w:spacing w:after="0"/>
              <w:rPr>
                <w:sz w:val="18"/>
                <w:szCs w:val="18"/>
                <w:color w:val="auto"/>
              </w:rPr>
            </w:pPr>
          </w:p>
        </w:tc>
      </w:tr>
      <w:tr>
        <w:trPr>
          <w:trHeight w:val="33"/>
        </w:trPr>
        <w:tc>
          <w:tcPr>
            <w:tcW w:w="54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Federal NOL (Pre 2017 Act Generation)</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2021 to 2037</w:t>
            </w:r>
          </w:p>
        </w:tc>
      </w:tr>
      <w:tr>
        <w:trPr>
          <w:trHeight w:val="224"/>
        </w:trPr>
        <w:tc>
          <w:tcPr>
            <w:tcW w:w="5480" w:type="dxa"/>
            <w:vAlign w:val="bottom"/>
          </w:tcPr>
          <w:p>
            <w:pPr>
              <w:ind w:left="20"/>
              <w:spacing w:after="0"/>
              <w:rPr>
                <w:sz w:val="20"/>
                <w:szCs w:val="20"/>
                <w:color w:val="auto"/>
              </w:rPr>
            </w:pPr>
            <w:r>
              <w:rPr>
                <w:rFonts w:ascii="Arial" w:cs="Arial" w:eastAsia="Arial" w:hAnsi="Arial"/>
                <w:sz w:val="16"/>
                <w:szCs w:val="16"/>
                <w:color w:val="auto"/>
              </w:rPr>
              <w:t>Federal NOL (Post 2017 Act Generation)</w:t>
            </w:r>
          </w:p>
        </w:tc>
        <w:tc>
          <w:tcPr>
            <w:tcW w:w="29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center"/>
              <w:spacing w:after="0"/>
              <w:rPr>
                <w:sz w:val="20"/>
                <w:szCs w:val="20"/>
                <w:color w:val="auto"/>
              </w:rPr>
            </w:pPr>
            <w:r>
              <w:rPr>
                <w:rFonts w:ascii="Arial" w:cs="Arial" w:eastAsia="Arial" w:hAnsi="Arial"/>
                <w:sz w:val="16"/>
                <w:szCs w:val="16"/>
                <w:color w:val="auto"/>
                <w:w w:val="95"/>
              </w:rPr>
              <w:t>No expiration</w:t>
            </w:r>
          </w:p>
        </w:tc>
      </w:tr>
      <w:tr>
        <w:trPr>
          <w:trHeight w:val="33"/>
        </w:trPr>
        <w:tc>
          <w:tcPr>
            <w:tcW w:w="54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State NOL</w:t>
            </w:r>
          </w:p>
        </w:tc>
        <w:tc>
          <w:tcPr>
            <w:tcW w:w="29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2021 to 2038</w:t>
            </w:r>
          </w:p>
        </w:tc>
      </w:tr>
      <w:tr>
        <w:trPr>
          <w:trHeight w:val="223"/>
        </w:trPr>
        <w:tc>
          <w:tcPr>
            <w:tcW w:w="5480" w:type="dxa"/>
            <w:vAlign w:val="bottom"/>
          </w:tcPr>
          <w:p>
            <w:pPr>
              <w:ind w:left="20"/>
              <w:spacing w:after="0"/>
              <w:rPr>
                <w:sz w:val="20"/>
                <w:szCs w:val="20"/>
                <w:color w:val="auto"/>
              </w:rPr>
            </w:pPr>
            <w:r>
              <w:rPr>
                <w:rFonts w:ascii="Arial" w:cs="Arial" w:eastAsia="Arial" w:hAnsi="Arial"/>
                <w:sz w:val="16"/>
                <w:szCs w:val="16"/>
                <w:color w:val="auto"/>
              </w:rPr>
              <w:t>Federal tax credits</w:t>
            </w:r>
          </w:p>
        </w:tc>
        <w:tc>
          <w:tcPr>
            <w:tcW w:w="29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2021 to 2034</w:t>
            </w:r>
          </w:p>
        </w:tc>
      </w:tr>
      <w:tr>
        <w:trPr>
          <w:trHeight w:val="33"/>
        </w:trPr>
        <w:tc>
          <w:tcPr>
            <w:tcW w:w="54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tax credits</w:t>
            </w:r>
          </w:p>
        </w:tc>
        <w:tc>
          <w:tcPr>
            <w:tcW w:w="29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No expiration</w:t>
            </w:r>
          </w:p>
        </w:tc>
      </w:tr>
      <w:tr>
        <w:trPr>
          <w:trHeight w:val="33"/>
        </w:trPr>
        <w:tc>
          <w:tcPr>
            <w:tcW w:w="548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federal and state NOLs and credits relating to various acquisitions are subject to limitations under Sections 382 and 383 of the Internal Revenue Code. The Company expects the total amount of federal and state NOLs ultimately realized will be reduced as a result of these provisions by $128 million and $349 million, respectively. The Company expects the total amount of federal and state credits ultimately realized will be reduced as a result of these provisions by $27 million and $2 million, respectively.</w:t>
      </w:r>
    </w:p>
    <w:p>
      <w:pPr>
        <w:spacing w:after="0" w:line="21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As of July 3, 2020, the Company had varying amounts of foreign NOL carryforwards that do not expire or, if not used, expire in various years, depending on the country. The major jurisdictions that the Company receives foreign NOL carryforwards and the related amounts and expiration dates of these NOL carryforwards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Jurisdiction</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NOL Carryforward</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8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8"/>
              </w:rPr>
              <w:t>(in millions)</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Malaysia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2025 to 2027</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Japan</w:t>
            </w:r>
          </w:p>
        </w:tc>
        <w:tc>
          <w:tcPr>
            <w:tcW w:w="12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2023 to 2026</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Belgium</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No expiration</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China</w:t>
            </w:r>
          </w:p>
        </w:tc>
        <w:tc>
          <w:tcPr>
            <w:tcW w:w="12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2022 to 2025</w:t>
            </w:r>
          </w:p>
        </w:tc>
        <w:tc>
          <w:tcPr>
            <w:tcW w:w="0" w:type="dxa"/>
            <w:vAlign w:val="bottom"/>
          </w:tcPr>
          <w:p>
            <w:pPr>
              <w:spacing w:after="0"/>
              <w:rPr>
                <w:sz w:val="1"/>
                <w:szCs w:val="1"/>
                <w:color w:val="auto"/>
              </w:rPr>
            </w:pPr>
          </w:p>
        </w:tc>
      </w:tr>
      <w:tr>
        <w:trPr>
          <w:trHeight w:val="33"/>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Spain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No expiration</w:t>
            </w:r>
          </w:p>
        </w:tc>
        <w:tc>
          <w:tcPr>
            <w:tcW w:w="0" w:type="dxa"/>
            <w:vAlign w:val="bottom"/>
          </w:tcPr>
          <w:p>
            <w:pPr>
              <w:spacing w:after="0"/>
              <w:rPr>
                <w:sz w:val="1"/>
                <w:szCs w:val="1"/>
                <w:color w:val="auto"/>
              </w:rPr>
            </w:pPr>
          </w:p>
        </w:tc>
      </w:tr>
      <w:tr>
        <w:trPr>
          <w:trHeight w:val="33"/>
        </w:trPr>
        <w:tc>
          <w:tcPr>
            <w:tcW w:w="8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Uncertain Tax Positions</w:t>
      </w:r>
    </w:p>
    <w:p>
      <w:pPr>
        <w:spacing w:after="0" w:line="25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With the exception of certain unrecognized tax benefits that are directly associated with the tax position taken, unrecognized tax benefits are presented gross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tabular reconciliation of the total amounts of unrecognized tax benefits excluding accrued interest and penalties: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6"/>
        </w:trPr>
        <w:tc>
          <w:tcPr>
            <w:tcW w:w="6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 beginning balance</w:t>
            </w:r>
          </w:p>
        </w:tc>
        <w:tc>
          <w:tcPr>
            <w:tcW w:w="980" w:type="dxa"/>
            <w:vAlign w:val="bottom"/>
            <w:tcBorders>
              <w:bottom w:val="single" w:sz="8" w:color="CCEEFF"/>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223"/>
        </w:trPr>
        <w:tc>
          <w:tcPr>
            <w:tcW w:w="6700" w:type="dxa"/>
            <w:vAlign w:val="bottom"/>
          </w:tcPr>
          <w:p>
            <w:pPr>
              <w:ind w:left="220"/>
              <w:spacing w:after="0"/>
              <w:rPr>
                <w:sz w:val="20"/>
                <w:szCs w:val="20"/>
                <w:color w:val="auto"/>
              </w:rPr>
            </w:pPr>
            <w:r>
              <w:rPr>
                <w:rFonts w:ascii="Arial" w:cs="Arial" w:eastAsia="Arial" w:hAnsi="Arial"/>
                <w:sz w:val="16"/>
                <w:szCs w:val="16"/>
                <w:color w:val="auto"/>
              </w:rPr>
              <w:t>Gross increases related to current year tax positions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6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Gross increases related to prior year tax positions</w:t>
            </w: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24"/>
        </w:trPr>
        <w:tc>
          <w:tcPr>
            <w:tcW w:w="6700" w:type="dxa"/>
            <w:vAlign w:val="bottom"/>
          </w:tcPr>
          <w:p>
            <w:pPr>
              <w:ind w:left="220"/>
              <w:spacing w:after="0"/>
              <w:rPr>
                <w:sz w:val="20"/>
                <w:szCs w:val="20"/>
                <w:color w:val="auto"/>
              </w:rPr>
            </w:pPr>
            <w:r>
              <w:rPr>
                <w:rFonts w:ascii="Arial" w:cs="Arial" w:eastAsia="Arial" w:hAnsi="Arial"/>
                <w:sz w:val="16"/>
                <w:szCs w:val="16"/>
                <w:color w:val="auto"/>
              </w:rPr>
              <w:t>Gross decreases related to prior year tax positions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6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Settlements</w:t>
            </w: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23"/>
        </w:trPr>
        <w:tc>
          <w:tcPr>
            <w:tcW w:w="6700" w:type="dxa"/>
            <w:vAlign w:val="bottom"/>
          </w:tcPr>
          <w:p>
            <w:pPr>
              <w:ind w:left="220"/>
              <w:spacing w:after="0"/>
              <w:rPr>
                <w:sz w:val="20"/>
                <w:szCs w:val="20"/>
                <w:color w:val="auto"/>
              </w:rPr>
            </w:pPr>
            <w:r>
              <w:rPr>
                <w:rFonts w:ascii="Arial" w:cs="Arial" w:eastAsia="Arial" w:hAnsi="Arial"/>
                <w:sz w:val="16"/>
                <w:szCs w:val="16"/>
                <w:color w:val="auto"/>
              </w:rPr>
              <w:t>Lapse of statute of limitations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6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Acquisitions</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700" w:type="dxa"/>
            <w:vAlign w:val="bottom"/>
          </w:tcPr>
          <w:p>
            <w:pPr>
              <w:ind w:left="20"/>
              <w:spacing w:after="0"/>
              <w:rPr>
                <w:sz w:val="20"/>
                <w:szCs w:val="20"/>
                <w:color w:val="auto"/>
              </w:rPr>
            </w:pPr>
            <w:r>
              <w:rPr>
                <w:rFonts w:ascii="Arial" w:cs="Arial" w:eastAsia="Arial" w:hAnsi="Arial"/>
                <w:sz w:val="16"/>
                <w:szCs w:val="16"/>
                <w:color w:val="auto"/>
              </w:rPr>
              <w:t>Unrecognized tax benefit, ending balance</w:t>
            </w:r>
          </w:p>
        </w:tc>
        <w:tc>
          <w:tcPr>
            <w:tcW w:w="980" w:type="dxa"/>
            <w:vAlign w:val="bottom"/>
            <w:tcBorders>
              <w:top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w:t>
            </w:r>
          </w:p>
        </w:tc>
      </w:tr>
      <w:tr>
        <w:trPr>
          <w:trHeight w:val="33"/>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6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July 3, 2020, June 28, 2019 and June 29, 2018 was $137 million, $123 million and $110 million, respectively. Included within long-term liabilities in the Consolidated Balance Sheets are the Company’s payables related to unrecognized tax benefits, including accrued interest and penalties, of $720 million, $699 million, and $508 million as of July 3, 2020, June 28, 2019 and June 29, 2018, respectively. The entire balance of the gross unrecognized tax benefits as of July 3, 2020, June 28, 2019 and June 29, 2018, if recognized, would affect the effective tax rate.</w:t>
      </w:r>
    </w:p>
    <w:p>
      <w:pPr>
        <w:spacing w:after="0" w:line="20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 files U.S. Federal, U.S. state and foreign tax returns. For both federal and state tax returns, with few exceptions, the Company is subject to examination for fiscal years 2013 through 2019. The Company is no longer subject to examination by the IRS for periods prior to 2012, although carry forwards generated prior to those periods may still be adjusted upon examination by the IRS or state taxing authority if they either have been or will be used in a subsequent period. In the major foreign jurisdictions where there is no tax holiday, the Company could be subject to examination in China for calendar years 2010 through 2019, in Ireland for calendar year 2014 through fiscal year 2019, in India for fiscal years 2008 through 2019, in Israel for calendar year 2015 through fiscal year 2019 and in Japan for fiscal years 2013 through 2019.</w:t>
      </w:r>
    </w:p>
    <w:p>
      <w:pPr>
        <w:spacing w:after="0" w:line="20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IRS previously completed its field examination of the Company’s federal income tax returns for fiscal years 2008 through 2012 and proposed certain adjustments. As previously disclosed, the Company received Revenue Agent Reports from the IRS for fiscal years 2008 through 2009, proposing adjustments relating to transfer pricing with the Company’s foreign subsidiaries and intercompany payable balances. The Company disagrees with the proposed adjustments and in September 2015 filed a protest with the IRS Appeals Office and received the IRS rebuttal in July 2016. The Company and the IRS Appeals Office did not reach a settlement on the disputed matters. On June 28, 2018, the IRS issued a statutory notice of deficiency with respect to the disputed matters for fiscal years 2008 through 2009, seeking to increase the Company’s U.S. taxable income by an amount that would result in additional federal tax through fiscal year 2009 totaling approximately $516 million, subject to interest and penalties. The Company filed a petition with the U.S. Tax Court in September 2018. On December 10, 2018, the IRS issued a statutory notice of deficiency with respect to fiscal years 2010 through 2012, seeking to increase the Company’s U.S. taxable income by an amount that would result in additional federal tax for fiscal years 2010 through 2012 totaling approximately $549 million, subject to interest and penalties. Approximately $535 million of the total additional federal tax for fiscal years 2010 through 2012 relates to proposed adjustments for transfer pricing with the Company’s foreign subsidiaries, intercompany payable balances and the utilization of certain tax attributes. The Company filed a petition with the U.S. Tax Court in March 2019. The U.S. Tax Court consolidated the case for fiscal years 2008 through 2009 with the case for fiscal years 2010 through 2012. On May 4, 2020, the IRS filed with the U.S. Tax Court Amendments to Answer to assert penalties totaling $340 million on the proposed adjustments relating to transfer pricing with respect to fiscal years 2008 through 2009 and fiscal years 2010 through 2012. The Company continues to believe that its tax positions are properly supported and will vigorously contest the position taken by the IRS.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July 3, 2020,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Income (Loss) Per Common Share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100" w:type="dxa"/>
            <w:vAlign w:val="bottom"/>
            <w:gridSpan w:val="6"/>
          </w:tcPr>
          <w:p>
            <w:pPr>
              <w:ind w:left="480"/>
              <w:spacing w:after="0"/>
              <w:rPr>
                <w:sz w:val="20"/>
                <w:szCs w:val="20"/>
                <w:color w:val="auto"/>
              </w:rPr>
            </w:pPr>
            <w:r>
              <w:rPr>
                <w:rFonts w:ascii="Arial" w:cs="Arial" w:eastAsia="Arial" w:hAnsi="Arial"/>
                <w:sz w:val="14"/>
                <w:szCs w:val="14"/>
                <w:i w:val="1"/>
                <w:iCs w:val="1"/>
                <w:color w:val="auto"/>
              </w:rPr>
              <w:t>(in millions, except per share data)</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2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7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24"/>
        </w:trPr>
        <w:tc>
          <w:tcPr>
            <w:tcW w:w="6700" w:type="dxa"/>
            <w:vAlign w:val="bottom"/>
          </w:tcPr>
          <w:p>
            <w:pPr>
              <w:ind w:left="120"/>
              <w:spacing w:after="0"/>
              <w:rPr>
                <w:sz w:val="20"/>
                <w:szCs w:val="20"/>
                <w:color w:val="auto"/>
              </w:rPr>
            </w:pPr>
            <w:r>
              <w:rPr>
                <w:rFonts w:ascii="Arial" w:cs="Arial" w:eastAsia="Arial" w:hAnsi="Arial"/>
                <w:sz w:val="16"/>
                <w:szCs w:val="16"/>
                <w:color w:val="auto"/>
              </w:rPr>
              <w:t>Employee stock options, RSUs, PSUs and ESPP</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6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(loss) per common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7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tcPr>
          <w:p>
            <w:pPr>
              <w:ind w:left="1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Anti-dilutive potential common shares excluded</w:t>
            </w:r>
          </w:p>
        </w:tc>
        <w:tc>
          <w:tcPr>
            <w:tcW w:w="9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Company computes basic income (loss) per common share using Net income (loss) and the Weighted average number of common shares outstanding during the period. Diluted income (loss) per common share is computed using Net income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2018, the Company excluded common shares subject to outstanding equity awards from the calculation of diluted shares because their impact would have been anti-dilutive based on the Company’s average stock price during the period. For 2020 and 2019, the Company recorded net loss, and all shares subject to outstanding equity awards have been excluded for those periods because including them would be anti-dilutive.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Termination, Asset Impairment and Other Charges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the following charges related to employee terminations benefits, asset impairment, and other charges: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196"/>
        </w:trPr>
        <w:tc>
          <w:tcPr>
            <w:tcW w:w="6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termination and other charges:</w:t>
            </w: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4"/>
        </w:trPr>
        <w:tc>
          <w:tcPr>
            <w:tcW w:w="6700" w:type="dxa"/>
            <w:vAlign w:val="bottom"/>
          </w:tcPr>
          <w:p>
            <w:pPr>
              <w:ind w:left="120"/>
              <w:spacing w:after="0"/>
              <w:rPr>
                <w:sz w:val="20"/>
                <w:szCs w:val="20"/>
                <w:color w:val="auto"/>
              </w:rPr>
            </w:pPr>
            <w:r>
              <w:rPr>
                <w:rFonts w:ascii="Arial" w:cs="Arial" w:eastAsia="Arial" w:hAnsi="Arial"/>
                <w:sz w:val="16"/>
                <w:szCs w:val="16"/>
                <w:color w:val="auto"/>
              </w:rPr>
              <w:t>Closure of Foreign Manufacturing Facilities</w:t>
            </w: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6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Business Realignment</w:t>
            </w: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6700" w:type="dxa"/>
            <w:vAlign w:val="bottom"/>
          </w:tcPr>
          <w:p>
            <w:pPr>
              <w:ind w:left="120"/>
              <w:spacing w:after="0"/>
              <w:rPr>
                <w:sz w:val="20"/>
                <w:szCs w:val="20"/>
                <w:color w:val="auto"/>
              </w:rPr>
            </w:pPr>
            <w:r>
              <w:rPr>
                <w:rFonts w:ascii="Arial" w:cs="Arial" w:eastAsia="Arial" w:hAnsi="Arial"/>
                <w:sz w:val="16"/>
                <w:szCs w:val="16"/>
                <w:color w:val="auto"/>
              </w:rPr>
              <w:t>Restructuring Plan 2016</w:t>
            </w:r>
          </w:p>
        </w:tc>
        <w:tc>
          <w:tcPr>
            <w:tcW w:w="100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6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employee termination and other charges</w:t>
            </w: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23"/>
        </w:trPr>
        <w:tc>
          <w:tcPr>
            <w:tcW w:w="6700" w:type="dxa"/>
            <w:vAlign w:val="bottom"/>
          </w:tcPr>
          <w:p>
            <w:pPr>
              <w:ind w:left="20"/>
              <w:spacing w:after="0"/>
              <w:rPr>
                <w:sz w:val="20"/>
                <w:szCs w:val="20"/>
                <w:color w:val="auto"/>
              </w:rPr>
            </w:pPr>
            <w:r>
              <w:rPr>
                <w:rFonts w:ascii="Arial" w:cs="Arial" w:eastAsia="Arial" w:hAnsi="Arial"/>
                <w:sz w:val="16"/>
                <w:szCs w:val="16"/>
                <w:color w:val="auto"/>
              </w:rPr>
              <w:t>Asset impairment:</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6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Restructuring Plan 2016</w:t>
            </w: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6700" w:type="dxa"/>
            <w:vAlign w:val="bottom"/>
          </w:tcPr>
          <w:p>
            <w:pPr>
              <w:ind w:left="220"/>
              <w:spacing w:after="0"/>
              <w:rPr>
                <w:sz w:val="20"/>
                <w:szCs w:val="20"/>
                <w:color w:val="auto"/>
              </w:rPr>
            </w:pPr>
            <w:r>
              <w:rPr>
                <w:rFonts w:ascii="Arial" w:cs="Arial" w:eastAsia="Arial" w:hAnsi="Arial"/>
                <w:sz w:val="16"/>
                <w:szCs w:val="16"/>
                <w:color w:val="auto"/>
              </w:rPr>
              <w:t>Total asset impairment</w:t>
            </w:r>
          </w:p>
        </w:tc>
        <w:tc>
          <w:tcPr>
            <w:tcW w:w="10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6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accelerations and adjustments:</w:t>
            </w: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6700" w:type="dxa"/>
            <w:vAlign w:val="bottom"/>
          </w:tcPr>
          <w:p>
            <w:pPr>
              <w:ind w:left="120"/>
              <w:spacing w:after="0"/>
              <w:rPr>
                <w:sz w:val="20"/>
                <w:szCs w:val="20"/>
                <w:color w:val="auto"/>
              </w:rPr>
            </w:pPr>
            <w:r>
              <w:rPr>
                <w:rFonts w:ascii="Arial" w:cs="Arial" w:eastAsia="Arial" w:hAnsi="Arial"/>
                <w:sz w:val="16"/>
                <w:szCs w:val="16"/>
                <w:color w:val="auto"/>
              </w:rPr>
              <w:t>Business Realignment</w:t>
            </w:r>
          </w:p>
        </w:tc>
        <w:tc>
          <w:tcPr>
            <w:tcW w:w="10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6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stock-based compensation accelerations and adjustments</w:t>
            </w: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3"/>
        </w:trPr>
        <w:tc>
          <w:tcPr>
            <w:tcW w:w="6700" w:type="dxa"/>
            <w:vAlign w:val="bottom"/>
          </w:tcPr>
          <w:p>
            <w:pPr>
              <w:ind w:left="20"/>
              <w:spacing w:after="0"/>
              <w:rPr>
                <w:sz w:val="20"/>
                <w:szCs w:val="20"/>
                <w:color w:val="auto"/>
              </w:rPr>
            </w:pPr>
            <w:r>
              <w:rPr>
                <w:rFonts w:ascii="Arial" w:cs="Arial" w:eastAsia="Arial" w:hAnsi="Arial"/>
                <w:sz w:val="16"/>
                <w:szCs w:val="16"/>
                <w:color w:val="auto"/>
              </w:rPr>
              <w:t>Gain on disposition of assets:</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6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Business Realignment</w:t>
            </w:r>
          </w:p>
        </w:tc>
        <w:tc>
          <w:tcPr>
            <w:tcW w:w="10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700" w:type="dxa"/>
            <w:vAlign w:val="bottom"/>
          </w:tcPr>
          <w:p>
            <w:pPr>
              <w:ind w:left="220"/>
              <w:spacing w:after="0"/>
              <w:rPr>
                <w:sz w:val="20"/>
                <w:szCs w:val="20"/>
                <w:color w:val="auto"/>
              </w:rPr>
            </w:pPr>
            <w:r>
              <w:rPr>
                <w:rFonts w:ascii="Arial" w:cs="Arial" w:eastAsia="Arial" w:hAnsi="Arial"/>
                <w:sz w:val="16"/>
                <w:szCs w:val="16"/>
                <w:color w:val="auto"/>
              </w:rPr>
              <w:t>Total gain on disposition of assets</w:t>
            </w:r>
          </w:p>
        </w:tc>
        <w:tc>
          <w:tcPr>
            <w:tcW w:w="10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2"/>
        </w:trPr>
        <w:tc>
          <w:tcPr>
            <w:tcW w:w="6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employee termination, asset impairment, and other charges</w:t>
            </w:r>
          </w:p>
        </w:tc>
        <w:tc>
          <w:tcPr>
            <w:tcW w:w="100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Closure of Foreign Manufacturing Facilities</w:t>
      </w:r>
    </w:p>
    <w:p>
      <w:pPr>
        <w:spacing w:after="0" w:line="25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July 2018, the Company announced the closing of its HDD manufacturing facility in Kuala Lumpur, Malaysia, in order to reduce its manufacturing costs and consolidate HDD operations into Thailand. The Company substantially completed the closure in fiscal year 2019.</w:t>
      </w:r>
    </w:p>
    <w:p>
      <w:pPr>
        <w:spacing w:after="0" w:line="19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presents an analysis of the components of the restructuring charges, payments and adjustments made against the reserve during the year ended July 3,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Employee Termination</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Contract Termination</w:t>
            </w:r>
          </w:p>
        </w:tc>
        <w:tc>
          <w:tcPr>
            <w:tcW w:w="320" w:type="dxa"/>
            <w:vAlign w:val="bottom"/>
          </w:tcPr>
          <w:p>
            <w:pPr>
              <w:spacing w:after="0"/>
              <w:rPr>
                <w:sz w:val="14"/>
                <w:szCs w:val="14"/>
                <w:color w:val="auto"/>
              </w:rPr>
            </w:pPr>
          </w:p>
        </w:tc>
        <w:tc>
          <w:tcPr>
            <w:tcW w:w="112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and Other</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Accrual balance at June 28, 2019</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4"/>
        </w:trPr>
        <w:tc>
          <w:tcPr>
            <w:tcW w:w="6600" w:type="dxa"/>
            <w:vAlign w:val="bottom"/>
          </w:tcPr>
          <w:p>
            <w:pPr>
              <w:ind w:left="100"/>
              <w:spacing w:after="0"/>
              <w:rPr>
                <w:sz w:val="20"/>
                <w:szCs w:val="20"/>
                <w:color w:val="auto"/>
              </w:rPr>
            </w:pPr>
            <w:r>
              <w:rPr>
                <w:rFonts w:ascii="Arial" w:cs="Arial" w:eastAsia="Arial" w:hAnsi="Arial"/>
                <w:sz w:val="16"/>
                <w:szCs w:val="16"/>
                <w:color w:val="auto"/>
              </w:rPr>
              <w:t>Charges</w:t>
            </w:r>
          </w:p>
        </w:tc>
        <w:tc>
          <w:tcPr>
            <w:tcW w:w="3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payments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47"/>
        </w:trPr>
        <w:tc>
          <w:tcPr>
            <w:tcW w:w="6600" w:type="dxa"/>
            <w:vAlign w:val="bottom"/>
          </w:tcPr>
          <w:p>
            <w:pPr>
              <w:spacing w:after="0"/>
              <w:rPr>
                <w:sz w:val="20"/>
                <w:szCs w:val="20"/>
                <w:color w:val="auto"/>
              </w:rPr>
            </w:pPr>
            <w:r>
              <w:rPr>
                <w:rFonts w:ascii="Arial" w:cs="Arial" w:eastAsia="Arial" w:hAnsi="Arial"/>
                <w:sz w:val="16"/>
                <w:szCs w:val="16"/>
                <w:color w:val="auto"/>
              </w:rPr>
              <w:t>Accrual balance at July 3, 2020</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5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 In addition to the amounts recognized under Business Realignment as presented above, the Company recognized $5 million of accelerated depreciation on facility assets in Cost of revenue and Operating expenses in the Consolidated Statements of Operations for the year ended July 3, 2020.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analysis of the components of the activity against the reserve during the year ended July 3, 2020:</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Employee Termination</w:t>
            </w: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Contract Termination</w:t>
            </w:r>
          </w:p>
        </w:tc>
        <w:tc>
          <w:tcPr>
            <w:tcW w:w="320" w:type="dxa"/>
            <w:vAlign w:val="bottom"/>
          </w:tcPr>
          <w:p>
            <w:pPr>
              <w:spacing w:after="0"/>
              <w:rPr>
                <w:sz w:val="14"/>
                <w:szCs w:val="14"/>
                <w:color w:val="auto"/>
              </w:rPr>
            </w:pPr>
          </w:p>
        </w:tc>
        <w:tc>
          <w:tcPr>
            <w:tcW w:w="11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and Other</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Accrual balance at June 28, 2019</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center"/>
              <w:ind w:left="761"/>
              <w:spacing w:after="0"/>
              <w:rPr>
                <w:sz w:val="20"/>
                <w:szCs w:val="20"/>
                <w:color w:val="auto"/>
              </w:rPr>
            </w:pPr>
            <w:r>
              <w:rPr>
                <w:rFonts w:ascii="Arial" w:cs="Arial" w:eastAsia="Arial" w:hAnsi="Arial"/>
                <w:sz w:val="16"/>
                <w:szCs w:val="16"/>
                <w:color w:val="auto"/>
                <w:w w:val="89"/>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center"/>
              <w:ind w:left="721"/>
              <w:spacing w:after="0"/>
              <w:rPr>
                <w:sz w:val="20"/>
                <w:szCs w:val="20"/>
                <w:color w:val="auto"/>
              </w:rPr>
            </w:pPr>
            <w:r>
              <w:rPr>
                <w:rFonts w:ascii="Arial" w:cs="Arial" w:eastAsia="Arial" w:hAnsi="Arial"/>
                <w:sz w:val="16"/>
                <w:szCs w:val="16"/>
                <w:color w:val="auto"/>
                <w:w w:val="89"/>
              </w:rPr>
              <w:t>45</w:t>
            </w:r>
          </w:p>
        </w:tc>
        <w:tc>
          <w:tcPr>
            <w:tcW w:w="0" w:type="dxa"/>
            <w:vAlign w:val="bottom"/>
          </w:tcPr>
          <w:p>
            <w:pPr>
              <w:spacing w:after="0"/>
              <w:rPr>
                <w:sz w:val="1"/>
                <w:szCs w:val="1"/>
                <w:color w:val="auto"/>
              </w:rPr>
            </w:pPr>
          </w:p>
        </w:tc>
      </w:tr>
      <w:tr>
        <w:trPr>
          <w:trHeight w:val="224"/>
        </w:trPr>
        <w:tc>
          <w:tcPr>
            <w:tcW w:w="6620" w:type="dxa"/>
            <w:vAlign w:val="bottom"/>
          </w:tcPr>
          <w:p>
            <w:pPr>
              <w:ind w:left="120"/>
              <w:spacing w:after="0"/>
              <w:rPr>
                <w:sz w:val="20"/>
                <w:szCs w:val="20"/>
                <w:color w:val="auto"/>
              </w:rPr>
            </w:pPr>
            <w:r>
              <w:rPr>
                <w:rFonts w:ascii="Arial" w:cs="Arial" w:eastAsia="Arial" w:hAnsi="Arial"/>
                <w:sz w:val="16"/>
                <w:szCs w:val="16"/>
                <w:color w:val="auto"/>
              </w:rPr>
              <w:t>Charges</w:t>
            </w:r>
          </w:p>
        </w:tc>
        <w:tc>
          <w:tcPr>
            <w:tcW w:w="300" w:type="dxa"/>
            <w:vAlign w:val="bottom"/>
          </w:tcPr>
          <w:p>
            <w:pPr>
              <w:spacing w:after="0"/>
              <w:rPr>
                <w:sz w:val="19"/>
                <w:szCs w:val="19"/>
                <w:color w:val="auto"/>
              </w:rPr>
            </w:pPr>
          </w:p>
        </w:tc>
        <w:tc>
          <w:tcPr>
            <w:tcW w:w="1160" w:type="dxa"/>
            <w:vAlign w:val="bottom"/>
          </w:tcPr>
          <w:p>
            <w:pPr>
              <w:jc w:val="center"/>
              <w:ind w:left="761"/>
              <w:spacing w:after="0"/>
              <w:rPr>
                <w:sz w:val="20"/>
                <w:szCs w:val="20"/>
                <w:color w:val="auto"/>
              </w:rPr>
            </w:pPr>
            <w:r>
              <w:rPr>
                <w:rFonts w:ascii="Arial" w:cs="Arial" w:eastAsia="Arial" w:hAnsi="Arial"/>
                <w:sz w:val="16"/>
                <w:szCs w:val="16"/>
                <w:color w:val="auto"/>
                <w:w w:val="89"/>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721"/>
              <w:spacing w:after="0"/>
              <w:rPr>
                <w:sz w:val="20"/>
                <w:szCs w:val="20"/>
                <w:color w:val="auto"/>
              </w:rPr>
            </w:pPr>
            <w:r>
              <w:rPr>
                <w:rFonts w:ascii="Arial" w:cs="Arial" w:eastAsia="Arial" w:hAnsi="Arial"/>
                <w:sz w:val="16"/>
                <w:szCs w:val="16"/>
                <w:color w:val="auto"/>
                <w:w w:val="89"/>
              </w:rPr>
              <w:t>44</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payments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ind w:left="741"/>
              <w:spacing w:after="0"/>
              <w:rPr>
                <w:sz w:val="20"/>
                <w:szCs w:val="20"/>
                <w:color w:val="auto"/>
              </w:rPr>
            </w:pPr>
            <w:r>
              <w:rPr>
                <w:rFonts w:ascii="Arial" w:cs="Arial" w:eastAsia="Arial" w:hAnsi="Arial"/>
                <w:sz w:val="16"/>
                <w:szCs w:val="16"/>
                <w:color w:val="auto"/>
                <w:w w:val="91"/>
              </w:rPr>
              <w:t>(62)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ind w:left="681"/>
              <w:spacing w:after="0"/>
              <w:rPr>
                <w:sz w:val="20"/>
                <w:szCs w:val="20"/>
                <w:color w:val="auto"/>
              </w:rPr>
            </w:pPr>
            <w:r>
              <w:rPr>
                <w:rFonts w:ascii="Arial" w:cs="Arial" w:eastAsia="Arial" w:hAnsi="Arial"/>
                <w:sz w:val="16"/>
                <w:szCs w:val="16"/>
                <w:color w:val="auto"/>
                <w:w w:val="98"/>
              </w:rPr>
              <w:t>(76)</w:t>
            </w:r>
          </w:p>
        </w:tc>
        <w:tc>
          <w:tcPr>
            <w:tcW w:w="0" w:type="dxa"/>
            <w:vAlign w:val="bottom"/>
          </w:tcPr>
          <w:p>
            <w:pPr>
              <w:spacing w:after="0"/>
              <w:rPr>
                <w:sz w:val="1"/>
                <w:szCs w:val="1"/>
                <w:color w:val="auto"/>
              </w:rPr>
            </w:pPr>
          </w:p>
        </w:tc>
      </w:tr>
      <w:tr>
        <w:trPr>
          <w:trHeight w:val="247"/>
        </w:trPr>
        <w:tc>
          <w:tcPr>
            <w:tcW w:w="6620" w:type="dxa"/>
            <w:vAlign w:val="bottom"/>
          </w:tcPr>
          <w:p>
            <w:pPr>
              <w:ind w:left="20"/>
              <w:spacing w:after="0"/>
              <w:rPr>
                <w:sz w:val="20"/>
                <w:szCs w:val="20"/>
                <w:color w:val="auto"/>
              </w:rPr>
            </w:pPr>
            <w:r>
              <w:rPr>
                <w:rFonts w:ascii="Arial" w:cs="Arial" w:eastAsia="Arial" w:hAnsi="Arial"/>
                <w:sz w:val="16"/>
                <w:szCs w:val="16"/>
                <w:color w:val="auto"/>
              </w:rPr>
              <w:t>Accrual balance at July 3, 2020</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center"/>
              <w:ind w:left="761"/>
              <w:spacing w:after="0"/>
              <w:rPr>
                <w:sz w:val="20"/>
                <w:szCs w:val="20"/>
                <w:color w:val="auto"/>
              </w:rPr>
            </w:pPr>
            <w:r>
              <w:rPr>
                <w:rFonts w:ascii="Arial" w:cs="Arial" w:eastAsia="Arial" w:hAnsi="Arial"/>
                <w:sz w:val="16"/>
                <w:szCs w:val="16"/>
                <w:color w:val="auto"/>
                <w:w w:val="89"/>
              </w:rPr>
              <w:t>13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center"/>
              <w:ind w:left="721"/>
              <w:spacing w:after="0"/>
              <w:rPr>
                <w:sz w:val="20"/>
                <w:szCs w:val="20"/>
                <w:color w:val="auto"/>
              </w:rPr>
            </w:pPr>
            <w:r>
              <w:rPr>
                <w:rFonts w:ascii="Arial" w:cs="Arial" w:eastAsia="Arial" w:hAnsi="Arial"/>
                <w:sz w:val="16"/>
                <w:szCs w:val="16"/>
                <w:color w:val="auto"/>
                <w:w w:val="89"/>
              </w:rPr>
              <w:t>13</w:t>
            </w: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 Plan 2016</w:t>
      </w:r>
    </w:p>
    <w:p>
      <w:pPr>
        <w:spacing w:after="0" w:line="25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2016, the Company initiated a set of actions relating to the restructuring plan associated with the integration of substantial portions of its HGST and WD subsidiaries (“Restructuring Plan 2016”). Restructuring Plan 2016 consisted of asset and footprint reductions, product road map consolidation and organization rationalization. These actions were substantially completed in fiscal year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Legal Proceedings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w:t>
      </w:r>
    </w:p>
    <w:p>
      <w:pPr>
        <w:spacing w:after="0" w:line="25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 xml:space="preserve">For disclosures regarding statutory notices of deficiency issued by the IRS on June 28, 2018 and December 10, 2018, and petitions filed by the Company with the U.S. Tax Court in September 2018 and March 2019, see Note 13, </w:t>
      </w:r>
      <w:r>
        <w:rPr>
          <w:rFonts w:ascii="Arial" w:cs="Arial" w:eastAsia="Arial" w:hAnsi="Arial"/>
          <w:sz w:val="18"/>
          <w:szCs w:val="18"/>
          <w:i w:val="1"/>
          <w:iCs w:val="1"/>
          <w:color w:val="auto"/>
        </w:rPr>
        <w:t>Income Tax Expense.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Quarterly Results of Operations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First</w:t>
            </w: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Second</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Third</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Fourth</w:t>
            </w:r>
          </w:p>
        </w:tc>
      </w:tr>
      <w:tr>
        <w:trPr>
          <w:trHeight w:val="196"/>
        </w:trPr>
        <w:tc>
          <w:tcPr>
            <w:tcW w:w="5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3"/>
          </w:tcPr>
          <w:p>
            <w:pPr>
              <w:jc w:val="right"/>
              <w:ind w:right="313"/>
              <w:spacing w:after="0"/>
              <w:rPr>
                <w:sz w:val="20"/>
                <w:szCs w:val="20"/>
                <w:color w:val="auto"/>
              </w:rPr>
            </w:pPr>
            <w:r>
              <w:rPr>
                <w:rFonts w:ascii="Arial" w:cs="Arial" w:eastAsia="Arial" w:hAnsi="Arial"/>
                <w:sz w:val="14"/>
                <w:szCs w:val="14"/>
                <w:i w:val="1"/>
                <w:iCs w:val="1"/>
                <w:color w:val="auto"/>
                <w:w w:val="98"/>
              </w:rPr>
              <w:t>(in millions, except per share amounts)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6"/>
                <w:szCs w:val="16"/>
                <w:color w:val="auto"/>
              </w:rPr>
              <w:t>Revenue, net</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4,040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4,234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4,175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4,287</w:t>
            </w:r>
          </w:p>
        </w:tc>
      </w:tr>
      <w:tr>
        <w:trPr>
          <w:trHeight w:val="27"/>
        </w:trPr>
        <w:tc>
          <w:tcPr>
            <w:tcW w:w="5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935</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r>
      <w:tr>
        <w:trPr>
          <w:trHeight w:val="243"/>
        </w:trPr>
        <w:tc>
          <w:tcPr>
            <w:tcW w:w="518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5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5180" w:type="dxa"/>
            <w:vAlign w:val="bottom"/>
          </w:tcPr>
          <w:p>
            <w:pPr>
              <w:ind w:left="20"/>
              <w:spacing w:after="0"/>
              <w:rPr>
                <w:sz w:val="20"/>
                <w:szCs w:val="20"/>
                <w:color w:val="auto"/>
              </w:rPr>
            </w:pPr>
            <w:r>
              <w:rPr>
                <w:rFonts w:ascii="Arial" w:cs="Arial" w:eastAsia="Arial" w:hAnsi="Arial"/>
                <w:sz w:val="16"/>
                <w:szCs w:val="16"/>
                <w:color w:val="auto"/>
              </w:rPr>
              <w:t>Basic income (loss) per common share</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(0.93)</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(0.47)</w:t>
            </w: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0.06</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7"/>
        </w:trPr>
        <w:tc>
          <w:tcPr>
            <w:tcW w:w="5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income (loss) per common share</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(0.93)</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0.06</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575"/>
        </w:trPr>
        <w:tc>
          <w:tcPr>
            <w:tcW w:w="51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First</w:t>
            </w: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Second</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Third</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Fourth</w:t>
            </w:r>
          </w:p>
        </w:tc>
      </w:tr>
      <w:tr>
        <w:trPr>
          <w:trHeight w:val="196"/>
        </w:trPr>
        <w:tc>
          <w:tcPr>
            <w:tcW w:w="5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3"/>
          </w:tcPr>
          <w:p>
            <w:pPr>
              <w:jc w:val="right"/>
              <w:ind w:right="313"/>
              <w:spacing w:after="0"/>
              <w:rPr>
                <w:sz w:val="20"/>
                <w:szCs w:val="20"/>
                <w:color w:val="auto"/>
              </w:rPr>
            </w:pPr>
            <w:r>
              <w:rPr>
                <w:rFonts w:ascii="Arial" w:cs="Arial" w:eastAsia="Arial" w:hAnsi="Arial"/>
                <w:sz w:val="14"/>
                <w:szCs w:val="14"/>
                <w:i w:val="1"/>
                <w:iCs w:val="1"/>
                <w:color w:val="auto"/>
                <w:w w:val="98"/>
              </w:rPr>
              <w:t>(in millions, except per share amounts)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2019</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6"/>
                <w:szCs w:val="16"/>
                <w:color w:val="auto"/>
              </w:rPr>
              <w:t>Revenue, net</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5,028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4,233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3,674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3,634</w:t>
            </w:r>
          </w:p>
        </w:tc>
      </w:tr>
      <w:tr>
        <w:trPr>
          <w:trHeight w:val="27"/>
        </w:trPr>
        <w:tc>
          <w:tcPr>
            <w:tcW w:w="5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1,664</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1,044</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43"/>
        </w:trPr>
        <w:tc>
          <w:tcPr>
            <w:tcW w:w="518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9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686</w:t>
            </w:r>
          </w:p>
        </w:tc>
        <w:tc>
          <w:tcPr>
            <w:tcW w:w="30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7"/>
        </w:trPr>
        <w:tc>
          <w:tcPr>
            <w:tcW w:w="5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5180" w:type="dxa"/>
            <w:vAlign w:val="bottom"/>
          </w:tcPr>
          <w:p>
            <w:pPr>
              <w:ind w:left="20"/>
              <w:spacing w:after="0"/>
              <w:rPr>
                <w:sz w:val="20"/>
                <w:szCs w:val="20"/>
                <w:color w:val="auto"/>
              </w:rPr>
            </w:pPr>
            <w:r>
              <w:rPr>
                <w:rFonts w:ascii="Arial" w:cs="Arial" w:eastAsia="Arial" w:hAnsi="Arial"/>
                <w:sz w:val="16"/>
                <w:szCs w:val="16"/>
                <w:color w:val="auto"/>
              </w:rPr>
              <w:t>Basic income (loss) per common share</w:t>
            </w:r>
          </w:p>
        </w:tc>
        <w:tc>
          <w:tcPr>
            <w:tcW w:w="9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7"/>
        </w:trPr>
        <w:tc>
          <w:tcPr>
            <w:tcW w:w="5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income (loss) per common share</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7"/>
        </w:trPr>
        <w:tc>
          <w:tcPr>
            <w:tcW w:w="5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ind w:firstLine="324"/>
        <w:spacing w:after="0" w:line="220" w:lineRule="exact"/>
        <w:rPr>
          <w:sz w:val="20"/>
          <w:szCs w:val="20"/>
          <w:color w:val="auto"/>
        </w:rPr>
      </w:pPr>
      <w:r>
        <w:rPr>
          <w:rFonts w:ascii="Arial" w:cs="Arial" w:eastAsia="Arial" w:hAnsi="Arial"/>
          <w:sz w:val="18"/>
          <w:szCs w:val="18"/>
          <w:color w:val="auto"/>
        </w:rPr>
        <w:t>As required by SEC Rule 13a</w:t>
      </w:r>
      <w:r>
        <w:rPr>
          <w:rFonts w:ascii="MS PGothic" w:cs="MS PGothic" w:eastAsia="MS PGothic" w:hAnsi="MS PGothic"/>
          <w:sz w:val="18"/>
          <w:szCs w:val="18"/>
          <w:color w:val="auto"/>
        </w:rPr>
        <w:t>‑</w:t>
      </w:r>
      <w:r>
        <w:rPr>
          <w:rFonts w:ascii="Arial" w:cs="Arial" w:eastAsia="Arial" w:hAnsi="Arial"/>
          <w:sz w:val="18"/>
          <w:szCs w:val="18"/>
          <w:color w:val="auto"/>
        </w:rPr>
        <w:t>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31" w:lineRule="exact"/>
        <w:rPr>
          <w:sz w:val="20"/>
          <w:szCs w:val="20"/>
          <w:color w:val="auto"/>
        </w:rPr>
      </w:pPr>
    </w:p>
    <w:p>
      <w:pPr>
        <w:ind w:right="200" w:firstLine="324"/>
        <w:spacing w:after="0" w:line="223" w:lineRule="exact"/>
        <w:rPr>
          <w:sz w:val="20"/>
          <w:szCs w:val="20"/>
          <w:color w:val="auto"/>
        </w:rPr>
      </w:pPr>
      <w:r>
        <w:rPr>
          <w:rFonts w:ascii="Arial" w:cs="Arial" w:eastAsia="Arial" w:hAnsi="Arial"/>
          <w:sz w:val="18"/>
          <w:szCs w:val="18"/>
          <w:color w:val="auto"/>
        </w:rPr>
        <w:t>Based on that evaluation, our Chief Executive Officer and Chief Financial Officer concluded that,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our disclosure controls and procedures were effective.</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52" w:lineRule="exact"/>
        <w:rPr>
          <w:sz w:val="20"/>
          <w:szCs w:val="20"/>
          <w:color w:val="auto"/>
        </w:rPr>
      </w:pPr>
    </w:p>
    <w:p>
      <w:pPr>
        <w:ind w:right="100" w:firstLine="324"/>
        <w:spacing w:after="0" w:line="218" w:lineRule="exact"/>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231" w:lineRule="exact"/>
        <w:rPr>
          <w:sz w:val="20"/>
          <w:szCs w:val="20"/>
          <w:color w:val="auto"/>
        </w:rPr>
      </w:pPr>
    </w:p>
    <w:p>
      <w:pPr>
        <w:ind w:firstLine="324"/>
        <w:spacing w:after="0" w:line="219" w:lineRule="exact"/>
        <w:rPr>
          <w:sz w:val="20"/>
          <w:szCs w:val="20"/>
          <w:color w:val="auto"/>
        </w:rPr>
      </w:pPr>
      <w:r>
        <w:rPr>
          <w:rFonts w:ascii="Arial" w:cs="Arial" w:eastAsia="Arial" w:hAnsi="Arial"/>
          <w:sz w:val="16"/>
          <w:szCs w:val="16"/>
          <w:color w:val="auto"/>
        </w:rPr>
        <w:t xml:space="preserve">Our management evaluated the effectiveness of our internal control over financial reporting using the criteria set forth by the Committee of Sponsoring Organizations of the Treadway Commission (COSO)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Based on this evaluation, our management concluded that our internal control over financial reporting was effective as of the end of the period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KPMG LLP, our independent registered public accounting firm, which audited the Consolidated Financial Statements included in this Annual Report on Form 10-K, has issued an audit report on our internal control over financial reporting. See Report of Independent Registered Public Accounting Firm herein.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fiscal quarter ended July 3, 2020, that has materially affected, or is reasonably likely to materially affect, our internal control over financial reporting.</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implementing an enterprise resource planning (“ERP”) system on a worldwide basis, which is expected to improve the efficiency of certain financial and related transactional processes. The gradual implementation is expected to occur in phases over the next several years. We have completed the implementation of certain processes, including the financial consolidation and reporting, fixed assets, supplier management and indirect procure-to-pay processes, and have revised and updated the related controls. These changes did not materially affect our internal control over financial reporting. As we implement the remaining functionality under this ERP system over the next several years, we will continue to assess the impact on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Inherent Limitations of Effectiveness of Controls</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our internal controls over financial reporting will prevent all error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 Executive Officers and Corporate Governance</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There is incorporated herein by reference the information required by this Item included in the Company’s Proxy Statement for the 2020 Annual Meeting of Stockholders, which will be filed with the SEC no later than 120 days after the close of the fiscal year ended July 3, 2020. In addition, our Board of Directors has adopted a Code of Business Ethics that applies to all of our directors, employees and officers, including our Chief Executive Officer and Chief Financial Officer. The current version of the Code of Business Ethics is available on our website under the Corporate Governance section at </w:t>
      </w:r>
      <w:r>
        <w:rPr>
          <w:rFonts w:ascii="Arial" w:cs="Arial" w:eastAsia="Arial" w:hAnsi="Arial"/>
          <w:sz w:val="18"/>
          <w:szCs w:val="18"/>
          <w:i w:val="1"/>
          <w:iCs w:val="1"/>
          <w:color w:val="auto"/>
        </w:rPr>
        <w:t>www.wdc.com</w:t>
      </w:r>
      <w:r>
        <w:rPr>
          <w:rFonts w:ascii="Arial" w:cs="Arial" w:eastAsia="Arial" w:hAnsi="Arial"/>
          <w:sz w:val="18"/>
          <w:szCs w:val="18"/>
          <w:color w:val="auto"/>
        </w:rPr>
        <w:t>. To the extent required by rules adopted by the SEC and The Nasdaq Stock Market LLC, we intend to promptly disclose future amendments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certain provisions of the Code of Business Ethics, or waivers of such provisions granted to executive officers and directors, on our website under the Corporate Governance section at </w:t>
      </w:r>
      <w:r>
        <w:rPr>
          <w:rFonts w:ascii="Arial" w:cs="Arial" w:eastAsia="Arial" w:hAnsi="Arial"/>
          <w:sz w:val="18"/>
          <w:szCs w:val="18"/>
          <w:i w:val="1"/>
          <w:iCs w:val="1"/>
          <w:color w:val="auto"/>
        </w:rPr>
        <w:t>www.wdc.com</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56"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2020 Annual Meeting of Stockholders, which will be filed with the SEC no later than 120 days after the close of the fiscal year ended July 3,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2020 Annual Meeting of Stockholders, which will be filed with the SEC no later than 120 days after the close of the fiscal year ended July 3,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56"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2020 Annual Meeting of Stockholders, which will be filed with the SEC no later than 120 days after the close of the fiscal year ended July 3,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56"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There is incorporated herein by reference the information required by this Item included in the Company’s Proxy Statement for the 2020 Annual Meeting of Stockholders, which will be filed with the SEC no later than 120 days after the close of the fiscal year ended July 3, 2020.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56"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The following documents are filed as a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52" w:lineRule="exact"/>
        <w:rPr>
          <w:sz w:val="20"/>
          <w:szCs w:val="20"/>
          <w:color w:val="auto"/>
        </w:rPr>
      </w:pPr>
    </w:p>
    <w:p>
      <w:pPr>
        <w:ind w:left="640" w:hanging="308"/>
        <w:spacing w:after="0" w:line="184" w:lineRule="exact"/>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included in Part II, Item 8 of this document are filed as part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75"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52" w:lineRule="exact"/>
        <w:rPr>
          <w:rFonts w:ascii="Arial" w:cs="Arial" w:eastAsia="Arial" w:hAnsi="Arial"/>
          <w:sz w:val="18"/>
          <w:szCs w:val="18"/>
          <w:color w:val="auto"/>
        </w:rPr>
      </w:pPr>
    </w:p>
    <w:p>
      <w:pPr>
        <w:ind w:left="660" w:right="380"/>
        <w:spacing w:after="0" w:line="277" w:lineRule="auto"/>
        <w:rPr>
          <w:rFonts w:ascii="Arial" w:cs="Arial" w:eastAsia="Arial" w:hAnsi="Arial"/>
          <w:sz w:val="18"/>
          <w:szCs w:val="18"/>
          <w:color w:val="auto"/>
        </w:rPr>
      </w:pPr>
      <w:r>
        <w:rPr>
          <w:rFonts w:ascii="Arial" w:cs="Arial" w:eastAsia="Arial" w:hAnsi="Arial"/>
          <w:sz w:val="18"/>
          <w:szCs w:val="18"/>
          <w:color w:val="auto"/>
        </w:rPr>
        <w:t>All schedules are omitted as the required information is immaterial, inapplicable or the information is presented in the Consolidated Financial Statements or related Notes.</w:t>
      </w:r>
    </w:p>
    <w:p>
      <w:pPr>
        <w:spacing w:after="0" w:line="197" w:lineRule="exact"/>
        <w:rPr>
          <w:rFonts w:ascii="Arial" w:cs="Arial" w:eastAsia="Arial" w:hAnsi="Arial"/>
          <w:sz w:val="18"/>
          <w:szCs w:val="18"/>
          <w:color w:val="auto"/>
        </w:rPr>
      </w:pPr>
    </w:p>
    <w:p>
      <w:pPr>
        <w:ind w:left="660" w:hanging="328"/>
        <w:spacing w:after="0" w:line="218" w:lineRule="exact"/>
        <w:tabs>
          <w:tab w:leader="none" w:pos="654"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Exhibits. </w:t>
      </w:r>
      <w:r>
        <w:rPr>
          <w:rFonts w:ascii="Arial" w:cs="Arial" w:eastAsia="Arial" w:hAnsi="Arial"/>
          <w:sz w:val="16"/>
          <w:szCs w:val="16"/>
          <w:color w:val="auto"/>
        </w:rPr>
        <w:t>The exhibits listed in the Exhibit Index below are filed with, or incorporated by reference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as</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in the Exhibit List, from exhibits previously filed with the SEC. Certain agreements listed in the Exhibit List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60" w:type="dxa"/>
            <w:vAlign w:val="bottom"/>
          </w:tcPr>
          <w:p>
            <w:pPr>
              <w:ind w:left="3600"/>
              <w:spacing w:after="0"/>
              <w:rPr>
                <w:sz w:val="20"/>
                <w:szCs w:val="20"/>
                <w:color w:val="auto"/>
              </w:rPr>
            </w:pPr>
            <w:r>
              <w:rPr>
                <w:rFonts w:ascii="Arial" w:cs="Arial" w:eastAsia="Arial" w:hAnsi="Arial"/>
                <w:sz w:val="20"/>
                <w:szCs w:val="20"/>
                <w:b w:val="1"/>
                <w:bCs w:val="1"/>
                <w:color w:val="auto"/>
              </w:rPr>
              <w:t>EXHIBIT INDEX</w:t>
            </w:r>
          </w:p>
        </w:tc>
        <w:tc>
          <w:tcPr>
            <w:tcW w:w="0" w:type="dxa"/>
            <w:vAlign w:val="bottom"/>
          </w:tcPr>
          <w:p>
            <w:pPr>
              <w:spacing w:after="0"/>
              <w:rPr>
                <w:sz w:val="1"/>
                <w:szCs w:val="1"/>
                <w:color w:val="auto"/>
              </w:rPr>
            </w:pPr>
          </w:p>
        </w:tc>
      </w:tr>
      <w:tr>
        <w:trPr>
          <w:trHeight w:val="176"/>
        </w:trPr>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6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9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120" w:type="dxa"/>
            <w:vAlign w:val="bottom"/>
            <w:tcBorders>
              <w:top w:val="single" w:sz="8" w:color="auto"/>
            </w:tcBorders>
            <w:shd w:val="clear" w:color="auto" w:fill="CCEEFF"/>
          </w:tcPr>
          <w:p>
            <w:pPr>
              <w:jc w:val="center"/>
              <w:spacing w:after="0"/>
              <w:rPr>
                <w:rFonts w:ascii="Arial" w:cs="Arial" w:eastAsia="Arial" w:hAnsi="Arial"/>
                <w:sz w:val="16"/>
                <w:szCs w:val="16"/>
                <w:u w:val="single" w:color="auto"/>
                <w:color w:val="0000FF"/>
                <w:w w:val="89"/>
              </w:rPr>
            </w:pPr>
            <w:hyperlink r:id="rId133">
              <w:r>
                <w:rPr>
                  <w:rFonts w:ascii="Arial" w:cs="Arial" w:eastAsia="Arial" w:hAnsi="Arial"/>
                  <w:sz w:val="16"/>
                  <w:szCs w:val="16"/>
                  <w:u w:val="single" w:color="auto"/>
                  <w:color w:val="0000FF"/>
                  <w:w w:val="89"/>
                </w:rPr>
                <w:t>3.1</w:t>
              </w:r>
            </w:hyperlink>
          </w:p>
        </w:tc>
        <w:tc>
          <w:tcPr>
            <w:tcW w:w="100" w:type="dxa"/>
            <w:vAlign w:val="bottom"/>
            <w:tcBorders>
              <w:top w:val="single" w:sz="8" w:color="CCEEFF"/>
            </w:tcBorders>
            <w:shd w:val="clear" w:color="auto" w:fill="CCEEFF"/>
          </w:tcPr>
          <w:p>
            <w:pPr>
              <w:spacing w:after="0"/>
              <w:rPr>
                <w:sz w:val="19"/>
                <w:szCs w:val="19"/>
                <w:color w:val="auto"/>
              </w:rPr>
            </w:pPr>
          </w:p>
        </w:tc>
        <w:tc>
          <w:tcPr>
            <w:tcW w:w="9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2"/>
              </w:rPr>
              <w:t>Amended and Restated Certificate of Incorporation of Western Digital Corporation, as amended to date (Filed as Exhibit 3.1 to the Company’s Quarterly</w:t>
            </w:r>
          </w:p>
        </w:tc>
        <w:tc>
          <w:tcPr>
            <w:tcW w:w="0" w:type="dxa"/>
            <w:vAlign w:val="bottom"/>
          </w:tcPr>
          <w:p>
            <w:pPr>
              <w:spacing w:after="0"/>
              <w:rPr>
                <w:sz w:val="1"/>
                <w:szCs w:val="1"/>
                <w:color w:val="auto"/>
              </w:rPr>
            </w:pPr>
          </w:p>
        </w:tc>
      </w:tr>
      <w:tr>
        <w:trPr>
          <w:trHeight w:val="219"/>
        </w:trPr>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Report on Form 10-Q (File No. 1-08703) with the Securities and Exchange Commission on February 8, 2006)</w:t>
            </w:r>
          </w:p>
        </w:tc>
        <w:tc>
          <w:tcPr>
            <w:tcW w:w="0" w:type="dxa"/>
            <w:vAlign w:val="bottom"/>
          </w:tcPr>
          <w:p>
            <w:pPr>
              <w:spacing w:after="0"/>
              <w:rPr>
                <w:sz w:val="1"/>
                <w:szCs w:val="1"/>
                <w:color w:val="auto"/>
              </w:rPr>
            </w:pPr>
          </w:p>
        </w:tc>
      </w:tr>
      <w:tr>
        <w:trPr>
          <w:trHeight w:val="220"/>
        </w:trPr>
        <w:tc>
          <w:tcPr>
            <w:tcW w:w="1120" w:type="dxa"/>
            <w:vAlign w:val="bottom"/>
          </w:tcPr>
          <w:p>
            <w:pPr>
              <w:jc w:val="center"/>
              <w:spacing w:after="0"/>
              <w:rPr>
                <w:rFonts w:ascii="Arial" w:cs="Arial" w:eastAsia="Arial" w:hAnsi="Arial"/>
                <w:sz w:val="16"/>
                <w:szCs w:val="16"/>
                <w:u w:val="single" w:color="auto"/>
                <w:color w:val="0000FF"/>
                <w:w w:val="89"/>
              </w:rPr>
            </w:pPr>
            <w:hyperlink r:id="rId134">
              <w:r>
                <w:rPr>
                  <w:rFonts w:ascii="Arial" w:cs="Arial" w:eastAsia="Arial" w:hAnsi="Arial"/>
                  <w:sz w:val="16"/>
                  <w:szCs w:val="16"/>
                  <w:u w:val="single" w:color="auto"/>
                  <w:color w:val="0000FF"/>
                  <w:w w:val="89"/>
                </w:rPr>
                <w:t>3.2</w:t>
              </w:r>
            </w:hyperlink>
          </w:p>
        </w:tc>
        <w:tc>
          <w:tcPr>
            <w:tcW w:w="100" w:type="dxa"/>
            <w:vAlign w:val="bottom"/>
          </w:tcPr>
          <w:p>
            <w:pPr>
              <w:spacing w:after="0"/>
              <w:rPr>
                <w:sz w:val="19"/>
                <w:szCs w:val="19"/>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7"/>
              </w:rPr>
              <w:t>Amended and Restated By-Laws of Western Digital Corporation, as amended effective as of May 2, 2018 (Filed as Exhibit 3.1 to the Company’s</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Current Report on Form 8-K (File No. 1-08703) with the Securities and Exchange Commission on May 7,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20955</wp:posOffset>
            </wp:positionV>
            <wp:extent cx="7106285" cy="291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37" w:lineRule="exact"/>
        <w:rPr>
          <w:sz w:val="20"/>
          <w:szCs w:val="20"/>
          <w:color w:val="auto"/>
        </w:rPr>
      </w:pPr>
    </w:p>
    <w:p>
      <w:pPr>
        <w:ind w:left="480"/>
        <w:spacing w:after="0"/>
        <w:rPr>
          <w:rFonts w:ascii="Arial" w:cs="Arial" w:eastAsia="Arial" w:hAnsi="Arial"/>
          <w:sz w:val="14"/>
          <w:szCs w:val="14"/>
          <w:u w:val="single" w:color="auto"/>
          <w:color w:val="0000FF"/>
        </w:rPr>
      </w:pPr>
      <w:hyperlink r:id="rId136">
        <w:r>
          <w:rPr>
            <w:rFonts w:ascii="Arial" w:cs="Arial" w:eastAsia="Arial" w:hAnsi="Arial"/>
            <w:sz w:val="14"/>
            <w:szCs w:val="14"/>
            <w:u w:val="single" w:color="auto"/>
            <w:color w:val="0000FF"/>
          </w:rPr>
          <w:t>4.1</w:t>
        </w:r>
      </w:hyperlink>
    </w:p>
    <w:p>
      <w:pPr>
        <w:spacing w:after="0" w:line="298" w:lineRule="exact"/>
        <w:rPr>
          <w:sz w:val="20"/>
          <w:szCs w:val="20"/>
          <w:color w:val="auto"/>
        </w:rPr>
      </w:pPr>
    </w:p>
    <w:p>
      <w:pPr>
        <w:ind w:left="480"/>
        <w:spacing w:after="0"/>
        <w:rPr>
          <w:rFonts w:ascii="Arial" w:cs="Arial" w:eastAsia="Arial" w:hAnsi="Arial"/>
          <w:sz w:val="14"/>
          <w:szCs w:val="14"/>
          <w:u w:val="single" w:color="auto"/>
          <w:color w:val="0000FF"/>
        </w:rPr>
      </w:pPr>
      <w:hyperlink r:id="rId137">
        <w:r>
          <w:rPr>
            <w:rFonts w:ascii="Arial" w:cs="Arial" w:eastAsia="Arial" w:hAnsi="Arial"/>
            <w:sz w:val="14"/>
            <w:szCs w:val="14"/>
            <w:u w:val="single" w:color="auto"/>
            <w:color w:val="0000FF"/>
          </w:rPr>
          <w:t>4.2</w:t>
        </w:r>
      </w:hyperlink>
    </w:p>
    <w:p>
      <w:pPr>
        <w:spacing w:after="0" w:line="200" w:lineRule="exact"/>
        <w:rPr>
          <w:sz w:val="20"/>
          <w:szCs w:val="20"/>
          <w:color w:val="auto"/>
        </w:rPr>
      </w:pPr>
    </w:p>
    <w:p>
      <w:pPr>
        <w:spacing w:after="0" w:line="301" w:lineRule="exact"/>
        <w:rPr>
          <w:sz w:val="20"/>
          <w:szCs w:val="20"/>
          <w:color w:val="auto"/>
        </w:rPr>
      </w:pPr>
    </w:p>
    <w:p>
      <w:pPr>
        <w:ind w:left="480"/>
        <w:spacing w:after="0"/>
        <w:rPr>
          <w:rFonts w:ascii="Arial" w:cs="Arial" w:eastAsia="Arial" w:hAnsi="Arial"/>
          <w:sz w:val="14"/>
          <w:szCs w:val="14"/>
          <w:u w:val="single" w:color="auto"/>
          <w:color w:val="0000FF"/>
        </w:rPr>
      </w:pPr>
      <w:hyperlink r:id="rId138">
        <w:r>
          <w:rPr>
            <w:rFonts w:ascii="Arial" w:cs="Arial" w:eastAsia="Arial" w:hAnsi="Arial"/>
            <w:sz w:val="14"/>
            <w:szCs w:val="14"/>
            <w:u w:val="single" w:color="auto"/>
            <w:color w:val="0000FF"/>
          </w:rPr>
          <w:t>4.3</w:t>
        </w:r>
      </w:hyperlink>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Description of Western Digital Corporation’s Capital Stock (Filed as Exhibit 4.1 to the Company’s Annual Report on Form 10-K (File No. 1-08703)</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with the Securities and Exchange Commission on August 27, 2019)</w:t>
      </w:r>
    </w:p>
    <w:p>
      <w:pPr>
        <w:spacing w:after="0" w:line="6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Indenture (including Form of 0.5% Convertible Senior Notes due 2020), dated as of October 29, 2013, by and between SanDisk Corporation and The Bank of New York Mellon Trust Company, N.A. (Filed as Exhibit 4.1 to SanDisk Corporation’s Current Report on Form 8-K (File No. 000-26734) with the Securities and Exchange Commission on October 29,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3175</wp:posOffset>
            </wp:positionV>
            <wp:extent cx="7106285" cy="419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06285" cy="419735"/>
                    </a:xfrm>
                    <a:prstGeom prst="rect">
                      <a:avLst/>
                    </a:prstGeom>
                    <a:noFill/>
                  </pic:spPr>
                </pic:pic>
              </a:graphicData>
            </a:graphic>
          </wp:anchor>
        </w:drawing>
      </w:r>
    </w:p>
    <w:p>
      <w:pPr>
        <w:spacing w:after="0" w:line="2" w:lineRule="exact"/>
        <w:rPr>
          <w:sz w:val="20"/>
          <w:szCs w:val="20"/>
          <w:color w:val="auto"/>
        </w:rPr>
      </w:pPr>
    </w:p>
    <w:p>
      <w:pPr>
        <w:jc w:val="both"/>
        <w:ind w:right="360"/>
        <w:spacing w:after="0" w:line="278" w:lineRule="auto"/>
        <w:rPr>
          <w:sz w:val="20"/>
          <w:szCs w:val="20"/>
          <w:color w:val="auto"/>
        </w:rPr>
      </w:pPr>
      <w:r>
        <w:rPr>
          <w:rFonts w:ascii="Arial" w:cs="Arial" w:eastAsia="Arial" w:hAnsi="Arial"/>
          <w:sz w:val="16"/>
          <w:szCs w:val="16"/>
          <w:color w:val="auto"/>
        </w:rPr>
        <w:t>First Supplemental Indenture to the Indenture filed as Exhibit 4.2 hereto, dated as of May 12, 2016, among SanDisk Corporation, The Bank of New York Mellon Trust Company, N.A., as trustee, and Western Digital Corporation (Filed as Exhibit 4.1 to the Company’s Current Report on Form 8-K (File No. 1-08703) with the Securities and Exchange Commission on May 12, 2016)</w:t>
      </w:r>
    </w:p>
    <w:p>
      <w:pPr>
        <w:spacing w:after="0" w:line="9" w:lineRule="exact"/>
        <w:rPr>
          <w:sz w:val="20"/>
          <w:szCs w:val="20"/>
          <w:color w:val="auto"/>
        </w:rPr>
      </w:pPr>
    </w:p>
    <w:p>
      <w:pPr>
        <w:sectPr>
          <w:pgSz w:w="11900" w:h="16838" w:orient="portrait"/>
          <w:cols w:equalWidth="0" w:num="2">
            <w:col w:w="680" w:space="600"/>
            <w:col w:w="9940"/>
          </w:cols>
          <w:pgMar w:left="320" w:top="125" w:right="3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00" w:type="dxa"/>
            <w:vAlign w:val="bottom"/>
          </w:tcPr>
          <w:p>
            <w:pPr>
              <w:jc w:val="center"/>
              <w:spacing w:after="0"/>
              <w:rPr>
                <w:rFonts w:ascii="Arial" w:cs="Arial" w:eastAsia="Arial" w:hAnsi="Arial"/>
                <w:sz w:val="16"/>
                <w:szCs w:val="16"/>
                <w:u w:val="single" w:color="auto"/>
                <w:color w:val="0000FF"/>
                <w:w w:val="89"/>
              </w:rPr>
            </w:pPr>
            <w:hyperlink r:id="rId140">
              <w:r>
                <w:rPr>
                  <w:rFonts w:ascii="Arial" w:cs="Arial" w:eastAsia="Arial" w:hAnsi="Arial"/>
                  <w:sz w:val="16"/>
                  <w:szCs w:val="16"/>
                  <w:u w:val="single" w:color="auto"/>
                  <w:color w:val="0000FF"/>
                  <w:w w:val="89"/>
                </w:rPr>
                <w:t>4.4</w:t>
              </w:r>
            </w:hyperlink>
          </w:p>
        </w:tc>
        <w:tc>
          <w:tcPr>
            <w:tcW w:w="10180" w:type="dxa"/>
            <w:vAlign w:val="bottom"/>
          </w:tcPr>
          <w:p>
            <w:pPr>
              <w:ind w:left="240"/>
              <w:spacing w:after="0"/>
              <w:rPr>
                <w:sz w:val="20"/>
                <w:szCs w:val="20"/>
                <w:color w:val="auto"/>
              </w:rPr>
            </w:pPr>
            <w:r>
              <w:rPr>
                <w:rFonts w:ascii="Arial" w:cs="Arial" w:eastAsia="Arial" w:hAnsi="Arial"/>
                <w:sz w:val="16"/>
                <w:szCs w:val="16"/>
                <w:color w:val="auto"/>
                <w:w w:val="95"/>
              </w:rPr>
              <w:t>Indenture (including Form of 4.750% Senior Notes due 2026), dated as of February 13, 2018, among Western Digital Corporation; HGST, Inc., WD</w:t>
            </w:r>
          </w:p>
        </w:tc>
      </w:tr>
      <w:tr>
        <w:trPr>
          <w:trHeight w:val="203"/>
        </w:trPr>
        <w:tc>
          <w:tcPr>
            <w:tcW w:w="1000" w:type="dxa"/>
            <w:vAlign w:val="bottom"/>
          </w:tcPr>
          <w:p>
            <w:pPr>
              <w:spacing w:after="0"/>
              <w:rPr>
                <w:sz w:val="17"/>
                <w:szCs w:val="17"/>
                <w:color w:val="auto"/>
              </w:rPr>
            </w:pPr>
          </w:p>
        </w:tc>
        <w:tc>
          <w:tcPr>
            <w:tcW w:w="10180" w:type="dxa"/>
            <w:vAlign w:val="bottom"/>
          </w:tcPr>
          <w:p>
            <w:pPr>
              <w:ind w:left="240"/>
              <w:spacing w:after="0"/>
              <w:rPr>
                <w:sz w:val="20"/>
                <w:szCs w:val="20"/>
                <w:color w:val="auto"/>
              </w:rPr>
            </w:pPr>
            <w:r>
              <w:rPr>
                <w:rFonts w:ascii="Arial" w:cs="Arial" w:eastAsia="Arial" w:hAnsi="Arial"/>
                <w:sz w:val="16"/>
                <w:szCs w:val="16"/>
                <w:color w:val="auto"/>
                <w:w w:val="95"/>
              </w:rPr>
              <w:t>Media, LLC, Western Digital (Fremont), LLC and Western Digital Technologies, Inc., as guarantors; and U.S. Bank National Association, as trustee</w:t>
            </w:r>
          </w:p>
        </w:tc>
      </w:tr>
      <w:tr>
        <w:trPr>
          <w:trHeight w:val="203"/>
        </w:trPr>
        <w:tc>
          <w:tcPr>
            <w:tcW w:w="1000" w:type="dxa"/>
            <w:vAlign w:val="bottom"/>
          </w:tcPr>
          <w:p>
            <w:pPr>
              <w:spacing w:after="0"/>
              <w:rPr>
                <w:sz w:val="17"/>
                <w:szCs w:val="17"/>
                <w:color w:val="auto"/>
              </w:rPr>
            </w:pPr>
          </w:p>
        </w:tc>
        <w:tc>
          <w:tcPr>
            <w:tcW w:w="10180" w:type="dxa"/>
            <w:vAlign w:val="bottom"/>
          </w:tcPr>
          <w:p>
            <w:pPr>
              <w:ind w:left="240"/>
              <w:spacing w:after="0"/>
              <w:rPr>
                <w:sz w:val="20"/>
                <w:szCs w:val="20"/>
                <w:color w:val="auto"/>
              </w:rPr>
            </w:pPr>
            <w:r>
              <w:rPr>
                <w:rFonts w:ascii="Arial" w:cs="Arial" w:eastAsia="Arial" w:hAnsi="Arial"/>
                <w:sz w:val="16"/>
                <w:szCs w:val="16"/>
                <w:color w:val="auto"/>
                <w:w w:val="93"/>
              </w:rPr>
              <w:t>(Filed as Exhibit 4.1 to the Company’s Current Report on Form 8-K (File No. 333-222762) with the Securities and Exchange Commission on February</w:t>
            </w:r>
          </w:p>
        </w:tc>
      </w:tr>
      <w:tr>
        <w:trPr>
          <w:trHeight w:val="206"/>
        </w:trPr>
        <w:tc>
          <w:tcPr>
            <w:tcW w:w="1000" w:type="dxa"/>
            <w:vAlign w:val="bottom"/>
          </w:tcPr>
          <w:p>
            <w:pPr>
              <w:spacing w:after="0"/>
              <w:rPr>
                <w:sz w:val="17"/>
                <w:szCs w:val="17"/>
                <w:color w:val="auto"/>
              </w:rPr>
            </w:pPr>
          </w:p>
        </w:tc>
        <w:tc>
          <w:tcPr>
            <w:tcW w:w="10180" w:type="dxa"/>
            <w:vAlign w:val="bottom"/>
          </w:tcPr>
          <w:p>
            <w:pPr>
              <w:ind w:left="240"/>
              <w:spacing w:after="0"/>
              <w:rPr>
                <w:sz w:val="20"/>
                <w:szCs w:val="20"/>
                <w:color w:val="auto"/>
              </w:rPr>
            </w:pPr>
            <w:r>
              <w:rPr>
                <w:rFonts w:ascii="Arial" w:cs="Arial" w:eastAsia="Arial" w:hAnsi="Arial"/>
                <w:sz w:val="16"/>
                <w:szCs w:val="16"/>
                <w:color w:val="auto"/>
              </w:rPr>
              <w:t>13, 2018)</w:t>
            </w:r>
          </w:p>
        </w:tc>
      </w:tr>
      <w:tr>
        <w:trPr>
          <w:trHeight w:val="33"/>
        </w:trPr>
        <w:tc>
          <w:tcPr>
            <w:tcW w:w="100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000" w:type="dxa"/>
            <w:vAlign w:val="bottom"/>
            <w:shd w:val="clear" w:color="auto" w:fill="CCEEFF"/>
          </w:tcPr>
          <w:p>
            <w:pPr>
              <w:jc w:val="center"/>
              <w:spacing w:after="0"/>
              <w:rPr>
                <w:rFonts w:ascii="Arial" w:cs="Arial" w:eastAsia="Arial" w:hAnsi="Arial"/>
                <w:sz w:val="16"/>
                <w:szCs w:val="16"/>
                <w:u w:val="single" w:color="auto"/>
                <w:color w:val="0000FF"/>
                <w:w w:val="89"/>
              </w:rPr>
            </w:pPr>
            <w:hyperlink r:id="rId141">
              <w:r>
                <w:rPr>
                  <w:rFonts w:ascii="Arial" w:cs="Arial" w:eastAsia="Arial" w:hAnsi="Arial"/>
                  <w:sz w:val="16"/>
                  <w:szCs w:val="16"/>
                  <w:u w:val="single" w:color="auto"/>
                  <w:color w:val="0000FF"/>
                  <w:w w:val="89"/>
                </w:rPr>
                <w:t>4.5</w:t>
              </w:r>
            </w:hyperlink>
          </w:p>
        </w:tc>
        <w:tc>
          <w:tcPr>
            <w:tcW w:w="101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4"/>
              </w:rPr>
              <w:t>Indenture (including Form of 1.50% Convertible Senior Notes due 2024), dated as of February 13, 2018, among Western Digital Corporation; HGST,</w:t>
            </w:r>
          </w:p>
        </w:tc>
      </w:tr>
      <w:tr>
        <w:trPr>
          <w:trHeight w:val="203"/>
        </w:trPr>
        <w:tc>
          <w:tcPr>
            <w:tcW w:w="1000" w:type="dxa"/>
            <w:vAlign w:val="bottom"/>
            <w:shd w:val="clear" w:color="auto" w:fill="CCEEFF"/>
          </w:tcPr>
          <w:p>
            <w:pPr>
              <w:spacing w:after="0"/>
              <w:rPr>
                <w:sz w:val="17"/>
                <w:szCs w:val="17"/>
                <w:color w:val="auto"/>
              </w:rPr>
            </w:pPr>
          </w:p>
        </w:tc>
        <w:tc>
          <w:tcPr>
            <w:tcW w:w="101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4"/>
              </w:rPr>
              <w:t>Inc., WD Media, LLC, Western Digital (Fremont), LLC and Western Digital Technologies, Inc., as guarantors; and U.S. Bank National Association, as</w:t>
            </w:r>
          </w:p>
        </w:tc>
      </w:tr>
      <w:tr>
        <w:trPr>
          <w:trHeight w:val="203"/>
        </w:trPr>
        <w:tc>
          <w:tcPr>
            <w:tcW w:w="1000" w:type="dxa"/>
            <w:vAlign w:val="bottom"/>
            <w:shd w:val="clear" w:color="auto" w:fill="CCEEFF"/>
          </w:tcPr>
          <w:p>
            <w:pPr>
              <w:spacing w:after="0"/>
              <w:rPr>
                <w:sz w:val="17"/>
                <w:szCs w:val="17"/>
                <w:color w:val="auto"/>
              </w:rPr>
            </w:pPr>
          </w:p>
        </w:tc>
        <w:tc>
          <w:tcPr>
            <w:tcW w:w="101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5"/>
              </w:rPr>
              <w:t>trustee (Filed as Exhibit 4.2 to the Company’s Current Report on Form 8-K (File No. 333-222762) with the Securities and Exchange Commission on</w:t>
            </w:r>
          </w:p>
        </w:tc>
      </w:tr>
      <w:tr>
        <w:trPr>
          <w:trHeight w:val="219"/>
        </w:trPr>
        <w:tc>
          <w:tcPr>
            <w:tcW w:w="100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February 13, 2018)</w:t>
            </w:r>
          </w:p>
        </w:tc>
      </w:tr>
      <w:tr>
        <w:trPr>
          <w:trHeight w:val="179"/>
        </w:trPr>
        <w:tc>
          <w:tcPr>
            <w:tcW w:w="1000" w:type="dxa"/>
            <w:vAlign w:val="bottom"/>
          </w:tcPr>
          <w:p>
            <w:pPr>
              <w:jc w:val="center"/>
              <w:ind w:left="19"/>
              <w:spacing w:after="0" w:line="179" w:lineRule="exact"/>
              <w:rPr>
                <w:rFonts w:ascii="Arial" w:cs="Arial" w:eastAsia="Arial" w:hAnsi="Arial"/>
                <w:sz w:val="16"/>
                <w:szCs w:val="16"/>
                <w:u w:val="single" w:color="auto"/>
                <w:color w:val="0000FF"/>
                <w:w w:val="96"/>
              </w:rPr>
            </w:pPr>
            <w:hyperlink r:id="rId142">
              <w:r>
                <w:rPr>
                  <w:rFonts w:ascii="Arial" w:cs="Arial" w:eastAsia="Arial" w:hAnsi="Arial"/>
                  <w:sz w:val="16"/>
                  <w:szCs w:val="16"/>
                  <w:u w:val="single" w:color="auto"/>
                  <w:color w:val="0000FF"/>
                  <w:w w:val="96"/>
                </w:rPr>
                <w:t>10.1</w:t>
              </w:r>
            </w:hyperlink>
          </w:p>
        </w:tc>
        <w:tc>
          <w:tcPr>
            <w:tcW w:w="10180" w:type="dxa"/>
            <w:vAlign w:val="bottom"/>
          </w:tcPr>
          <w:p>
            <w:pPr>
              <w:ind w:left="240"/>
              <w:spacing w:after="0" w:line="179" w:lineRule="exact"/>
              <w:rPr>
                <w:sz w:val="20"/>
                <w:szCs w:val="20"/>
                <w:color w:val="auto"/>
              </w:rPr>
            </w:pPr>
            <w:r>
              <w:rPr>
                <w:rFonts w:ascii="Arial" w:cs="Arial" w:eastAsia="Arial" w:hAnsi="Arial"/>
                <w:sz w:val="16"/>
                <w:szCs w:val="16"/>
                <w:color w:val="auto"/>
                <w:w w:val="91"/>
              </w:rPr>
              <w:t>Western Digital Corporation Amended and Restated 2017 Performance Incentive Plan, amended and restated as of August 7, 2019 (Filed as Exhibit 10.1</w:t>
            </w:r>
          </w:p>
        </w:tc>
      </w:tr>
      <w:tr>
        <w:trPr>
          <w:trHeight w:val="216"/>
        </w:trPr>
        <w:tc>
          <w:tcPr>
            <w:tcW w:w="1000" w:type="dxa"/>
            <w:vAlign w:val="bottom"/>
          </w:tcPr>
          <w:p>
            <w:pPr>
              <w:spacing w:after="0"/>
              <w:rPr>
                <w:sz w:val="18"/>
                <w:szCs w:val="18"/>
                <w:color w:val="auto"/>
              </w:rPr>
            </w:pPr>
          </w:p>
        </w:tc>
        <w:tc>
          <w:tcPr>
            <w:tcW w:w="10180" w:type="dxa"/>
            <w:vAlign w:val="bottom"/>
          </w:tcPr>
          <w:p>
            <w:pPr>
              <w:ind w:left="240"/>
              <w:spacing w:after="0"/>
              <w:rPr>
                <w:sz w:val="20"/>
                <w:szCs w:val="20"/>
                <w:color w:val="auto"/>
              </w:rPr>
            </w:pPr>
            <w:r>
              <w:rPr>
                <w:rFonts w:ascii="Arial" w:cs="Arial" w:eastAsia="Arial" w:hAnsi="Arial"/>
                <w:sz w:val="16"/>
                <w:szCs w:val="16"/>
                <w:color w:val="auto"/>
              </w:rPr>
              <w:t>to the Company’s Current Report on Form 8-K (File No. 1-08703) with the Securities and Exchange Commission on November 14, 2019)*</w:t>
            </w:r>
          </w:p>
        </w:tc>
      </w:tr>
      <w:tr>
        <w:trPr>
          <w:trHeight w:val="229"/>
        </w:trPr>
        <w:tc>
          <w:tcPr>
            <w:tcW w:w="1000" w:type="dxa"/>
            <w:vAlign w:val="bottom"/>
            <w:shd w:val="clear" w:color="auto" w:fill="CCEEFF"/>
          </w:tcPr>
          <w:p>
            <w:pPr>
              <w:jc w:val="center"/>
              <w:ind w:left="19"/>
              <w:spacing w:after="0"/>
              <w:rPr>
                <w:rFonts w:ascii="Arial" w:cs="Arial" w:eastAsia="Arial" w:hAnsi="Arial"/>
                <w:sz w:val="16"/>
                <w:szCs w:val="16"/>
                <w:u w:val="single" w:color="auto"/>
                <w:color w:val="0000FF"/>
                <w:w w:val="94"/>
              </w:rPr>
            </w:pPr>
            <w:hyperlink r:id="rId143">
              <w:r>
                <w:rPr>
                  <w:rFonts w:ascii="Arial" w:cs="Arial" w:eastAsia="Arial" w:hAnsi="Arial"/>
                  <w:sz w:val="16"/>
                  <w:szCs w:val="16"/>
                  <w:u w:val="single" w:color="auto"/>
                  <w:color w:val="0000FF"/>
                  <w:w w:val="94"/>
                </w:rPr>
                <w:t>10.1.1</w:t>
              </w:r>
            </w:hyperlink>
          </w:p>
        </w:tc>
        <w:tc>
          <w:tcPr>
            <w:tcW w:w="101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6"/>
              </w:rPr>
              <w:t>Form of Notice of Grant of Stock Option and Option Agreement - Executives, under the Western Digital Corporation Amended and Restated 2004</w:t>
            </w:r>
          </w:p>
        </w:tc>
      </w:tr>
      <w:tr>
        <w:trPr>
          <w:trHeight w:val="203"/>
        </w:trPr>
        <w:tc>
          <w:tcPr>
            <w:tcW w:w="1000" w:type="dxa"/>
            <w:vAlign w:val="bottom"/>
            <w:shd w:val="clear" w:color="auto" w:fill="CCEEFF"/>
          </w:tcPr>
          <w:p>
            <w:pPr>
              <w:spacing w:after="0"/>
              <w:rPr>
                <w:sz w:val="17"/>
                <w:szCs w:val="17"/>
                <w:color w:val="auto"/>
              </w:rPr>
            </w:pPr>
          </w:p>
        </w:tc>
        <w:tc>
          <w:tcPr>
            <w:tcW w:w="101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4"/>
              </w:rPr>
              <w:t>Performance Incentive Plan (now named the Western Digital Corporation 2017 Performance Incentive Plan) (Filed as Exhibit 10.2 to the Company’s</w:t>
            </w:r>
          </w:p>
        </w:tc>
      </w:tr>
      <w:tr>
        <w:trPr>
          <w:trHeight w:val="219"/>
        </w:trPr>
        <w:tc>
          <w:tcPr>
            <w:tcW w:w="100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Quarterly Report on Form 10-Q (File No. 1-08703) with the Securities and Exchange Commission on October 28, 2011)*</w:t>
            </w:r>
          </w:p>
        </w:tc>
      </w:tr>
      <w:tr>
        <w:trPr>
          <w:trHeight w:val="179"/>
        </w:trPr>
        <w:tc>
          <w:tcPr>
            <w:tcW w:w="1000" w:type="dxa"/>
            <w:vAlign w:val="bottom"/>
          </w:tcPr>
          <w:p>
            <w:pPr>
              <w:jc w:val="center"/>
              <w:ind w:left="19"/>
              <w:spacing w:after="0" w:line="179" w:lineRule="exact"/>
              <w:rPr>
                <w:rFonts w:ascii="Arial" w:cs="Arial" w:eastAsia="Arial" w:hAnsi="Arial"/>
                <w:sz w:val="16"/>
                <w:szCs w:val="16"/>
                <w:u w:val="single" w:color="auto"/>
                <w:color w:val="0000FF"/>
                <w:w w:val="94"/>
              </w:rPr>
            </w:pPr>
            <w:hyperlink r:id="rId144">
              <w:r>
                <w:rPr>
                  <w:rFonts w:ascii="Arial" w:cs="Arial" w:eastAsia="Arial" w:hAnsi="Arial"/>
                  <w:sz w:val="16"/>
                  <w:szCs w:val="16"/>
                  <w:u w:val="single" w:color="auto"/>
                  <w:color w:val="0000FF"/>
                  <w:w w:val="94"/>
                </w:rPr>
                <w:t>10.1.2</w:t>
              </w:r>
            </w:hyperlink>
          </w:p>
        </w:tc>
        <w:tc>
          <w:tcPr>
            <w:tcW w:w="10180" w:type="dxa"/>
            <w:vAlign w:val="bottom"/>
          </w:tcPr>
          <w:p>
            <w:pPr>
              <w:ind w:left="240"/>
              <w:spacing w:after="0" w:line="179" w:lineRule="exact"/>
              <w:rPr>
                <w:sz w:val="20"/>
                <w:szCs w:val="20"/>
                <w:color w:val="auto"/>
              </w:rPr>
            </w:pPr>
            <w:r>
              <w:rPr>
                <w:rFonts w:ascii="Arial" w:cs="Arial" w:eastAsia="Arial" w:hAnsi="Arial"/>
                <w:sz w:val="16"/>
                <w:szCs w:val="16"/>
                <w:color w:val="auto"/>
                <w:w w:val="97"/>
              </w:rPr>
              <w:t>Form of Notice of Grant of Stock Units and Stock Unit Award Agreement - Executives, under the Western Digital Corporation 2017 Performance</w:t>
            </w:r>
          </w:p>
        </w:tc>
      </w:tr>
      <w:tr>
        <w:trPr>
          <w:trHeight w:val="175"/>
        </w:trPr>
        <w:tc>
          <w:tcPr>
            <w:tcW w:w="1000" w:type="dxa"/>
            <w:vAlign w:val="bottom"/>
          </w:tcPr>
          <w:p>
            <w:pPr>
              <w:spacing w:after="0"/>
              <w:rPr>
                <w:sz w:val="15"/>
                <w:szCs w:val="15"/>
                <w:color w:val="auto"/>
              </w:rPr>
            </w:pPr>
          </w:p>
        </w:tc>
        <w:tc>
          <w:tcPr>
            <w:tcW w:w="10180" w:type="dxa"/>
            <w:vAlign w:val="bottom"/>
          </w:tcPr>
          <w:p>
            <w:pPr>
              <w:ind w:left="240"/>
              <w:spacing w:after="0" w:line="175" w:lineRule="exact"/>
              <w:rPr>
                <w:sz w:val="20"/>
                <w:szCs w:val="20"/>
                <w:color w:val="auto"/>
              </w:rPr>
            </w:pPr>
            <w:r>
              <w:rPr>
                <w:rFonts w:ascii="Arial" w:cs="Arial" w:eastAsia="Arial" w:hAnsi="Arial"/>
                <w:sz w:val="16"/>
                <w:szCs w:val="16"/>
                <w:color w:val="auto"/>
                <w:w w:val="99"/>
              </w:rPr>
              <w:t>Incentive Plan (Filed as Exhibit 10.1.3 to the Company’s Quarterly Report on Form 10-Q (File No. 1-08703) with the Securities and Exchange</w:t>
            </w:r>
          </w:p>
        </w:tc>
      </w:tr>
      <w:tr>
        <w:trPr>
          <w:trHeight w:val="216"/>
        </w:trPr>
        <w:tc>
          <w:tcPr>
            <w:tcW w:w="1000" w:type="dxa"/>
            <w:vAlign w:val="bottom"/>
          </w:tcPr>
          <w:p>
            <w:pPr>
              <w:spacing w:after="0"/>
              <w:rPr>
                <w:sz w:val="18"/>
                <w:szCs w:val="18"/>
                <w:color w:val="auto"/>
              </w:rPr>
            </w:pPr>
          </w:p>
        </w:tc>
        <w:tc>
          <w:tcPr>
            <w:tcW w:w="10180" w:type="dxa"/>
            <w:vAlign w:val="bottom"/>
          </w:tcPr>
          <w:p>
            <w:pPr>
              <w:ind w:left="240"/>
              <w:spacing w:after="0"/>
              <w:rPr>
                <w:sz w:val="20"/>
                <w:szCs w:val="20"/>
                <w:color w:val="auto"/>
              </w:rPr>
            </w:pPr>
            <w:r>
              <w:rPr>
                <w:rFonts w:ascii="Arial" w:cs="Arial" w:eastAsia="Arial" w:hAnsi="Arial"/>
                <w:sz w:val="16"/>
                <w:szCs w:val="16"/>
                <w:color w:val="auto"/>
              </w:rPr>
              <w:t>Commission on February 6, 2018)*</w:t>
            </w:r>
          </w:p>
        </w:tc>
      </w:tr>
      <w:tr>
        <w:trPr>
          <w:trHeight w:val="175"/>
        </w:trPr>
        <w:tc>
          <w:tcPr>
            <w:tcW w:w="1000" w:type="dxa"/>
            <w:vAlign w:val="bottom"/>
            <w:shd w:val="clear" w:color="auto" w:fill="CCEEFF"/>
          </w:tcPr>
          <w:p>
            <w:pPr>
              <w:jc w:val="center"/>
              <w:ind w:left="19"/>
              <w:spacing w:after="0" w:line="175" w:lineRule="exact"/>
              <w:rPr>
                <w:rFonts w:ascii="Arial" w:cs="Arial" w:eastAsia="Arial" w:hAnsi="Arial"/>
                <w:sz w:val="16"/>
                <w:szCs w:val="16"/>
                <w:u w:val="single" w:color="auto"/>
                <w:color w:val="0000FF"/>
                <w:w w:val="94"/>
              </w:rPr>
            </w:pPr>
            <w:hyperlink r:id="rId145">
              <w:r>
                <w:rPr>
                  <w:rFonts w:ascii="Arial" w:cs="Arial" w:eastAsia="Arial" w:hAnsi="Arial"/>
                  <w:sz w:val="16"/>
                  <w:szCs w:val="16"/>
                  <w:u w:val="single" w:color="auto"/>
                  <w:color w:val="0000FF"/>
                  <w:w w:val="94"/>
                </w:rPr>
                <w:t>10.1.3</w:t>
              </w:r>
            </w:hyperlink>
          </w:p>
        </w:tc>
        <w:tc>
          <w:tcPr>
            <w:tcW w:w="10180" w:type="dxa"/>
            <w:vAlign w:val="bottom"/>
            <w:shd w:val="clear" w:color="auto" w:fill="CCEEFF"/>
          </w:tcPr>
          <w:p>
            <w:pPr>
              <w:ind w:left="240"/>
              <w:spacing w:after="0" w:line="175" w:lineRule="exact"/>
              <w:rPr>
                <w:sz w:val="20"/>
                <w:szCs w:val="20"/>
                <w:color w:val="auto"/>
              </w:rPr>
            </w:pPr>
            <w:r>
              <w:rPr>
                <w:rFonts w:ascii="Arial" w:cs="Arial" w:eastAsia="Arial" w:hAnsi="Arial"/>
                <w:sz w:val="16"/>
                <w:szCs w:val="16"/>
                <w:color w:val="auto"/>
                <w:w w:val="96"/>
              </w:rPr>
              <w:t>Form of Notice of Grant of Stock Units and Stock Unit Award Agreement, under the Western Digital Corporation 2017 Performance Incentive Plan</w:t>
            </w:r>
          </w:p>
        </w:tc>
      </w:tr>
      <w:tr>
        <w:trPr>
          <w:trHeight w:val="162"/>
        </w:trPr>
        <w:tc>
          <w:tcPr>
            <w:tcW w:w="1000" w:type="dxa"/>
            <w:vAlign w:val="bottom"/>
            <w:shd w:val="clear" w:color="auto" w:fill="CCEEFF"/>
          </w:tcPr>
          <w:p>
            <w:pPr>
              <w:spacing w:after="0"/>
              <w:rPr>
                <w:sz w:val="14"/>
                <w:szCs w:val="14"/>
                <w:color w:val="auto"/>
              </w:rPr>
            </w:pPr>
          </w:p>
        </w:tc>
        <w:tc>
          <w:tcPr>
            <w:tcW w:w="1018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w w:val="98"/>
              </w:rPr>
              <w:t>(Filed as Exhibit 10.1.4 to the Company’s Quarterly Report on Form 10-Q (File No. 1-08703) with the Securities and Exchange Commission on</w:t>
            </w:r>
          </w:p>
        </w:tc>
      </w:tr>
      <w:tr>
        <w:trPr>
          <w:trHeight w:val="212"/>
        </w:trPr>
        <w:tc>
          <w:tcPr>
            <w:tcW w:w="1000" w:type="dxa"/>
            <w:vAlign w:val="bottom"/>
            <w:shd w:val="clear" w:color="auto" w:fill="CCEEFF"/>
          </w:tcPr>
          <w:p>
            <w:pPr>
              <w:spacing w:after="0"/>
              <w:rPr>
                <w:sz w:val="18"/>
                <w:szCs w:val="18"/>
                <w:color w:val="auto"/>
              </w:rPr>
            </w:pPr>
          </w:p>
        </w:tc>
        <w:tc>
          <w:tcPr>
            <w:tcW w:w="10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February 6, 2018)*</w:t>
            </w:r>
          </w:p>
        </w:tc>
      </w:tr>
      <w:tr>
        <w:trPr>
          <w:trHeight w:val="179"/>
        </w:trPr>
        <w:tc>
          <w:tcPr>
            <w:tcW w:w="1000" w:type="dxa"/>
            <w:vAlign w:val="bottom"/>
          </w:tcPr>
          <w:p>
            <w:pPr>
              <w:jc w:val="center"/>
              <w:ind w:left="19"/>
              <w:spacing w:after="0" w:line="179" w:lineRule="exact"/>
              <w:rPr>
                <w:rFonts w:ascii="Arial" w:cs="Arial" w:eastAsia="Arial" w:hAnsi="Arial"/>
                <w:sz w:val="16"/>
                <w:szCs w:val="16"/>
                <w:u w:val="single" w:color="auto"/>
                <w:color w:val="0000FF"/>
                <w:w w:val="94"/>
              </w:rPr>
            </w:pPr>
            <w:hyperlink r:id="rId146">
              <w:r>
                <w:rPr>
                  <w:rFonts w:ascii="Arial" w:cs="Arial" w:eastAsia="Arial" w:hAnsi="Arial"/>
                  <w:sz w:val="16"/>
                  <w:szCs w:val="16"/>
                  <w:u w:val="single" w:color="auto"/>
                  <w:color w:val="0000FF"/>
                  <w:w w:val="94"/>
                </w:rPr>
                <w:t>10.1.4</w:t>
              </w:r>
            </w:hyperlink>
          </w:p>
        </w:tc>
        <w:tc>
          <w:tcPr>
            <w:tcW w:w="10180" w:type="dxa"/>
            <w:vAlign w:val="bottom"/>
          </w:tcPr>
          <w:p>
            <w:pPr>
              <w:ind w:left="240"/>
              <w:spacing w:after="0" w:line="179" w:lineRule="exact"/>
              <w:rPr>
                <w:sz w:val="20"/>
                <w:szCs w:val="20"/>
                <w:color w:val="auto"/>
              </w:rPr>
            </w:pPr>
            <w:r>
              <w:rPr>
                <w:rFonts w:ascii="Arial" w:cs="Arial" w:eastAsia="Arial" w:hAnsi="Arial"/>
                <w:sz w:val="16"/>
                <w:szCs w:val="16"/>
                <w:color w:val="auto"/>
                <w:w w:val="94"/>
              </w:rPr>
              <w:t>Form of Notice of Grant of Performance Stock Units and Performance Stock Unit Award Agreement - Financial Measures, under the Western Digital</w:t>
            </w:r>
          </w:p>
        </w:tc>
      </w:tr>
      <w:tr>
        <w:trPr>
          <w:trHeight w:val="175"/>
        </w:trPr>
        <w:tc>
          <w:tcPr>
            <w:tcW w:w="1000" w:type="dxa"/>
            <w:vAlign w:val="bottom"/>
          </w:tcPr>
          <w:p>
            <w:pPr>
              <w:spacing w:after="0"/>
              <w:rPr>
                <w:sz w:val="15"/>
                <w:szCs w:val="15"/>
                <w:color w:val="auto"/>
              </w:rPr>
            </w:pPr>
          </w:p>
        </w:tc>
        <w:tc>
          <w:tcPr>
            <w:tcW w:w="10180" w:type="dxa"/>
            <w:vAlign w:val="bottom"/>
          </w:tcPr>
          <w:p>
            <w:pPr>
              <w:ind w:left="240"/>
              <w:spacing w:after="0" w:line="175" w:lineRule="exact"/>
              <w:rPr>
                <w:sz w:val="20"/>
                <w:szCs w:val="20"/>
                <w:color w:val="auto"/>
              </w:rPr>
            </w:pPr>
            <w:r>
              <w:rPr>
                <w:rFonts w:ascii="Arial" w:cs="Arial" w:eastAsia="Arial" w:hAnsi="Arial"/>
                <w:sz w:val="16"/>
                <w:szCs w:val="16"/>
                <w:color w:val="auto"/>
                <w:w w:val="96"/>
              </w:rPr>
              <w:t>Corporation 2017 Performance Incentive Plan (Filed as Exhibit 10.1 to the Company’s Quarterly Report on Form 10-Q (File No. 1-08703) with the</w:t>
            </w:r>
          </w:p>
        </w:tc>
      </w:tr>
      <w:tr>
        <w:trPr>
          <w:trHeight w:val="216"/>
        </w:trPr>
        <w:tc>
          <w:tcPr>
            <w:tcW w:w="1000" w:type="dxa"/>
            <w:vAlign w:val="bottom"/>
          </w:tcPr>
          <w:p>
            <w:pPr>
              <w:spacing w:after="0"/>
              <w:rPr>
                <w:sz w:val="18"/>
                <w:szCs w:val="18"/>
                <w:color w:val="auto"/>
              </w:rPr>
            </w:pPr>
          </w:p>
        </w:tc>
        <w:tc>
          <w:tcPr>
            <w:tcW w:w="10180" w:type="dxa"/>
            <w:vAlign w:val="bottom"/>
          </w:tcPr>
          <w:p>
            <w:pPr>
              <w:ind w:left="240"/>
              <w:spacing w:after="0"/>
              <w:rPr>
                <w:sz w:val="20"/>
                <w:szCs w:val="20"/>
                <w:color w:val="auto"/>
              </w:rPr>
            </w:pPr>
            <w:r>
              <w:rPr>
                <w:rFonts w:ascii="Arial" w:cs="Arial" w:eastAsia="Arial" w:hAnsi="Arial"/>
                <w:sz w:val="16"/>
                <w:szCs w:val="16"/>
                <w:color w:val="auto"/>
              </w:rPr>
              <w:t>Securities and Exchange Commission on November 6, 2018)*</w:t>
            </w:r>
          </w:p>
        </w:tc>
      </w:tr>
      <w:tr>
        <w:trPr>
          <w:trHeight w:val="175"/>
        </w:trPr>
        <w:tc>
          <w:tcPr>
            <w:tcW w:w="1000" w:type="dxa"/>
            <w:vAlign w:val="bottom"/>
            <w:shd w:val="clear" w:color="auto" w:fill="CCEEFF"/>
          </w:tcPr>
          <w:p>
            <w:pPr>
              <w:jc w:val="center"/>
              <w:ind w:left="19"/>
              <w:spacing w:after="0" w:line="175" w:lineRule="exact"/>
              <w:rPr>
                <w:rFonts w:ascii="Arial" w:cs="Arial" w:eastAsia="Arial" w:hAnsi="Arial"/>
                <w:sz w:val="16"/>
                <w:szCs w:val="16"/>
                <w:u w:val="single" w:color="auto"/>
                <w:color w:val="0000FF"/>
                <w:w w:val="94"/>
              </w:rPr>
            </w:pPr>
            <w:hyperlink r:id="rId147">
              <w:r>
                <w:rPr>
                  <w:rFonts w:ascii="Arial" w:cs="Arial" w:eastAsia="Arial" w:hAnsi="Arial"/>
                  <w:sz w:val="16"/>
                  <w:szCs w:val="16"/>
                  <w:u w:val="single" w:color="auto"/>
                  <w:color w:val="0000FF"/>
                  <w:w w:val="94"/>
                </w:rPr>
                <w:t>10.1.5</w:t>
              </w:r>
            </w:hyperlink>
          </w:p>
        </w:tc>
        <w:tc>
          <w:tcPr>
            <w:tcW w:w="10180" w:type="dxa"/>
            <w:vAlign w:val="bottom"/>
            <w:shd w:val="clear" w:color="auto" w:fill="CCEEFF"/>
          </w:tcPr>
          <w:p>
            <w:pPr>
              <w:ind w:left="240"/>
              <w:spacing w:after="0" w:line="175" w:lineRule="exact"/>
              <w:rPr>
                <w:sz w:val="20"/>
                <w:szCs w:val="20"/>
                <w:color w:val="auto"/>
              </w:rPr>
            </w:pPr>
            <w:r>
              <w:rPr>
                <w:rFonts w:ascii="Arial" w:cs="Arial" w:eastAsia="Arial" w:hAnsi="Arial"/>
                <w:sz w:val="16"/>
                <w:szCs w:val="16"/>
                <w:color w:val="auto"/>
                <w:w w:val="98"/>
              </w:rPr>
              <w:t>Form of Notice of Grant of Performance Stock Units and Performance Stock Unit Award Agreement - TSR Measure, under the Western Digital</w:t>
            </w:r>
          </w:p>
        </w:tc>
      </w:tr>
      <w:tr>
        <w:trPr>
          <w:trHeight w:val="162"/>
        </w:trPr>
        <w:tc>
          <w:tcPr>
            <w:tcW w:w="1000" w:type="dxa"/>
            <w:vAlign w:val="bottom"/>
            <w:shd w:val="clear" w:color="auto" w:fill="CCEEFF"/>
          </w:tcPr>
          <w:p>
            <w:pPr>
              <w:spacing w:after="0"/>
              <w:rPr>
                <w:sz w:val="14"/>
                <w:szCs w:val="14"/>
                <w:color w:val="auto"/>
              </w:rPr>
            </w:pPr>
          </w:p>
        </w:tc>
        <w:tc>
          <w:tcPr>
            <w:tcW w:w="1018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w w:val="96"/>
              </w:rPr>
              <w:t>Corporation 2017 Performance Incentive Plan (Filed as Exhibit 10.2 to the Company’s Quarterly Report on Form 10-Q (File No. 1-08703) with the</w:t>
            </w:r>
          </w:p>
        </w:tc>
      </w:tr>
      <w:tr>
        <w:trPr>
          <w:trHeight w:val="212"/>
        </w:trPr>
        <w:tc>
          <w:tcPr>
            <w:tcW w:w="1000" w:type="dxa"/>
            <w:vAlign w:val="bottom"/>
            <w:shd w:val="clear" w:color="auto" w:fill="CCEEFF"/>
          </w:tcPr>
          <w:p>
            <w:pPr>
              <w:spacing w:after="0"/>
              <w:rPr>
                <w:sz w:val="18"/>
                <w:szCs w:val="18"/>
                <w:color w:val="auto"/>
              </w:rPr>
            </w:pPr>
          </w:p>
        </w:tc>
        <w:tc>
          <w:tcPr>
            <w:tcW w:w="10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Securities and Exchange Commission on November 6, 2018)*</w:t>
            </w:r>
          </w:p>
        </w:tc>
      </w:tr>
      <w:tr>
        <w:trPr>
          <w:trHeight w:val="220"/>
        </w:trPr>
        <w:tc>
          <w:tcPr>
            <w:tcW w:w="1000" w:type="dxa"/>
            <w:vAlign w:val="bottom"/>
          </w:tcPr>
          <w:p>
            <w:pPr>
              <w:jc w:val="center"/>
              <w:ind w:left="19"/>
              <w:spacing w:after="0"/>
              <w:rPr>
                <w:rFonts w:ascii="Arial" w:cs="Arial" w:eastAsia="Arial" w:hAnsi="Arial"/>
                <w:sz w:val="16"/>
                <w:szCs w:val="16"/>
                <w:u w:val="single" w:color="auto"/>
                <w:color w:val="0000FF"/>
                <w:w w:val="94"/>
              </w:rPr>
            </w:pPr>
            <w:hyperlink r:id="rId148">
              <w:r>
                <w:rPr>
                  <w:rFonts w:ascii="Arial" w:cs="Arial" w:eastAsia="Arial" w:hAnsi="Arial"/>
                  <w:sz w:val="16"/>
                  <w:szCs w:val="16"/>
                  <w:u w:val="single" w:color="auto"/>
                  <w:color w:val="0000FF"/>
                  <w:w w:val="94"/>
                </w:rPr>
                <w:t>10.1.6</w:t>
              </w:r>
            </w:hyperlink>
          </w:p>
        </w:tc>
        <w:tc>
          <w:tcPr>
            <w:tcW w:w="10180" w:type="dxa"/>
            <w:vAlign w:val="bottom"/>
          </w:tcPr>
          <w:p>
            <w:pPr>
              <w:ind w:left="240"/>
              <w:spacing w:after="0"/>
              <w:rPr>
                <w:sz w:val="20"/>
                <w:szCs w:val="20"/>
                <w:color w:val="auto"/>
              </w:rPr>
            </w:pPr>
            <w:r>
              <w:rPr>
                <w:rFonts w:ascii="Arial" w:cs="Arial" w:eastAsia="Arial" w:hAnsi="Arial"/>
                <w:sz w:val="16"/>
                <w:szCs w:val="16"/>
                <w:color w:val="auto"/>
                <w:w w:val="94"/>
              </w:rPr>
              <w:t>Form of Notice of Grant of Performance Stock Units and Performance Stock Unit Award Agreement - Financial Measures, under the Western Digital</w:t>
            </w:r>
          </w:p>
        </w:tc>
      </w:tr>
      <w:tr>
        <w:trPr>
          <w:trHeight w:val="203"/>
        </w:trPr>
        <w:tc>
          <w:tcPr>
            <w:tcW w:w="1000" w:type="dxa"/>
            <w:vAlign w:val="bottom"/>
          </w:tcPr>
          <w:p>
            <w:pPr>
              <w:spacing w:after="0"/>
              <w:rPr>
                <w:sz w:val="17"/>
                <w:szCs w:val="17"/>
                <w:color w:val="auto"/>
              </w:rPr>
            </w:pPr>
          </w:p>
        </w:tc>
        <w:tc>
          <w:tcPr>
            <w:tcW w:w="10180" w:type="dxa"/>
            <w:vAlign w:val="bottom"/>
          </w:tcPr>
          <w:p>
            <w:pPr>
              <w:ind w:left="240"/>
              <w:spacing w:after="0"/>
              <w:rPr>
                <w:sz w:val="20"/>
                <w:szCs w:val="20"/>
                <w:color w:val="auto"/>
              </w:rPr>
            </w:pPr>
            <w:r>
              <w:rPr>
                <w:rFonts w:ascii="Arial" w:cs="Arial" w:eastAsia="Arial" w:hAnsi="Arial"/>
                <w:sz w:val="16"/>
                <w:szCs w:val="16"/>
                <w:color w:val="auto"/>
                <w:w w:val="96"/>
              </w:rPr>
              <w:t>Corporation 2017 Performance Incentive Plan (Filed as Exhibit 10.1 to the Company’s Quarterly Report on Form 10-Q (File No. 1-08703) with the</w:t>
            </w:r>
          </w:p>
        </w:tc>
      </w:tr>
      <w:tr>
        <w:trPr>
          <w:trHeight w:val="206"/>
        </w:trPr>
        <w:tc>
          <w:tcPr>
            <w:tcW w:w="1000" w:type="dxa"/>
            <w:vAlign w:val="bottom"/>
          </w:tcPr>
          <w:p>
            <w:pPr>
              <w:spacing w:after="0"/>
              <w:rPr>
                <w:sz w:val="17"/>
                <w:szCs w:val="17"/>
                <w:color w:val="auto"/>
              </w:rPr>
            </w:pPr>
          </w:p>
        </w:tc>
        <w:tc>
          <w:tcPr>
            <w:tcW w:w="10180" w:type="dxa"/>
            <w:vAlign w:val="bottom"/>
          </w:tcPr>
          <w:p>
            <w:pPr>
              <w:ind w:left="240"/>
              <w:spacing w:after="0"/>
              <w:rPr>
                <w:sz w:val="20"/>
                <w:szCs w:val="20"/>
                <w:color w:val="auto"/>
              </w:rPr>
            </w:pPr>
            <w:r>
              <w:rPr>
                <w:rFonts w:ascii="Arial" w:cs="Arial" w:eastAsia="Arial" w:hAnsi="Arial"/>
                <w:sz w:val="16"/>
                <w:szCs w:val="16"/>
                <w:color w:val="auto"/>
              </w:rPr>
              <w:t>Securities and Exchange Commission on November 12,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20955</wp:posOffset>
            </wp:positionV>
            <wp:extent cx="7106285" cy="419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06285" cy="4197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p>
      <w:pPr>
        <w:spacing w:after="0" w:line="37" w:lineRule="exact"/>
        <w:rPr>
          <w:sz w:val="20"/>
          <w:szCs w:val="20"/>
          <w:color w:val="auto"/>
        </w:rPr>
      </w:pPr>
    </w:p>
    <w:p>
      <w:pPr>
        <w:ind w:left="380"/>
        <w:spacing w:after="0"/>
        <w:rPr>
          <w:rFonts w:ascii="Arial" w:cs="Arial" w:eastAsia="Arial" w:hAnsi="Arial"/>
          <w:sz w:val="15"/>
          <w:szCs w:val="15"/>
          <w:u w:val="single" w:color="auto"/>
          <w:color w:val="0000FF"/>
        </w:rPr>
      </w:pPr>
      <w:hyperlink r:id="rId150">
        <w:r>
          <w:rPr>
            <w:rFonts w:ascii="Arial" w:cs="Arial" w:eastAsia="Arial" w:hAnsi="Arial"/>
            <w:sz w:val="15"/>
            <w:szCs w:val="15"/>
            <w:u w:val="single" w:color="auto"/>
            <w:color w:val="0000FF"/>
          </w:rPr>
          <w:t>10.1.7</w:t>
        </w:r>
      </w:hyperlink>
    </w:p>
    <w:p>
      <w:pPr>
        <w:spacing w:after="0" w:line="200" w:lineRule="exact"/>
        <w:rPr>
          <w:sz w:val="20"/>
          <w:szCs w:val="20"/>
          <w:color w:val="auto"/>
        </w:rPr>
      </w:pPr>
    </w:p>
    <w:p>
      <w:pPr>
        <w:spacing w:after="0" w:line="289" w:lineRule="exact"/>
        <w:rPr>
          <w:sz w:val="20"/>
          <w:szCs w:val="20"/>
          <w:color w:val="auto"/>
        </w:rPr>
      </w:pPr>
    </w:p>
    <w:p>
      <w:pPr>
        <w:ind w:left="380"/>
        <w:spacing w:after="0"/>
        <w:rPr>
          <w:rFonts w:ascii="Arial" w:cs="Arial" w:eastAsia="Arial" w:hAnsi="Arial"/>
          <w:sz w:val="15"/>
          <w:szCs w:val="15"/>
          <w:u w:val="single" w:color="auto"/>
          <w:color w:val="0000FF"/>
        </w:rPr>
      </w:pPr>
      <w:hyperlink r:id="rId151">
        <w:r>
          <w:rPr>
            <w:rFonts w:ascii="Arial" w:cs="Arial" w:eastAsia="Arial" w:hAnsi="Arial"/>
            <w:sz w:val="15"/>
            <w:szCs w:val="15"/>
            <w:u w:val="single" w:color="auto"/>
            <w:color w:val="0000FF"/>
          </w:rPr>
          <w:t>10.1.8</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spacing w:after="0"/>
        <w:rPr>
          <w:rFonts w:ascii="Arial" w:cs="Arial" w:eastAsia="Arial" w:hAnsi="Arial"/>
          <w:sz w:val="15"/>
          <w:szCs w:val="15"/>
          <w:u w:val="single" w:color="auto"/>
          <w:color w:val="0000FF"/>
        </w:rPr>
      </w:pPr>
      <w:hyperlink r:id="rId152">
        <w:r>
          <w:rPr>
            <w:rFonts w:ascii="Arial" w:cs="Arial" w:eastAsia="Arial" w:hAnsi="Arial"/>
            <w:sz w:val="15"/>
            <w:szCs w:val="15"/>
            <w:u w:val="single" w:color="auto"/>
            <w:color w:val="0000FF"/>
          </w:rPr>
          <w:t>10.1.9</w:t>
        </w:r>
      </w:hyperlink>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Form of Notice of Grant of Performance Stock Units and Performance Stock Unit Award Agreement - TSR Measure, under the Western Digital Corporation 2017 Performance Incentive Plan (Filed as Exhibit 10.2 to the Company’s Quarterly Report on Form 10-Q (File No. 1-08703) with the Securities and Exchange Commission on November 12, 2019)*</w:t>
      </w:r>
    </w:p>
    <w:p>
      <w:pPr>
        <w:spacing w:after="0" w:line="2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Form of Notice of Grant of Stock Option and Option Agreement - Executives, as amended on November 3, 2015, under the Western Digital Corporation Amended and Restated 2004 Performance Incentive Plan (now named the Western Digital Corporation 2017 Performance Incentive Plan) (Filed as Exhibit 10.1.1 to the Company’s Quarterly Report on Form 10-Q (File No. 1-08703) with the Securities and Exchange Commission on February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6350</wp:posOffset>
            </wp:positionV>
            <wp:extent cx="7106285" cy="548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106285" cy="548640"/>
                    </a:xfrm>
                    <a:prstGeom prst="rect">
                      <a:avLst/>
                    </a:prstGeom>
                    <a:noFill/>
                  </pic:spPr>
                </pic:pic>
              </a:graphicData>
            </a:graphic>
          </wp:anchor>
        </w:drawing>
      </w:r>
    </w:p>
    <w:p>
      <w:pPr>
        <w:spacing w:after="0" w:line="7"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Form of Notice of Grant of Stock Units and Stock Unit Award Agreement - Executives, as amended on November 3, 2015, under the Western Digital Corporation Amended and Restated 2004 Performance Incentive Plan (now named the Western Digital Corporation 2017 Performance Incentive Plan) (Filed as Exhibit 10.1.3 to the Company’s Quarterly Report on Form 10-Q (File No. 1-08703) with the Securities and Exchange Commission on February 10, 2016)*</w:t>
      </w:r>
    </w:p>
    <w:p>
      <w:pPr>
        <w:spacing w:after="0" w:line="200" w:lineRule="exact"/>
        <w:rPr>
          <w:sz w:val="20"/>
          <w:szCs w:val="20"/>
          <w:color w:val="auto"/>
        </w:rPr>
      </w:pPr>
    </w:p>
    <w:p>
      <w:pPr>
        <w:sectPr>
          <w:pgSz w:w="11900" w:h="16838" w:orient="portrait"/>
          <w:cols w:equalWidth="0" w:num="2">
            <w:col w:w="800" w:space="480"/>
            <w:col w:w="9940"/>
          </w:cols>
          <w:pgMar w:left="320" w:top="125" w:right="35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6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9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120" w:type="dxa"/>
            <w:vAlign w:val="bottom"/>
            <w:tcBorders>
              <w:top w:val="single" w:sz="8" w:color="auto"/>
            </w:tcBorders>
          </w:tcPr>
          <w:p>
            <w:pPr>
              <w:jc w:val="center"/>
              <w:spacing w:after="0"/>
              <w:rPr>
                <w:rFonts w:ascii="Arial" w:cs="Arial" w:eastAsia="Arial" w:hAnsi="Arial"/>
                <w:sz w:val="16"/>
                <w:szCs w:val="16"/>
                <w:u w:val="single" w:color="auto"/>
                <w:color w:val="0000FF"/>
                <w:w w:val="93"/>
              </w:rPr>
            </w:pPr>
            <w:hyperlink r:id="rId155">
              <w:r>
                <w:rPr>
                  <w:rFonts w:ascii="Arial" w:cs="Arial" w:eastAsia="Arial" w:hAnsi="Arial"/>
                  <w:sz w:val="16"/>
                  <w:szCs w:val="16"/>
                  <w:u w:val="single" w:color="auto"/>
                  <w:color w:val="0000FF"/>
                  <w:w w:val="93"/>
                </w:rPr>
                <w:t>10.1.10</w:t>
              </w:r>
            </w:hyperlink>
          </w:p>
        </w:tc>
        <w:tc>
          <w:tcPr>
            <w:tcW w:w="100" w:type="dxa"/>
            <w:vAlign w:val="bottom"/>
          </w:tcPr>
          <w:p>
            <w:pPr>
              <w:spacing w:after="0"/>
              <w:rPr>
                <w:sz w:val="19"/>
                <w:szCs w:val="19"/>
                <w:color w:val="auto"/>
              </w:rPr>
            </w:pPr>
          </w:p>
        </w:tc>
        <w:tc>
          <w:tcPr>
            <w:tcW w:w="99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5"/>
              </w:rPr>
              <w:t>Form of Notice of Grant of Stock Units and Stock Unit Award Agreement, as amended on November 3, 2015, under the Western Digital Corporation</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5"/>
              </w:rPr>
              <w:t>Amended and Restated 2004 Performance Incentive Plan (now named the Western Digital Corporation 2017 Performance Incentive Plan) (Filed as</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5"/>
              </w:rPr>
              <w:t>Exhibit 10.1.4 to the Company’s Quarterly Report on Form 10-Q (File No. 1-08703) with the Securities and Exchange Commission on February 10,</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shd w:val="clear" w:color="auto" w:fill="CCEEFF"/>
          </w:tcPr>
          <w:p>
            <w:pPr>
              <w:jc w:val="center"/>
              <w:spacing w:after="0"/>
              <w:rPr>
                <w:rFonts w:ascii="Arial" w:cs="Arial" w:eastAsia="Arial" w:hAnsi="Arial"/>
                <w:sz w:val="16"/>
                <w:szCs w:val="16"/>
                <w:u w:val="single" w:color="auto"/>
                <w:color w:val="0000FF"/>
                <w:w w:val="89"/>
              </w:rPr>
            </w:pPr>
            <w:hyperlink r:id="rId156">
              <w:r>
                <w:rPr>
                  <w:rFonts w:ascii="Arial" w:cs="Arial" w:eastAsia="Arial" w:hAnsi="Arial"/>
                  <w:sz w:val="16"/>
                  <w:szCs w:val="16"/>
                  <w:u w:val="single" w:color="auto"/>
                  <w:color w:val="0000FF"/>
                  <w:w w:val="89"/>
                </w:rPr>
                <w:t>10.1.11</w:t>
              </w:r>
            </w:hyperlink>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Western Digital Corporation 2017 Performance Incentive Plan Non-Employee Director Restricted Stock Unit Grant Program, as amended November 1,</w:t>
            </w: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2017 (Filed as Exhibit 10.2 to the Company’s Quarterly Report on Form 10-Q (File No. 1-08703) with the Securities and Exchange Commission on</w:t>
            </w:r>
          </w:p>
        </w:tc>
        <w:tc>
          <w:tcPr>
            <w:tcW w:w="0" w:type="dxa"/>
            <w:vAlign w:val="bottom"/>
          </w:tcPr>
          <w:p>
            <w:pPr>
              <w:spacing w:after="0"/>
              <w:rPr>
                <w:sz w:val="1"/>
                <w:szCs w:val="1"/>
                <w:color w:val="auto"/>
              </w:rPr>
            </w:pPr>
          </w:p>
        </w:tc>
      </w:tr>
      <w:tr>
        <w:trPr>
          <w:trHeight w:val="219"/>
        </w:trPr>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February 6, 2018)*</w:t>
            </w:r>
          </w:p>
        </w:tc>
        <w:tc>
          <w:tcPr>
            <w:tcW w:w="0" w:type="dxa"/>
            <w:vAlign w:val="bottom"/>
          </w:tcPr>
          <w:p>
            <w:pPr>
              <w:spacing w:after="0"/>
              <w:rPr>
                <w:sz w:val="1"/>
                <w:szCs w:val="1"/>
                <w:color w:val="auto"/>
              </w:rPr>
            </w:pPr>
          </w:p>
        </w:tc>
      </w:tr>
      <w:tr>
        <w:trPr>
          <w:trHeight w:val="179"/>
        </w:trPr>
        <w:tc>
          <w:tcPr>
            <w:tcW w:w="1120" w:type="dxa"/>
            <w:vAlign w:val="bottom"/>
          </w:tcPr>
          <w:p>
            <w:pPr>
              <w:jc w:val="center"/>
              <w:spacing w:after="0" w:line="179" w:lineRule="exact"/>
              <w:rPr>
                <w:rFonts w:ascii="Arial" w:cs="Arial" w:eastAsia="Arial" w:hAnsi="Arial"/>
                <w:sz w:val="16"/>
                <w:szCs w:val="16"/>
                <w:u w:val="single" w:color="auto"/>
                <w:color w:val="0000FF"/>
                <w:w w:val="93"/>
              </w:rPr>
            </w:pPr>
            <w:hyperlink r:id="rId157">
              <w:r>
                <w:rPr>
                  <w:rFonts w:ascii="Arial" w:cs="Arial" w:eastAsia="Arial" w:hAnsi="Arial"/>
                  <w:sz w:val="16"/>
                  <w:szCs w:val="16"/>
                  <w:u w:val="single" w:color="auto"/>
                  <w:color w:val="0000FF"/>
                  <w:w w:val="93"/>
                </w:rPr>
                <w:t>10.1.12</w:t>
              </w:r>
            </w:hyperlink>
          </w:p>
        </w:tc>
        <w:tc>
          <w:tcPr>
            <w:tcW w:w="100" w:type="dxa"/>
            <w:vAlign w:val="bottom"/>
          </w:tcPr>
          <w:p>
            <w:pPr>
              <w:spacing w:after="0"/>
              <w:rPr>
                <w:sz w:val="15"/>
                <w:szCs w:val="15"/>
                <w:color w:val="auto"/>
              </w:rPr>
            </w:pPr>
          </w:p>
        </w:tc>
        <w:tc>
          <w:tcPr>
            <w:tcW w:w="9960" w:type="dxa"/>
            <w:vAlign w:val="bottom"/>
          </w:tcPr>
          <w:p>
            <w:pPr>
              <w:ind w:left="20"/>
              <w:spacing w:after="0" w:line="179" w:lineRule="exact"/>
              <w:rPr>
                <w:sz w:val="20"/>
                <w:szCs w:val="20"/>
                <w:color w:val="auto"/>
              </w:rPr>
            </w:pPr>
            <w:r>
              <w:rPr>
                <w:rFonts w:ascii="Arial" w:cs="Arial" w:eastAsia="Arial" w:hAnsi="Arial"/>
                <w:sz w:val="16"/>
                <w:szCs w:val="16"/>
                <w:color w:val="auto"/>
                <w:w w:val="94"/>
              </w:rPr>
              <w:t>Form of Notice of Grant of Restricted Stock Units and Restricted Stock Unit Award Agreement - Vice President and Above under the Western Digital</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6"/>
              </w:rPr>
              <w:t>Corporation 2017 Performance Incentive Plan (Filed as Exhibit 10.3 to the Company’s Quarterly Report on Form 10-Q (File No. 1-08703) with the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Securities and Exchange Commission on November 6, 2018)*</w:t>
            </w: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rPr>
                <w:rFonts w:ascii="Arial" w:cs="Arial" w:eastAsia="Arial" w:hAnsi="Arial"/>
                <w:sz w:val="16"/>
                <w:szCs w:val="16"/>
                <w:u w:val="single" w:color="auto"/>
                <w:color w:val="0000FF"/>
                <w:w w:val="93"/>
              </w:rPr>
            </w:pPr>
            <w:hyperlink r:id="rId158">
              <w:r>
                <w:rPr>
                  <w:rFonts w:ascii="Arial" w:cs="Arial" w:eastAsia="Arial" w:hAnsi="Arial"/>
                  <w:sz w:val="16"/>
                  <w:szCs w:val="16"/>
                  <w:u w:val="single" w:color="auto"/>
                  <w:color w:val="0000FF"/>
                  <w:w w:val="93"/>
                </w:rPr>
                <w:t>10.1.13</w:t>
              </w:r>
            </w:hyperlink>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Form of Notice of Grant of Restricted Stock Units and Restricted Stock Unit Award Agreement - Vice President and Above under the Western Digital</w:t>
            </w: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6"/>
              </w:rPr>
              <w:t>Corporation 2017 Performance Incentive Plan (Filed as Exhibit 10.3 to the Company’s Quarterly Report on Form 10-Q (File No. 1-08703) with the</w:t>
            </w:r>
          </w:p>
        </w:tc>
        <w:tc>
          <w:tcPr>
            <w:tcW w:w="0" w:type="dxa"/>
            <w:vAlign w:val="bottom"/>
          </w:tcPr>
          <w:p>
            <w:pPr>
              <w:spacing w:after="0"/>
              <w:rPr>
                <w:sz w:val="1"/>
                <w:szCs w:val="1"/>
                <w:color w:val="auto"/>
              </w:rPr>
            </w:pPr>
          </w:p>
        </w:tc>
      </w:tr>
      <w:tr>
        <w:trPr>
          <w:trHeight w:val="226"/>
        </w:trPr>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and Exchange Commission on November 12, 2019)*</w:t>
            </w:r>
          </w:p>
        </w:tc>
        <w:tc>
          <w:tcPr>
            <w:tcW w:w="0" w:type="dxa"/>
            <w:vAlign w:val="bottom"/>
          </w:tcPr>
          <w:p>
            <w:pPr>
              <w:spacing w:after="0"/>
              <w:rPr>
                <w:sz w:val="1"/>
                <w:szCs w:val="1"/>
                <w:color w:val="auto"/>
              </w:rPr>
            </w:pPr>
          </w:p>
        </w:tc>
      </w:tr>
      <w:tr>
        <w:trPr>
          <w:trHeight w:val="179"/>
        </w:trPr>
        <w:tc>
          <w:tcPr>
            <w:tcW w:w="1120" w:type="dxa"/>
            <w:vAlign w:val="bottom"/>
          </w:tcPr>
          <w:p>
            <w:pPr>
              <w:jc w:val="center"/>
              <w:spacing w:after="0" w:line="179" w:lineRule="exact"/>
              <w:rPr>
                <w:rFonts w:ascii="Arial" w:cs="Arial" w:eastAsia="Arial" w:hAnsi="Arial"/>
                <w:sz w:val="16"/>
                <w:szCs w:val="16"/>
                <w:u w:val="single" w:color="auto"/>
                <w:color w:val="0000FF"/>
                <w:w w:val="93"/>
              </w:rPr>
            </w:pPr>
            <w:hyperlink r:id="rId159">
              <w:r>
                <w:rPr>
                  <w:rFonts w:ascii="Arial" w:cs="Arial" w:eastAsia="Arial" w:hAnsi="Arial"/>
                  <w:sz w:val="16"/>
                  <w:szCs w:val="16"/>
                  <w:u w:val="single" w:color="auto"/>
                  <w:color w:val="0000FF"/>
                  <w:w w:val="93"/>
                </w:rPr>
                <w:t>10.1.14</w:t>
              </w:r>
            </w:hyperlink>
          </w:p>
        </w:tc>
        <w:tc>
          <w:tcPr>
            <w:tcW w:w="100" w:type="dxa"/>
            <w:vAlign w:val="bottom"/>
          </w:tcPr>
          <w:p>
            <w:pPr>
              <w:spacing w:after="0"/>
              <w:rPr>
                <w:sz w:val="15"/>
                <w:szCs w:val="15"/>
                <w:color w:val="auto"/>
              </w:rPr>
            </w:pPr>
          </w:p>
        </w:tc>
        <w:tc>
          <w:tcPr>
            <w:tcW w:w="9960" w:type="dxa"/>
            <w:vAlign w:val="bottom"/>
          </w:tcPr>
          <w:p>
            <w:pPr>
              <w:ind w:left="20"/>
              <w:spacing w:after="0" w:line="179" w:lineRule="exact"/>
              <w:rPr>
                <w:sz w:val="20"/>
                <w:szCs w:val="20"/>
                <w:color w:val="auto"/>
              </w:rPr>
            </w:pPr>
            <w:r>
              <w:rPr>
                <w:rFonts w:ascii="Arial" w:cs="Arial" w:eastAsia="Arial" w:hAnsi="Arial"/>
                <w:sz w:val="16"/>
                <w:szCs w:val="16"/>
                <w:color w:val="auto"/>
              </w:rPr>
              <w:t>Form of Notice of Grant of Restricted Stock Units and Restricted Stock Unit Award Agreement under the Western Digital Corporation 2017</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60" w:type="dxa"/>
            <w:vAlign w:val="bottom"/>
          </w:tcPr>
          <w:p>
            <w:pPr>
              <w:ind w:left="20"/>
              <w:spacing w:after="0" w:line="175" w:lineRule="exact"/>
              <w:rPr>
                <w:sz w:val="20"/>
                <w:szCs w:val="20"/>
                <w:color w:val="auto"/>
              </w:rPr>
            </w:pPr>
            <w:r>
              <w:rPr>
                <w:rFonts w:ascii="Arial" w:cs="Arial" w:eastAsia="Arial" w:hAnsi="Arial"/>
                <w:sz w:val="16"/>
                <w:szCs w:val="16"/>
                <w:color w:val="auto"/>
                <w:w w:val="98"/>
              </w:rPr>
              <w:t>Performance Incentive Plan (Filed as Exhibit 10.4 to the Company’s Quarterly Report on Form 10-Q (File No. 1-08703) with the Securities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Exchange Commission on November 6, 2018)*</w:t>
            </w: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jc w:val="center"/>
              <w:spacing w:after="0"/>
              <w:rPr>
                <w:rFonts w:ascii="Arial" w:cs="Arial" w:eastAsia="Arial" w:hAnsi="Arial"/>
                <w:sz w:val="16"/>
                <w:szCs w:val="16"/>
                <w:u w:val="single" w:color="auto"/>
                <w:color w:val="0000FF"/>
                <w:w w:val="93"/>
              </w:rPr>
            </w:pPr>
            <w:hyperlink r:id="rId160">
              <w:r>
                <w:rPr>
                  <w:rFonts w:ascii="Arial" w:cs="Arial" w:eastAsia="Arial" w:hAnsi="Arial"/>
                  <w:sz w:val="16"/>
                  <w:szCs w:val="16"/>
                  <w:u w:val="single" w:color="auto"/>
                  <w:color w:val="0000FF"/>
                  <w:w w:val="93"/>
                </w:rPr>
                <w:t>10.1.15</w:t>
              </w:r>
            </w:hyperlink>
          </w:p>
        </w:tc>
        <w:tc>
          <w:tcPr>
            <w:tcW w:w="100" w:type="dxa"/>
            <w:vAlign w:val="bottom"/>
            <w:shd w:val="clear" w:color="auto" w:fill="CCEEFF"/>
          </w:tcPr>
          <w:p>
            <w:pPr>
              <w:spacing w:after="0"/>
              <w:rPr>
                <w:sz w:val="16"/>
                <w:szCs w:val="16"/>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Notice of Grant of Restricted Stock Units and Restricted Stock Unit Award Agreement – CEO Sign-On Award (Filed as Exhibit 10.2 to the Company’s</w:t>
            </w:r>
          </w:p>
        </w:tc>
        <w:tc>
          <w:tcPr>
            <w:tcW w:w="0" w:type="dxa"/>
            <w:vAlign w:val="bottom"/>
          </w:tcPr>
          <w:p>
            <w:pPr>
              <w:spacing w:after="0"/>
              <w:rPr>
                <w:sz w:val="1"/>
                <w:szCs w:val="1"/>
                <w:color w:val="auto"/>
              </w:rPr>
            </w:pPr>
          </w:p>
        </w:tc>
      </w:tr>
      <w:tr>
        <w:trPr>
          <w:trHeight w:val="226"/>
        </w:trPr>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Quarterly Report on Form 10-Q (File No. 1-08703) with the Securities and Exchange Commission on May 8, 2020)*</w:t>
            </w:r>
          </w:p>
        </w:tc>
        <w:tc>
          <w:tcPr>
            <w:tcW w:w="0" w:type="dxa"/>
            <w:vAlign w:val="bottom"/>
          </w:tcPr>
          <w:p>
            <w:pPr>
              <w:spacing w:after="0"/>
              <w:rPr>
                <w:sz w:val="1"/>
                <w:szCs w:val="1"/>
                <w:color w:val="auto"/>
              </w:rPr>
            </w:pPr>
          </w:p>
        </w:tc>
      </w:tr>
      <w:tr>
        <w:trPr>
          <w:trHeight w:val="220"/>
        </w:trPr>
        <w:tc>
          <w:tcPr>
            <w:tcW w:w="1120" w:type="dxa"/>
            <w:vAlign w:val="bottom"/>
          </w:tcPr>
          <w:p>
            <w:pPr>
              <w:jc w:val="center"/>
              <w:spacing w:after="0"/>
              <w:rPr>
                <w:rFonts w:ascii="Arial" w:cs="Arial" w:eastAsia="Arial" w:hAnsi="Arial"/>
                <w:sz w:val="16"/>
                <w:szCs w:val="16"/>
                <w:u w:val="single" w:color="auto"/>
                <w:color w:val="0000FF"/>
                <w:w w:val="93"/>
              </w:rPr>
            </w:pPr>
            <w:hyperlink r:id="rId161">
              <w:r>
                <w:rPr>
                  <w:rFonts w:ascii="Arial" w:cs="Arial" w:eastAsia="Arial" w:hAnsi="Arial"/>
                  <w:sz w:val="16"/>
                  <w:szCs w:val="16"/>
                  <w:u w:val="single" w:color="auto"/>
                  <w:color w:val="0000FF"/>
                  <w:w w:val="93"/>
                </w:rPr>
                <w:t>10.1.16</w:t>
              </w:r>
            </w:hyperlink>
          </w:p>
        </w:tc>
        <w:tc>
          <w:tcPr>
            <w:tcW w:w="100" w:type="dxa"/>
            <w:vAlign w:val="bottom"/>
          </w:tcPr>
          <w:p>
            <w:pPr>
              <w:spacing w:after="0"/>
              <w:rPr>
                <w:sz w:val="19"/>
                <w:szCs w:val="19"/>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5"/>
              </w:rPr>
              <w:t>Notice of Grant of Performance Stock Units and Performance Stock Unit Award – TSR Measure (CEO Sign-On Award) (Filed as Exhibit 10.3 to the</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Company’s Quarterly Report on Form 10-Q (File No. 1-08703) with the Securities and Exchange Commission on May 8, 2020)*</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shd w:val="clear" w:color="auto" w:fill="CCEEFF"/>
          </w:tcPr>
          <w:p>
            <w:pPr>
              <w:jc w:val="center"/>
              <w:spacing w:after="0"/>
              <w:rPr>
                <w:rFonts w:ascii="Arial" w:cs="Arial" w:eastAsia="Arial" w:hAnsi="Arial"/>
                <w:sz w:val="16"/>
                <w:szCs w:val="16"/>
                <w:u w:val="single" w:color="auto"/>
                <w:color w:val="0000FF"/>
                <w:w w:val="96"/>
              </w:rPr>
            </w:pPr>
            <w:hyperlink r:id="rId162">
              <w:r>
                <w:rPr>
                  <w:rFonts w:ascii="Arial" w:cs="Arial" w:eastAsia="Arial" w:hAnsi="Arial"/>
                  <w:sz w:val="16"/>
                  <w:szCs w:val="16"/>
                  <w:u w:val="single" w:color="auto"/>
                  <w:color w:val="0000FF"/>
                  <w:w w:val="96"/>
                </w:rPr>
                <w:t>10.2</w:t>
              </w:r>
            </w:hyperlink>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Western Digital Corporation Executive Short-Term Incentive Plan (supersedes the Western Digital Corporation Incentive Compensation Plan), dated</w:t>
            </w: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960" w:type="dxa"/>
            <w:vAlign w:val="bottom"/>
            <w:shd w:val="clear" w:color="auto" w:fill="CCEEFF"/>
          </w:tcPr>
          <w:p>
            <w:pPr>
              <w:ind w:left="20"/>
              <w:spacing w:after="0" w:line="184" w:lineRule="exact"/>
              <w:rPr>
                <w:sz w:val="20"/>
                <w:szCs w:val="20"/>
                <w:color w:val="auto"/>
              </w:rPr>
            </w:pPr>
            <w:r>
              <w:rPr>
                <w:rFonts w:ascii="Arial" w:cs="Arial" w:eastAsia="Arial" w:hAnsi="Arial"/>
                <w:sz w:val="16"/>
                <w:szCs w:val="16"/>
                <w:color w:val="auto"/>
              </w:rPr>
              <w:t>August 7, 2019 (Filed as Exhibit 10.4 to the Company’s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(File No. 1-08703) with the Securities and Exchange</w:t>
            </w:r>
          </w:p>
        </w:tc>
        <w:tc>
          <w:tcPr>
            <w:tcW w:w="0" w:type="dxa"/>
            <w:vAlign w:val="bottom"/>
          </w:tcPr>
          <w:p>
            <w:pPr>
              <w:spacing w:after="0"/>
              <w:rPr>
                <w:sz w:val="1"/>
                <w:szCs w:val="1"/>
                <w:color w:val="auto"/>
              </w:rPr>
            </w:pPr>
          </w:p>
        </w:tc>
      </w:tr>
      <w:tr>
        <w:trPr>
          <w:trHeight w:val="219"/>
        </w:trPr>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Commission on November 12, 2019)*</w:t>
            </w:r>
          </w:p>
        </w:tc>
        <w:tc>
          <w:tcPr>
            <w:tcW w:w="0" w:type="dxa"/>
            <w:vAlign w:val="bottom"/>
          </w:tcPr>
          <w:p>
            <w:pPr>
              <w:spacing w:after="0"/>
              <w:rPr>
                <w:sz w:val="1"/>
                <w:szCs w:val="1"/>
                <w:color w:val="auto"/>
              </w:rPr>
            </w:pPr>
          </w:p>
        </w:tc>
      </w:tr>
      <w:tr>
        <w:trPr>
          <w:trHeight w:val="220"/>
        </w:trPr>
        <w:tc>
          <w:tcPr>
            <w:tcW w:w="1120" w:type="dxa"/>
            <w:vAlign w:val="bottom"/>
          </w:tcPr>
          <w:p>
            <w:pPr>
              <w:jc w:val="center"/>
              <w:spacing w:after="0"/>
              <w:rPr>
                <w:rFonts w:ascii="Arial" w:cs="Arial" w:eastAsia="Arial" w:hAnsi="Arial"/>
                <w:sz w:val="16"/>
                <w:szCs w:val="16"/>
                <w:u w:val="single" w:color="auto"/>
                <w:color w:val="0000FF"/>
                <w:w w:val="96"/>
              </w:rPr>
            </w:pPr>
            <w:hyperlink r:id="rId163">
              <w:r>
                <w:rPr>
                  <w:rFonts w:ascii="Arial" w:cs="Arial" w:eastAsia="Arial" w:hAnsi="Arial"/>
                  <w:sz w:val="16"/>
                  <w:szCs w:val="16"/>
                  <w:u w:val="single" w:color="auto"/>
                  <w:color w:val="0000FF"/>
                  <w:w w:val="96"/>
                </w:rPr>
                <w:t>10.3</w:t>
              </w:r>
            </w:hyperlink>
          </w:p>
        </w:tc>
        <w:tc>
          <w:tcPr>
            <w:tcW w:w="100" w:type="dxa"/>
            <w:vAlign w:val="bottom"/>
          </w:tcPr>
          <w:p>
            <w:pPr>
              <w:spacing w:after="0"/>
              <w:rPr>
                <w:sz w:val="19"/>
                <w:szCs w:val="19"/>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4"/>
              </w:rPr>
              <w:t>Western Digital Corporation Amended and Restated 2005 Employee Stock Purchase Plan, as amended August 2, 2018 (Filed as Exhibit 10.2 to the</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Company’s Current Report on Form 8-K (File No. 1-08703) with the Securities and Exchange Commission on November 7, 2018)*</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shd w:val="clear" w:color="auto" w:fill="CCEEFF"/>
          </w:tcPr>
          <w:p>
            <w:pPr>
              <w:jc w:val="center"/>
              <w:spacing w:after="0"/>
              <w:rPr>
                <w:rFonts w:ascii="Arial" w:cs="Arial" w:eastAsia="Arial" w:hAnsi="Arial"/>
                <w:sz w:val="16"/>
                <w:szCs w:val="16"/>
                <w:u w:val="single" w:color="auto"/>
                <w:color w:val="0000FF"/>
                <w:w w:val="96"/>
              </w:rPr>
            </w:pPr>
            <w:hyperlink r:id="rId164">
              <w:r>
                <w:rPr>
                  <w:rFonts w:ascii="Arial" w:cs="Arial" w:eastAsia="Arial" w:hAnsi="Arial"/>
                  <w:sz w:val="16"/>
                  <w:szCs w:val="16"/>
                  <w:u w:val="single" w:color="auto"/>
                  <w:color w:val="0000FF"/>
                  <w:w w:val="96"/>
                </w:rPr>
                <w:t>10.4</w:t>
              </w:r>
            </w:hyperlink>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SanDisk Corporation 2013 Incentive Plan (Filed as Exhibit 4.2 to the Company’s Registration Statement on Form S-8 (File No. 333-211420) with the</w:t>
            </w:r>
          </w:p>
        </w:tc>
        <w:tc>
          <w:tcPr>
            <w:tcW w:w="0" w:type="dxa"/>
            <w:vAlign w:val="bottom"/>
          </w:tcPr>
          <w:p>
            <w:pPr>
              <w:spacing w:after="0"/>
              <w:rPr>
                <w:sz w:val="1"/>
                <w:szCs w:val="1"/>
                <w:color w:val="auto"/>
              </w:rPr>
            </w:pPr>
          </w:p>
        </w:tc>
      </w:tr>
      <w:tr>
        <w:trPr>
          <w:trHeight w:val="219"/>
        </w:trPr>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 and Exchange Commission on May 17, 2016)*</w:t>
            </w:r>
          </w:p>
        </w:tc>
        <w:tc>
          <w:tcPr>
            <w:tcW w:w="0" w:type="dxa"/>
            <w:vAlign w:val="bottom"/>
          </w:tcPr>
          <w:p>
            <w:pPr>
              <w:spacing w:after="0"/>
              <w:rPr>
                <w:sz w:val="1"/>
                <w:szCs w:val="1"/>
                <w:color w:val="auto"/>
              </w:rPr>
            </w:pPr>
          </w:p>
        </w:tc>
      </w:tr>
      <w:tr>
        <w:trPr>
          <w:trHeight w:val="179"/>
        </w:trPr>
        <w:tc>
          <w:tcPr>
            <w:tcW w:w="1120" w:type="dxa"/>
            <w:vAlign w:val="bottom"/>
          </w:tcPr>
          <w:p>
            <w:pPr>
              <w:jc w:val="center"/>
              <w:spacing w:after="0" w:line="179" w:lineRule="exact"/>
              <w:rPr>
                <w:rFonts w:ascii="Arial" w:cs="Arial" w:eastAsia="Arial" w:hAnsi="Arial"/>
                <w:sz w:val="16"/>
                <w:szCs w:val="16"/>
                <w:u w:val="single" w:color="auto"/>
                <w:color w:val="0000FF"/>
                <w:w w:val="96"/>
              </w:rPr>
            </w:pPr>
            <w:hyperlink r:id="rId165">
              <w:r>
                <w:rPr>
                  <w:rFonts w:ascii="Arial" w:cs="Arial" w:eastAsia="Arial" w:hAnsi="Arial"/>
                  <w:sz w:val="16"/>
                  <w:szCs w:val="16"/>
                  <w:u w:val="single" w:color="auto"/>
                  <w:color w:val="0000FF"/>
                  <w:w w:val="96"/>
                </w:rPr>
                <w:t>10.5</w:t>
              </w:r>
            </w:hyperlink>
          </w:p>
        </w:tc>
        <w:tc>
          <w:tcPr>
            <w:tcW w:w="100" w:type="dxa"/>
            <w:vAlign w:val="bottom"/>
          </w:tcPr>
          <w:p>
            <w:pPr>
              <w:spacing w:after="0"/>
              <w:rPr>
                <w:sz w:val="15"/>
                <w:szCs w:val="15"/>
                <w:color w:val="auto"/>
              </w:rPr>
            </w:pPr>
          </w:p>
        </w:tc>
        <w:tc>
          <w:tcPr>
            <w:tcW w:w="9960" w:type="dxa"/>
            <w:vAlign w:val="bottom"/>
          </w:tcPr>
          <w:p>
            <w:pPr>
              <w:ind w:left="20"/>
              <w:spacing w:after="0" w:line="179" w:lineRule="exact"/>
              <w:rPr>
                <w:sz w:val="20"/>
                <w:szCs w:val="20"/>
                <w:color w:val="auto"/>
              </w:rPr>
            </w:pPr>
            <w:r>
              <w:rPr>
                <w:rFonts w:ascii="Arial" w:cs="Arial" w:eastAsia="Arial" w:hAnsi="Arial"/>
                <w:sz w:val="16"/>
                <w:szCs w:val="16"/>
                <w:color w:val="auto"/>
                <w:w w:val="92"/>
              </w:rPr>
              <w:t>Amended and Restated Deferred Compensation Plan, amended and restated effective January 1, 2013 (Filed as Exhibit 10.4 to the Company’s Annual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Report on Form 10-Q (File No. 1-08703) with the Securities and Exchange Commission on November 2, 2012)*</w:t>
            </w: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jc w:val="center"/>
              <w:spacing w:after="0" w:line="175" w:lineRule="exact"/>
              <w:rPr>
                <w:rFonts w:ascii="Arial" w:cs="Arial" w:eastAsia="Arial" w:hAnsi="Arial"/>
                <w:sz w:val="16"/>
                <w:szCs w:val="16"/>
                <w:u w:val="single" w:color="auto"/>
                <w:color w:val="0000FF"/>
                <w:w w:val="96"/>
              </w:rPr>
            </w:pPr>
            <w:hyperlink r:id="rId166">
              <w:r>
                <w:rPr>
                  <w:rFonts w:ascii="Arial" w:cs="Arial" w:eastAsia="Arial" w:hAnsi="Arial"/>
                  <w:sz w:val="16"/>
                  <w:szCs w:val="16"/>
                  <w:u w:val="single" w:color="auto"/>
                  <w:color w:val="0000FF"/>
                  <w:w w:val="96"/>
                </w:rPr>
                <w:t>10.6</w:t>
              </w:r>
            </w:hyperlink>
          </w:p>
        </w:tc>
        <w:tc>
          <w:tcPr>
            <w:tcW w:w="100" w:type="dxa"/>
            <w:vAlign w:val="bottom"/>
            <w:shd w:val="clear" w:color="auto" w:fill="CCEEFF"/>
          </w:tcPr>
          <w:p>
            <w:pPr>
              <w:spacing w:after="0"/>
              <w:rPr>
                <w:sz w:val="15"/>
                <w:szCs w:val="15"/>
                <w:color w:val="auto"/>
              </w:rPr>
            </w:pPr>
          </w:p>
        </w:tc>
        <w:tc>
          <w:tcPr>
            <w:tcW w:w="9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1"/>
              </w:rPr>
              <w:t>Western Digital Corporation Amended and Restated Change of Control Severance Plan, amended and restated as of November 3, 2015 (Filed as Exhibit</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10.2 to the Company’s Current Report on Form 8-K (File No. 1-08703) with the Securities and Exchange Commission on November 5, 2015)*</w:t>
            </w:r>
          </w:p>
        </w:tc>
        <w:tc>
          <w:tcPr>
            <w:tcW w:w="0" w:type="dxa"/>
            <w:vAlign w:val="bottom"/>
          </w:tcPr>
          <w:p>
            <w:pPr>
              <w:spacing w:after="0"/>
              <w:rPr>
                <w:sz w:val="1"/>
                <w:szCs w:val="1"/>
                <w:color w:val="auto"/>
              </w:rPr>
            </w:pPr>
          </w:p>
        </w:tc>
      </w:tr>
      <w:tr>
        <w:trPr>
          <w:trHeight w:val="179"/>
        </w:trPr>
        <w:tc>
          <w:tcPr>
            <w:tcW w:w="1120" w:type="dxa"/>
            <w:vAlign w:val="bottom"/>
          </w:tcPr>
          <w:p>
            <w:pPr>
              <w:jc w:val="center"/>
              <w:spacing w:after="0" w:line="179" w:lineRule="exact"/>
              <w:rPr>
                <w:rFonts w:ascii="Arial" w:cs="Arial" w:eastAsia="Arial" w:hAnsi="Arial"/>
                <w:sz w:val="16"/>
                <w:szCs w:val="16"/>
                <w:u w:val="single" w:color="auto"/>
                <w:color w:val="0000FF"/>
                <w:w w:val="96"/>
              </w:rPr>
            </w:pPr>
            <w:hyperlink r:id="rId167">
              <w:r>
                <w:rPr>
                  <w:rFonts w:ascii="Arial" w:cs="Arial" w:eastAsia="Arial" w:hAnsi="Arial"/>
                  <w:sz w:val="16"/>
                  <w:szCs w:val="16"/>
                  <w:u w:val="single" w:color="auto"/>
                  <w:color w:val="0000FF"/>
                  <w:w w:val="96"/>
                </w:rPr>
                <w:t>10.7</w:t>
              </w:r>
            </w:hyperlink>
          </w:p>
        </w:tc>
        <w:tc>
          <w:tcPr>
            <w:tcW w:w="100" w:type="dxa"/>
            <w:vAlign w:val="bottom"/>
          </w:tcPr>
          <w:p>
            <w:pPr>
              <w:spacing w:after="0"/>
              <w:rPr>
                <w:sz w:val="15"/>
                <w:szCs w:val="15"/>
                <w:color w:val="auto"/>
              </w:rPr>
            </w:pPr>
          </w:p>
        </w:tc>
        <w:tc>
          <w:tcPr>
            <w:tcW w:w="9960" w:type="dxa"/>
            <w:vAlign w:val="bottom"/>
          </w:tcPr>
          <w:p>
            <w:pPr>
              <w:ind w:left="20"/>
              <w:spacing w:after="0" w:line="179" w:lineRule="exact"/>
              <w:rPr>
                <w:sz w:val="20"/>
                <w:szCs w:val="20"/>
                <w:color w:val="auto"/>
              </w:rPr>
            </w:pPr>
            <w:r>
              <w:rPr>
                <w:rFonts w:ascii="Arial" w:cs="Arial" w:eastAsia="Arial" w:hAnsi="Arial"/>
                <w:sz w:val="16"/>
                <w:szCs w:val="16"/>
                <w:color w:val="auto"/>
                <w:w w:val="92"/>
              </w:rPr>
              <w:t>Western Digital Corporation Executive Severance Plan, amended and restated as of February 2, 2017 (Filed as Exhibit 10.3 to the Company’s Quarterly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Report on Form 10-Q (File No. 1-08703) with the Securities and Exchange Commission on February 7, 2017)*</w:t>
            </w: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jc w:val="center"/>
              <w:spacing w:after="0"/>
              <w:rPr>
                <w:rFonts w:ascii="Arial" w:cs="Arial" w:eastAsia="Arial" w:hAnsi="Arial"/>
                <w:sz w:val="16"/>
                <w:szCs w:val="16"/>
                <w:u w:val="single" w:color="auto"/>
                <w:color w:val="0000FF"/>
                <w:w w:val="96"/>
              </w:rPr>
            </w:pPr>
            <w:hyperlink r:id="rId168">
              <w:r>
                <w:rPr>
                  <w:rFonts w:ascii="Arial" w:cs="Arial" w:eastAsia="Arial" w:hAnsi="Arial"/>
                  <w:sz w:val="16"/>
                  <w:szCs w:val="16"/>
                  <w:u w:val="single" w:color="auto"/>
                  <w:color w:val="0000FF"/>
                  <w:w w:val="96"/>
                </w:rPr>
                <w:t>10.8</w:t>
              </w:r>
            </w:hyperlink>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Form of Indemnity Agreement for Directors of Western Digital Corporation (Filed as Exhibit 10.4 to the Company’s Quarterly Report on Form 10-Q</w:t>
            </w:r>
          </w:p>
        </w:tc>
        <w:tc>
          <w:tcPr>
            <w:tcW w:w="0" w:type="dxa"/>
            <w:vAlign w:val="bottom"/>
          </w:tcPr>
          <w:p>
            <w:pPr>
              <w:spacing w:after="0"/>
              <w:rPr>
                <w:sz w:val="1"/>
                <w:szCs w:val="1"/>
                <w:color w:val="auto"/>
              </w:rPr>
            </w:pPr>
          </w:p>
        </w:tc>
      </w:tr>
      <w:tr>
        <w:trPr>
          <w:trHeight w:val="219"/>
        </w:trPr>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(File No. 1-08703) with the Securities and Exchange Commission on November 8, 2002)*</w:t>
            </w:r>
          </w:p>
        </w:tc>
        <w:tc>
          <w:tcPr>
            <w:tcW w:w="0" w:type="dxa"/>
            <w:vAlign w:val="bottom"/>
          </w:tcPr>
          <w:p>
            <w:pPr>
              <w:spacing w:after="0"/>
              <w:rPr>
                <w:sz w:val="1"/>
                <w:szCs w:val="1"/>
                <w:color w:val="auto"/>
              </w:rPr>
            </w:pPr>
          </w:p>
        </w:tc>
      </w:tr>
      <w:tr>
        <w:trPr>
          <w:trHeight w:val="220"/>
        </w:trPr>
        <w:tc>
          <w:tcPr>
            <w:tcW w:w="1120" w:type="dxa"/>
            <w:vAlign w:val="bottom"/>
          </w:tcPr>
          <w:p>
            <w:pPr>
              <w:jc w:val="center"/>
              <w:spacing w:after="0"/>
              <w:rPr>
                <w:rFonts w:ascii="Arial" w:cs="Arial" w:eastAsia="Arial" w:hAnsi="Arial"/>
                <w:sz w:val="16"/>
                <w:szCs w:val="16"/>
                <w:u w:val="single" w:color="auto"/>
                <w:color w:val="0000FF"/>
                <w:w w:val="96"/>
              </w:rPr>
            </w:pPr>
            <w:hyperlink r:id="rId169">
              <w:r>
                <w:rPr>
                  <w:rFonts w:ascii="Arial" w:cs="Arial" w:eastAsia="Arial" w:hAnsi="Arial"/>
                  <w:sz w:val="16"/>
                  <w:szCs w:val="16"/>
                  <w:u w:val="single" w:color="auto"/>
                  <w:color w:val="0000FF"/>
                  <w:w w:val="96"/>
                </w:rPr>
                <w:t>10.9</w:t>
              </w:r>
            </w:hyperlink>
          </w:p>
        </w:tc>
        <w:tc>
          <w:tcPr>
            <w:tcW w:w="100" w:type="dxa"/>
            <w:vAlign w:val="bottom"/>
          </w:tcPr>
          <w:p>
            <w:pPr>
              <w:spacing w:after="0"/>
              <w:rPr>
                <w:sz w:val="19"/>
                <w:szCs w:val="19"/>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7"/>
              </w:rPr>
              <w:t>Form of Indemnity Agreement for Officers of Western Digital Corporation (Filed as Exhibit 10.5 to the Company’s Quarterly Report on Form 10-Q</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(File No. 1-08703) with the Securities and Exchange Commission on November 8, 2002)*</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shd w:val="clear" w:color="auto" w:fill="CCEEFF"/>
          </w:tcPr>
          <w:p>
            <w:pPr>
              <w:jc w:val="center"/>
              <w:spacing w:after="0"/>
              <w:rPr>
                <w:rFonts w:ascii="Arial" w:cs="Arial" w:eastAsia="Arial" w:hAnsi="Arial"/>
                <w:sz w:val="16"/>
                <w:szCs w:val="16"/>
                <w:u w:val="single" w:color="auto"/>
                <w:color w:val="0000FF"/>
                <w:w w:val="94"/>
              </w:rPr>
            </w:pPr>
            <w:hyperlink r:id="rId170">
              <w:r>
                <w:rPr>
                  <w:rFonts w:ascii="Arial" w:cs="Arial" w:eastAsia="Arial" w:hAnsi="Arial"/>
                  <w:sz w:val="16"/>
                  <w:szCs w:val="16"/>
                  <w:u w:val="single" w:color="auto"/>
                  <w:color w:val="0000FF"/>
                  <w:w w:val="94"/>
                </w:rPr>
                <w:t>10.10</w:t>
              </w:r>
            </w:hyperlink>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Form of Indemnification Agreement entered into between SanDisk Corporation and its directors and officers (Filed as Exhibit 10.10 to the Company’s</w:t>
            </w:r>
          </w:p>
        </w:tc>
        <w:tc>
          <w:tcPr>
            <w:tcW w:w="0" w:type="dxa"/>
            <w:vAlign w:val="bottom"/>
          </w:tcPr>
          <w:p>
            <w:pPr>
              <w:spacing w:after="0"/>
              <w:rPr>
                <w:sz w:val="1"/>
                <w:szCs w:val="1"/>
                <w:color w:val="auto"/>
              </w:rPr>
            </w:pPr>
          </w:p>
        </w:tc>
      </w:tr>
      <w:tr>
        <w:trPr>
          <w:trHeight w:val="219"/>
        </w:trPr>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Annual Report on Form 10-K (File No. 1-08703) with the Securities and Exchange Commission on August 24, 2018)*</w:t>
            </w:r>
          </w:p>
        </w:tc>
        <w:tc>
          <w:tcPr>
            <w:tcW w:w="0" w:type="dxa"/>
            <w:vAlign w:val="bottom"/>
          </w:tcPr>
          <w:p>
            <w:pPr>
              <w:spacing w:after="0"/>
              <w:rPr>
                <w:sz w:val="1"/>
                <w:szCs w:val="1"/>
                <w:color w:val="auto"/>
              </w:rPr>
            </w:pPr>
          </w:p>
        </w:tc>
      </w:tr>
      <w:tr>
        <w:trPr>
          <w:trHeight w:val="220"/>
        </w:trPr>
        <w:tc>
          <w:tcPr>
            <w:tcW w:w="1120" w:type="dxa"/>
            <w:vAlign w:val="bottom"/>
          </w:tcPr>
          <w:p>
            <w:pPr>
              <w:jc w:val="center"/>
              <w:spacing w:after="0"/>
              <w:rPr>
                <w:rFonts w:ascii="Arial" w:cs="Arial" w:eastAsia="Arial" w:hAnsi="Arial"/>
                <w:sz w:val="16"/>
                <w:szCs w:val="16"/>
                <w:u w:val="single" w:color="auto"/>
                <w:color w:val="0000FF"/>
                <w:w w:val="89"/>
              </w:rPr>
            </w:pPr>
            <w:hyperlink r:id="rId171">
              <w:r>
                <w:rPr>
                  <w:rFonts w:ascii="Arial" w:cs="Arial" w:eastAsia="Arial" w:hAnsi="Arial"/>
                  <w:sz w:val="16"/>
                  <w:szCs w:val="16"/>
                  <w:u w:val="single" w:color="auto"/>
                  <w:color w:val="0000FF"/>
                  <w:w w:val="89"/>
                </w:rPr>
                <w:t>10.11</w:t>
              </w:r>
            </w:hyperlink>
          </w:p>
        </w:tc>
        <w:tc>
          <w:tcPr>
            <w:tcW w:w="100" w:type="dxa"/>
            <w:vAlign w:val="bottom"/>
          </w:tcPr>
          <w:p>
            <w:pPr>
              <w:spacing w:after="0"/>
              <w:rPr>
                <w:sz w:val="19"/>
                <w:szCs w:val="19"/>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5"/>
              </w:rPr>
              <w:t>Offer Letter, dated as of February 18, 2020, to David Goeckeler (Filed as Exhibit 10.1 to the Company’s Quarterly Report on Form 10-Q (File No. 1-</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08703) with the Securities and Exchange Commission on May 8, 2020)*</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FF"/>
                <w:w w:val="94"/>
              </w:rPr>
            </w:pPr>
            <w:hyperlink w:anchor="page118">
              <w:r>
                <w:rPr>
                  <w:rFonts w:ascii="Arial" w:cs="Arial" w:eastAsia="Arial" w:hAnsi="Arial"/>
                  <w:sz w:val="16"/>
                  <w:szCs w:val="16"/>
                  <w:u w:val="single" w:color="auto"/>
                  <w:color w:val="0000FF"/>
                  <w:w w:val="94"/>
                </w:rPr>
                <w:t>10.12</w:t>
              </w:r>
            </w:hyperlink>
          </w:p>
        </w:tc>
        <w:tc>
          <w:tcPr>
            <w:tcW w:w="100" w:type="dxa"/>
            <w:vAlign w:val="bottom"/>
            <w:tcBorders>
              <w:bottom w:val="single" w:sz="8" w:color="CCEEFF"/>
            </w:tcBorders>
            <w:shd w:val="clear" w:color="auto" w:fill="CCEEFF"/>
          </w:tcPr>
          <w:p>
            <w:pPr>
              <w:spacing w:after="0"/>
              <w:rPr>
                <w:sz w:val="20"/>
                <w:szCs w:val="20"/>
                <w:color w:val="auto"/>
              </w:rPr>
            </w:pPr>
          </w:p>
        </w:tc>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Retention Agreement, dated April 1, 2020, with Michael Cordano†*</w:t>
            </w:r>
          </w:p>
        </w:tc>
        <w:tc>
          <w:tcPr>
            <w:tcW w:w="0" w:type="dxa"/>
            <w:vAlign w:val="bottom"/>
          </w:tcPr>
          <w:p>
            <w:pPr>
              <w:spacing w:after="0"/>
              <w:rPr>
                <w:sz w:val="1"/>
                <w:szCs w:val="1"/>
                <w:color w:val="auto"/>
              </w:rPr>
            </w:pPr>
          </w:p>
        </w:tc>
      </w:tr>
      <w:tr>
        <w:trPr>
          <w:trHeight w:val="220"/>
        </w:trPr>
        <w:tc>
          <w:tcPr>
            <w:tcW w:w="1120" w:type="dxa"/>
            <w:vAlign w:val="bottom"/>
          </w:tcPr>
          <w:p>
            <w:pPr>
              <w:jc w:val="center"/>
              <w:spacing w:after="0"/>
              <w:rPr>
                <w:rFonts w:ascii="Arial" w:cs="Arial" w:eastAsia="Arial" w:hAnsi="Arial"/>
                <w:sz w:val="16"/>
                <w:szCs w:val="16"/>
                <w:u w:val="single" w:color="auto"/>
                <w:color w:val="0000FF"/>
                <w:w w:val="94"/>
              </w:rPr>
            </w:pPr>
            <w:hyperlink r:id="rId172">
              <w:r>
                <w:rPr>
                  <w:rFonts w:ascii="Arial" w:cs="Arial" w:eastAsia="Arial" w:hAnsi="Arial"/>
                  <w:sz w:val="16"/>
                  <w:szCs w:val="16"/>
                  <w:u w:val="single" w:color="auto"/>
                  <w:color w:val="0000FF"/>
                  <w:w w:val="94"/>
                </w:rPr>
                <w:t>10.13</w:t>
              </w:r>
            </w:hyperlink>
          </w:p>
        </w:tc>
        <w:tc>
          <w:tcPr>
            <w:tcW w:w="100" w:type="dxa"/>
            <w:vAlign w:val="bottom"/>
          </w:tcPr>
          <w:p>
            <w:pPr>
              <w:spacing w:after="0"/>
              <w:rPr>
                <w:sz w:val="19"/>
                <w:szCs w:val="19"/>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5"/>
              </w:rPr>
              <w:t>Loan Agreement, dated as of April 29, 2016, by and among Western Digital Corporation, JPMorgan Chase Bank, N.A., as administrative agent and</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4"/>
              </w:rPr>
              <w:t>collateral agent, and the lenders and financial institutions from time to time party thereto (Filed as Exhibit 10.4 to the Company’s Quarterly Report on</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rPr>
              <w:t>Form 10-Q (File No. 1-08703) with the Securities and Exchange Commission on May 9, 2016)</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shd w:val="clear" w:color="auto" w:fill="CCEEFF"/>
          </w:tcPr>
          <w:p>
            <w:pPr>
              <w:jc w:val="center"/>
              <w:spacing w:after="0"/>
              <w:rPr>
                <w:rFonts w:ascii="Arial" w:cs="Arial" w:eastAsia="Arial" w:hAnsi="Arial"/>
                <w:sz w:val="16"/>
                <w:szCs w:val="16"/>
                <w:u w:val="single" w:color="auto"/>
                <w:color w:val="0000FF"/>
                <w:w w:val="93"/>
              </w:rPr>
            </w:pPr>
            <w:hyperlink r:id="rId173">
              <w:r>
                <w:rPr>
                  <w:rFonts w:ascii="Arial" w:cs="Arial" w:eastAsia="Arial" w:hAnsi="Arial"/>
                  <w:sz w:val="16"/>
                  <w:szCs w:val="16"/>
                  <w:u w:val="single" w:color="auto"/>
                  <w:color w:val="0000FF"/>
                  <w:w w:val="93"/>
                </w:rPr>
                <w:t>10.13.1</w:t>
              </w:r>
            </w:hyperlink>
          </w:p>
        </w:tc>
        <w:tc>
          <w:tcPr>
            <w:tcW w:w="100" w:type="dxa"/>
            <w:vAlign w:val="bottom"/>
            <w:shd w:val="clear" w:color="auto" w:fill="CCEEFF"/>
          </w:tcPr>
          <w:p>
            <w:pPr>
              <w:spacing w:after="0"/>
              <w:rPr>
                <w:sz w:val="19"/>
                <w:szCs w:val="19"/>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Amendment No. 1, dated as of August 17, 2016, to the Loan Agreement dated as of April 29, 2016, by and among Western Digital Corporation,</w:t>
            </w: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JPMorgan Chase Bank, N.A., as administrative agent and collateral agent, the lenders party thereto and the other loan parties thereto (Filed as Exhibit</w:t>
            </w:r>
          </w:p>
        </w:tc>
        <w:tc>
          <w:tcPr>
            <w:tcW w:w="0" w:type="dxa"/>
            <w:vAlign w:val="bottom"/>
          </w:tcPr>
          <w:p>
            <w:pPr>
              <w:spacing w:after="0"/>
              <w:rPr>
                <w:sz w:val="1"/>
                <w:szCs w:val="1"/>
                <w:color w:val="auto"/>
              </w:rPr>
            </w:pPr>
          </w:p>
        </w:tc>
      </w:tr>
      <w:tr>
        <w:trPr>
          <w:trHeight w:val="206"/>
        </w:trPr>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 to the Company’s Current Report on Form 8-K (File No. 1-08703) with the Securities and Exchange Commission on August 18, 2016)</w:t>
            </w:r>
          </w:p>
        </w:tc>
        <w:tc>
          <w:tcPr>
            <w:tcW w:w="0" w:type="dxa"/>
            <w:vAlign w:val="bottom"/>
          </w:tcPr>
          <w:p>
            <w:pPr>
              <w:spacing w:after="0"/>
              <w:rPr>
                <w:sz w:val="1"/>
                <w:szCs w:val="1"/>
                <w:color w:val="auto"/>
              </w:rPr>
            </w:pPr>
          </w:p>
        </w:tc>
      </w:tr>
      <w:tr>
        <w:trPr>
          <w:trHeight w:val="33"/>
        </w:trPr>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6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9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120" w:type="dxa"/>
            <w:vAlign w:val="bottom"/>
            <w:tcBorders>
              <w:top w:val="single" w:sz="8" w:color="auto"/>
            </w:tcBorders>
          </w:tcPr>
          <w:p>
            <w:pPr>
              <w:jc w:val="center"/>
              <w:spacing w:after="0"/>
              <w:rPr>
                <w:rFonts w:ascii="Arial" w:cs="Arial" w:eastAsia="Arial" w:hAnsi="Arial"/>
                <w:sz w:val="16"/>
                <w:szCs w:val="16"/>
                <w:u w:val="single" w:color="auto"/>
                <w:color w:val="0000FF"/>
                <w:w w:val="93"/>
              </w:rPr>
            </w:pPr>
            <w:hyperlink r:id="rId175">
              <w:r>
                <w:rPr>
                  <w:rFonts w:ascii="Arial" w:cs="Arial" w:eastAsia="Arial" w:hAnsi="Arial"/>
                  <w:sz w:val="16"/>
                  <w:szCs w:val="16"/>
                  <w:u w:val="single" w:color="auto"/>
                  <w:color w:val="0000FF"/>
                  <w:w w:val="93"/>
                </w:rPr>
                <w:t>10.13.2</w:t>
              </w:r>
            </w:hyperlink>
          </w:p>
        </w:tc>
        <w:tc>
          <w:tcPr>
            <w:tcW w:w="100" w:type="dxa"/>
            <w:vAlign w:val="bottom"/>
          </w:tcPr>
          <w:p>
            <w:pPr>
              <w:spacing w:after="0"/>
              <w:rPr>
                <w:sz w:val="19"/>
                <w:szCs w:val="19"/>
                <w:color w:val="auto"/>
              </w:rPr>
            </w:pPr>
          </w:p>
        </w:tc>
        <w:tc>
          <w:tcPr>
            <w:tcW w:w="99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5"/>
              </w:rPr>
              <w:t>Amendment No. 2, dated as of September 22, 2016, to the Loan Agreement dated as of April 29, 2016, by and among Western Digital Corporation,</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3"/>
              </w:rPr>
              <w:t>JPMorgan Chase Bank, N.A., as administrative agent and collateral agent, the lenders party thereto and the other loan parties thereto (Filed as Exhibit</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6"/>
                <w:szCs w:val="16"/>
                <w:color w:val="auto"/>
                <w:w w:val="98"/>
              </w:rPr>
              <w:t>10.1 to the Company’s Current Report on Form 8-K (File No. 1-08703) with the Securities and Exchange Commission on September 22, 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20955</wp:posOffset>
            </wp:positionV>
            <wp:extent cx="7106285" cy="420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7106285" cy="42037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37" w:lineRule="exact"/>
        <w:rPr>
          <w:sz w:val="20"/>
          <w:szCs w:val="20"/>
          <w:color w:val="auto"/>
        </w:rPr>
      </w:pPr>
    </w:p>
    <w:p>
      <w:pPr>
        <w:ind w:left="340"/>
        <w:spacing w:after="0"/>
        <w:rPr>
          <w:rFonts w:ascii="Arial" w:cs="Arial" w:eastAsia="Arial" w:hAnsi="Arial"/>
          <w:sz w:val="14"/>
          <w:szCs w:val="14"/>
          <w:u w:val="single" w:color="auto"/>
          <w:color w:val="0000FF"/>
        </w:rPr>
      </w:pPr>
      <w:hyperlink r:id="rId177">
        <w:r>
          <w:rPr>
            <w:rFonts w:ascii="Arial" w:cs="Arial" w:eastAsia="Arial" w:hAnsi="Arial"/>
            <w:sz w:val="14"/>
            <w:szCs w:val="14"/>
            <w:u w:val="single" w:color="auto"/>
            <w:color w:val="0000FF"/>
          </w:rPr>
          <w:t>10.13.3</w:t>
        </w:r>
      </w:hyperlink>
    </w:p>
    <w:p>
      <w:pPr>
        <w:spacing w:after="0" w:line="200" w:lineRule="exact"/>
        <w:rPr>
          <w:sz w:val="20"/>
          <w:szCs w:val="20"/>
          <w:color w:val="auto"/>
        </w:rPr>
      </w:pPr>
    </w:p>
    <w:p>
      <w:pPr>
        <w:spacing w:after="0" w:line="301" w:lineRule="exact"/>
        <w:rPr>
          <w:sz w:val="20"/>
          <w:szCs w:val="20"/>
          <w:color w:val="auto"/>
        </w:rPr>
      </w:pPr>
    </w:p>
    <w:p>
      <w:pPr>
        <w:ind w:left="340"/>
        <w:spacing w:after="0"/>
        <w:rPr>
          <w:rFonts w:ascii="Arial" w:cs="Arial" w:eastAsia="Arial" w:hAnsi="Arial"/>
          <w:sz w:val="14"/>
          <w:szCs w:val="14"/>
          <w:u w:val="single" w:color="auto"/>
          <w:color w:val="0000FF"/>
        </w:rPr>
      </w:pPr>
      <w:hyperlink r:id="rId178">
        <w:r>
          <w:rPr>
            <w:rFonts w:ascii="Arial" w:cs="Arial" w:eastAsia="Arial" w:hAnsi="Arial"/>
            <w:sz w:val="14"/>
            <w:szCs w:val="14"/>
            <w:u w:val="single" w:color="auto"/>
            <w:color w:val="0000FF"/>
          </w:rPr>
          <w:t>10.13.4</w:t>
        </w:r>
      </w:hyperlink>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240"/>
        <w:spacing w:after="0" w:line="305" w:lineRule="auto"/>
        <w:rPr>
          <w:sz w:val="20"/>
          <w:szCs w:val="20"/>
          <w:color w:val="auto"/>
        </w:rPr>
      </w:pPr>
      <w:r>
        <w:rPr>
          <w:rFonts w:ascii="Arial" w:cs="Arial" w:eastAsia="Arial" w:hAnsi="Arial"/>
          <w:sz w:val="15"/>
          <w:szCs w:val="15"/>
          <w:color w:val="auto"/>
        </w:rPr>
        <w:t>Amendment No. 3, dated as of March 14, 2017,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March 14, 2017)</w:t>
      </w:r>
    </w:p>
    <w:p>
      <w:pPr>
        <w:spacing w:after="0" w:line="4" w:lineRule="exact"/>
        <w:rPr>
          <w:sz w:val="20"/>
          <w:szCs w:val="20"/>
          <w:color w:val="auto"/>
        </w:rPr>
      </w:pPr>
    </w:p>
    <w:p>
      <w:pPr>
        <w:ind w:right="240"/>
        <w:spacing w:after="0" w:line="300" w:lineRule="auto"/>
        <w:rPr>
          <w:sz w:val="20"/>
          <w:szCs w:val="20"/>
          <w:color w:val="auto"/>
        </w:rPr>
      </w:pPr>
      <w:r>
        <w:rPr>
          <w:rFonts w:ascii="Arial" w:cs="Arial" w:eastAsia="Arial" w:hAnsi="Arial"/>
          <w:sz w:val="15"/>
          <w:szCs w:val="15"/>
          <w:color w:val="auto"/>
        </w:rPr>
        <w:t>Amendment No. 4, dated as of March 23, 2017,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March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-635</wp:posOffset>
            </wp:positionV>
            <wp:extent cx="7106285" cy="419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7106285" cy="41973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40" w:space="440"/>
            <w:col w:w="9940"/>
          </w:cols>
          <w:pgMar w:left="320" w:top="125" w:right="359" w:bottom="1440" w:gutter="0" w:footer="0" w:header="0"/>
          <w:type w:val="continuous"/>
        </w:sectPr>
      </w:pPr>
    </w:p>
    <w:p>
      <w:pPr>
        <w:ind w:left="1280" w:right="240" w:hanging="928"/>
        <w:spacing w:after="0" w:line="328" w:lineRule="auto"/>
        <w:tabs>
          <w:tab w:leader="none" w:pos="1260" w:val="left"/>
        </w:tabs>
        <w:rPr>
          <w:rFonts w:ascii="Arial" w:cs="Arial" w:eastAsia="Arial" w:hAnsi="Arial"/>
          <w:sz w:val="16"/>
          <w:szCs w:val="16"/>
          <w:color w:val="0000FF"/>
        </w:rPr>
      </w:pPr>
      <w:hyperlink r:id="rId180">
        <w:r>
          <w:rPr>
            <w:rFonts w:ascii="Arial" w:cs="Arial" w:eastAsia="Arial" w:hAnsi="Arial"/>
            <w:sz w:val="16"/>
            <w:szCs w:val="16"/>
            <w:u w:val="single" w:color="auto"/>
            <w:color w:val="0000FF"/>
          </w:rPr>
          <w:t>10.13.5</w:t>
        </w:r>
      </w:hyperlink>
      <w:r>
        <w:rPr>
          <w:rFonts w:ascii="Arial" w:cs="Arial" w:eastAsia="Arial" w:hAnsi="Arial"/>
          <w:sz w:val="16"/>
          <w:szCs w:val="16"/>
          <w:color w:val="0000FF"/>
        </w:rPr>
        <w:tab/>
      </w:r>
      <w:r>
        <w:rPr>
          <w:rFonts w:ascii="Arial" w:cs="Arial" w:eastAsia="Arial" w:hAnsi="Arial"/>
          <w:sz w:val="14"/>
          <w:szCs w:val="14"/>
          <w:color w:val="0000FF"/>
        </w:rPr>
        <w:t>Amendment No. 5, dated as of November 8, 2017,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November 8, 2017)</w:t>
      </w:r>
    </w:p>
    <w:p>
      <w:pPr>
        <w:spacing w:after="0" w:line="1" w:lineRule="exact"/>
        <w:rPr>
          <w:sz w:val="20"/>
          <w:szCs w:val="20"/>
          <w:color w:val="auto"/>
        </w:rPr>
      </w:pPr>
    </w:p>
    <w:p>
      <w:pPr>
        <w:ind w:left="1280" w:right="240" w:hanging="928"/>
        <w:spacing w:after="0" w:line="328" w:lineRule="auto"/>
        <w:tabs>
          <w:tab w:leader="none" w:pos="1260" w:val="left"/>
        </w:tabs>
        <w:rPr>
          <w:rFonts w:ascii="Arial" w:cs="Arial" w:eastAsia="Arial" w:hAnsi="Arial"/>
          <w:sz w:val="16"/>
          <w:szCs w:val="16"/>
          <w:color w:val="0000FF"/>
        </w:rPr>
      </w:pPr>
      <w:hyperlink r:id="rId181">
        <w:r>
          <w:rPr>
            <w:rFonts w:ascii="Arial" w:cs="Arial" w:eastAsia="Arial" w:hAnsi="Arial"/>
            <w:sz w:val="16"/>
            <w:szCs w:val="16"/>
            <w:u w:val="single" w:color="auto"/>
            <w:color w:val="0000FF"/>
          </w:rPr>
          <w:t>10.13.6</w:t>
        </w:r>
      </w:hyperlink>
      <w:r>
        <w:rPr>
          <w:rFonts w:ascii="Arial" w:cs="Arial" w:eastAsia="Arial" w:hAnsi="Arial"/>
          <w:sz w:val="16"/>
          <w:szCs w:val="16"/>
          <w:color w:val="0000FF"/>
        </w:rPr>
        <w:tab/>
      </w:r>
      <w:r>
        <w:rPr>
          <w:rFonts w:ascii="Arial" w:cs="Arial" w:eastAsia="Arial" w:hAnsi="Arial"/>
          <w:sz w:val="14"/>
          <w:szCs w:val="14"/>
          <w:color w:val="0000FF"/>
        </w:rPr>
        <w:t>Amendment No. 6, dated as of November 29, 2017,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November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420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7106285" cy="42037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p>
      <w:pPr>
        <w:spacing w:after="0" w:line="1" w:lineRule="exact"/>
        <w:rPr>
          <w:sz w:val="20"/>
          <w:szCs w:val="20"/>
          <w:color w:val="auto"/>
        </w:rPr>
      </w:pPr>
    </w:p>
    <w:p>
      <w:pPr>
        <w:ind w:left="340"/>
        <w:spacing w:after="0"/>
        <w:rPr>
          <w:rFonts w:ascii="Arial" w:cs="Arial" w:eastAsia="Arial" w:hAnsi="Arial"/>
          <w:sz w:val="14"/>
          <w:szCs w:val="14"/>
          <w:u w:val="single" w:color="auto"/>
          <w:color w:val="0000FF"/>
        </w:rPr>
      </w:pPr>
      <w:hyperlink r:id="rId183">
        <w:r>
          <w:rPr>
            <w:rFonts w:ascii="Arial" w:cs="Arial" w:eastAsia="Arial" w:hAnsi="Arial"/>
            <w:sz w:val="14"/>
            <w:szCs w:val="14"/>
            <w:u w:val="single" w:color="auto"/>
            <w:color w:val="0000FF"/>
          </w:rPr>
          <w:t>10.13.7</w:t>
        </w:r>
      </w:hyperlink>
    </w:p>
    <w:p>
      <w:pPr>
        <w:spacing w:after="0" w:line="200" w:lineRule="exact"/>
        <w:rPr>
          <w:sz w:val="20"/>
          <w:szCs w:val="20"/>
          <w:color w:val="auto"/>
        </w:rPr>
      </w:pPr>
    </w:p>
    <w:p>
      <w:pPr>
        <w:spacing w:after="0" w:line="301" w:lineRule="exact"/>
        <w:rPr>
          <w:sz w:val="20"/>
          <w:szCs w:val="20"/>
          <w:color w:val="auto"/>
        </w:rPr>
      </w:pPr>
    </w:p>
    <w:p>
      <w:pPr>
        <w:ind w:left="340"/>
        <w:spacing w:after="0"/>
        <w:rPr>
          <w:rFonts w:ascii="Arial" w:cs="Arial" w:eastAsia="Arial" w:hAnsi="Arial"/>
          <w:sz w:val="14"/>
          <w:szCs w:val="14"/>
          <w:u w:val="single" w:color="auto"/>
          <w:color w:val="0000FF"/>
        </w:rPr>
      </w:pPr>
      <w:hyperlink r:id="rId184">
        <w:r>
          <w:rPr>
            <w:rFonts w:ascii="Arial" w:cs="Arial" w:eastAsia="Arial" w:hAnsi="Arial"/>
            <w:sz w:val="14"/>
            <w:szCs w:val="14"/>
            <w:u w:val="single" w:color="auto"/>
            <w:color w:val="0000FF"/>
          </w:rPr>
          <w:t>10.13.8</w:t>
        </w:r>
      </w:hyperlink>
    </w:p>
    <w:p>
      <w:pPr>
        <w:spacing w:after="0" w:line="20" w:lineRule="exact"/>
        <w:rPr>
          <w:sz w:val="20"/>
          <w:szCs w:val="20"/>
          <w:color w:val="auto"/>
        </w:rPr>
      </w:pPr>
      <w:r>
        <w:rPr>
          <w:sz w:val="20"/>
          <w:szCs w:val="20"/>
          <w:color w:val="auto"/>
        </w:rPr>
        <w:br w:type="column"/>
      </w:r>
    </w:p>
    <w:p>
      <w:pPr>
        <w:ind w:right="240"/>
        <w:spacing w:after="0" w:line="328" w:lineRule="auto"/>
        <w:rPr>
          <w:sz w:val="20"/>
          <w:szCs w:val="20"/>
          <w:color w:val="auto"/>
        </w:rPr>
      </w:pPr>
      <w:r>
        <w:rPr>
          <w:rFonts w:ascii="Arial" w:cs="Arial" w:eastAsia="Arial" w:hAnsi="Arial"/>
          <w:sz w:val="14"/>
          <w:szCs w:val="14"/>
          <w:color w:val="auto"/>
        </w:rPr>
        <w:t>Amendment No. 7, dated as of February 27, 2018,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February 27, 2018)</w:t>
      </w:r>
    </w:p>
    <w:p>
      <w:pPr>
        <w:spacing w:after="0" w:line="1"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Amendment No. 8, dated as of May 15, 2018,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May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-635</wp:posOffset>
            </wp:positionV>
            <wp:extent cx="7106285" cy="419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7106285" cy="41973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40" w:space="440"/>
            <w:col w:w="9940"/>
          </w:cols>
          <w:pgMar w:left="320" w:top="125" w:right="359" w:bottom="1440" w:gutter="0" w:footer="0" w:header="0"/>
          <w:type w:val="continuous"/>
        </w:sectPr>
      </w:pPr>
    </w:p>
    <w:p>
      <w:pPr>
        <w:ind w:left="340"/>
        <w:spacing w:after="0"/>
        <w:rPr>
          <w:rFonts w:ascii="Arial" w:cs="Arial" w:eastAsia="Arial" w:hAnsi="Arial"/>
          <w:sz w:val="16"/>
          <w:szCs w:val="16"/>
          <w:u w:val="single" w:color="auto"/>
          <w:color w:val="0000FF"/>
        </w:rPr>
      </w:pPr>
      <w:hyperlink r:id="rId186">
        <w:r>
          <w:rPr>
            <w:rFonts w:ascii="Arial" w:cs="Arial" w:eastAsia="Arial" w:hAnsi="Arial"/>
            <w:sz w:val="16"/>
            <w:szCs w:val="16"/>
            <w:u w:val="single" w:color="auto"/>
            <w:color w:val="0000FF"/>
          </w:rPr>
          <w:t>10.13.9</w:t>
        </w:r>
      </w:hyperlink>
    </w:p>
    <w:p>
      <w:pPr>
        <w:spacing w:after="0" w:line="200" w:lineRule="exact"/>
        <w:rPr>
          <w:sz w:val="20"/>
          <w:szCs w:val="20"/>
          <w:color w:val="auto"/>
        </w:rPr>
      </w:pPr>
    </w:p>
    <w:p>
      <w:pPr>
        <w:spacing w:after="0" w:line="278" w:lineRule="exact"/>
        <w:rPr>
          <w:sz w:val="20"/>
          <w:szCs w:val="20"/>
          <w:color w:val="auto"/>
        </w:rPr>
      </w:pPr>
    </w:p>
    <w:p>
      <w:pPr>
        <w:ind w:left="300"/>
        <w:spacing w:after="0"/>
        <w:rPr>
          <w:rFonts w:ascii="Arial" w:cs="Arial" w:eastAsia="Arial" w:hAnsi="Arial"/>
          <w:sz w:val="14"/>
          <w:szCs w:val="14"/>
          <w:u w:val="single" w:color="auto"/>
          <w:color w:val="0000FF"/>
        </w:rPr>
      </w:pPr>
      <w:hyperlink w:anchor="page119">
        <w:r>
          <w:rPr>
            <w:rFonts w:ascii="Arial" w:cs="Arial" w:eastAsia="Arial" w:hAnsi="Arial"/>
            <w:sz w:val="14"/>
            <w:szCs w:val="14"/>
            <w:u w:val="single" w:color="auto"/>
            <w:color w:val="0000FF"/>
          </w:rPr>
          <w:t>10.13.10</w:t>
        </w:r>
      </w:hyperlink>
    </w:p>
    <w:p>
      <w:pPr>
        <w:spacing w:after="0" w:line="298" w:lineRule="exact"/>
        <w:rPr>
          <w:sz w:val="20"/>
          <w:szCs w:val="20"/>
          <w:color w:val="auto"/>
        </w:rPr>
      </w:pPr>
    </w:p>
    <w:p>
      <w:pPr>
        <w:ind w:left="400"/>
        <w:spacing w:after="0"/>
        <w:rPr>
          <w:rFonts w:ascii="Arial" w:cs="Arial" w:eastAsia="Arial" w:hAnsi="Arial"/>
          <w:sz w:val="16"/>
          <w:szCs w:val="16"/>
          <w:u w:val="single" w:color="auto"/>
          <w:color w:val="0000FF"/>
        </w:rPr>
      </w:pPr>
      <w:hyperlink r:id="rId187">
        <w:r>
          <w:rPr>
            <w:rFonts w:ascii="Arial" w:cs="Arial" w:eastAsia="Arial" w:hAnsi="Arial"/>
            <w:sz w:val="16"/>
            <w:szCs w:val="16"/>
            <w:u w:val="single" w:color="auto"/>
            <w:color w:val="0000FF"/>
          </w:rPr>
          <w:t>10.14</w:t>
        </w:r>
      </w:hyperlink>
    </w:p>
    <w:p>
      <w:pPr>
        <w:spacing w:after="0" w:line="200" w:lineRule="exact"/>
        <w:rPr>
          <w:sz w:val="20"/>
          <w:szCs w:val="20"/>
          <w:color w:val="auto"/>
        </w:rPr>
      </w:pPr>
    </w:p>
    <w:p>
      <w:pPr>
        <w:spacing w:after="0" w:line="278" w:lineRule="exact"/>
        <w:rPr>
          <w:sz w:val="20"/>
          <w:szCs w:val="20"/>
          <w:color w:val="auto"/>
        </w:rPr>
      </w:pPr>
    </w:p>
    <w:p>
      <w:pPr>
        <w:ind w:left="400"/>
        <w:spacing w:after="0"/>
        <w:rPr>
          <w:rFonts w:ascii="Arial" w:cs="Arial" w:eastAsia="Arial" w:hAnsi="Arial"/>
          <w:sz w:val="16"/>
          <w:szCs w:val="16"/>
          <w:u w:val="single" w:color="auto"/>
          <w:color w:val="0000FF"/>
        </w:rPr>
      </w:pPr>
      <w:hyperlink r:id="rId188">
        <w:r>
          <w:rPr>
            <w:rFonts w:ascii="Arial" w:cs="Arial" w:eastAsia="Arial" w:hAnsi="Arial"/>
            <w:sz w:val="16"/>
            <w:szCs w:val="16"/>
            <w:u w:val="single" w:color="auto"/>
            <w:color w:val="0000FF"/>
          </w:rPr>
          <w:t>10.15</w:t>
        </w:r>
      </w:hyperlink>
    </w:p>
    <w:p>
      <w:pPr>
        <w:spacing w:after="0" w:line="200" w:lineRule="exact"/>
        <w:rPr>
          <w:sz w:val="20"/>
          <w:szCs w:val="20"/>
          <w:color w:val="auto"/>
        </w:rPr>
      </w:pPr>
    </w:p>
    <w:p>
      <w:pPr>
        <w:spacing w:after="0" w:line="278" w:lineRule="exact"/>
        <w:rPr>
          <w:sz w:val="20"/>
          <w:szCs w:val="20"/>
          <w:color w:val="auto"/>
        </w:rPr>
      </w:pPr>
    </w:p>
    <w:p>
      <w:pPr>
        <w:ind w:left="400"/>
        <w:spacing w:after="0"/>
        <w:rPr>
          <w:rFonts w:ascii="Arial" w:cs="Arial" w:eastAsia="Arial" w:hAnsi="Arial"/>
          <w:sz w:val="16"/>
          <w:szCs w:val="16"/>
          <w:u w:val="single" w:color="auto"/>
          <w:color w:val="0000FF"/>
        </w:rPr>
      </w:pPr>
      <w:hyperlink r:id="rId189">
        <w:r>
          <w:rPr>
            <w:rFonts w:ascii="Arial" w:cs="Arial" w:eastAsia="Arial" w:hAnsi="Arial"/>
            <w:sz w:val="16"/>
            <w:szCs w:val="16"/>
            <w:u w:val="single" w:color="auto"/>
            <w:color w:val="0000FF"/>
          </w:rPr>
          <w:t>10.16</w:t>
        </w:r>
      </w:hyperlink>
    </w:p>
    <w:p>
      <w:pPr>
        <w:spacing w:after="0" w:line="200" w:lineRule="exact"/>
        <w:rPr>
          <w:sz w:val="20"/>
          <w:szCs w:val="20"/>
          <w:color w:val="auto"/>
        </w:rPr>
      </w:pPr>
    </w:p>
    <w:p>
      <w:pPr>
        <w:spacing w:after="0" w:line="278" w:lineRule="exact"/>
        <w:rPr>
          <w:sz w:val="20"/>
          <w:szCs w:val="20"/>
          <w:color w:val="auto"/>
        </w:rPr>
      </w:pPr>
    </w:p>
    <w:p>
      <w:pPr>
        <w:ind w:left="400"/>
        <w:spacing w:after="0"/>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10.17</w:t>
        </w:r>
      </w:hyperlink>
    </w:p>
    <w:p>
      <w:pPr>
        <w:spacing w:after="0" w:line="200" w:lineRule="exact"/>
        <w:rPr>
          <w:sz w:val="20"/>
          <w:szCs w:val="20"/>
          <w:color w:val="auto"/>
        </w:rPr>
      </w:pPr>
    </w:p>
    <w:p>
      <w:pPr>
        <w:spacing w:after="0" w:line="278" w:lineRule="exact"/>
        <w:rPr>
          <w:sz w:val="20"/>
          <w:szCs w:val="20"/>
          <w:color w:val="auto"/>
        </w:rPr>
      </w:pPr>
    </w:p>
    <w:p>
      <w:pPr>
        <w:ind w:left="400"/>
        <w:spacing w:after="0"/>
        <w:rPr>
          <w:rFonts w:ascii="Arial" w:cs="Arial" w:eastAsia="Arial" w:hAnsi="Arial"/>
          <w:sz w:val="16"/>
          <w:szCs w:val="16"/>
          <w:u w:val="single" w:color="auto"/>
          <w:color w:val="0000FF"/>
        </w:rPr>
      </w:pPr>
      <w:hyperlink r:id="rId191">
        <w:r>
          <w:rPr>
            <w:rFonts w:ascii="Arial" w:cs="Arial" w:eastAsia="Arial" w:hAnsi="Arial"/>
            <w:sz w:val="16"/>
            <w:szCs w:val="16"/>
            <w:u w:val="single" w:color="auto"/>
            <w:color w:val="0000FF"/>
          </w:rPr>
          <w:t>10.18</w:t>
        </w:r>
      </w:hyperlink>
    </w:p>
    <w:p>
      <w:pPr>
        <w:spacing w:after="0" w:line="200" w:lineRule="exact"/>
        <w:rPr>
          <w:sz w:val="20"/>
          <w:szCs w:val="20"/>
          <w:color w:val="auto"/>
        </w:rPr>
      </w:pPr>
    </w:p>
    <w:p>
      <w:pPr>
        <w:spacing w:after="0" w:line="278" w:lineRule="exact"/>
        <w:rPr>
          <w:sz w:val="20"/>
          <w:szCs w:val="20"/>
          <w:color w:val="auto"/>
        </w:rPr>
      </w:pPr>
    </w:p>
    <w:p>
      <w:pPr>
        <w:ind w:left="400"/>
        <w:spacing w:after="0"/>
        <w:rPr>
          <w:rFonts w:ascii="Arial" w:cs="Arial" w:eastAsia="Arial" w:hAnsi="Arial"/>
          <w:sz w:val="16"/>
          <w:szCs w:val="16"/>
          <w:u w:val="single" w:color="auto"/>
          <w:color w:val="0000FF"/>
        </w:rPr>
      </w:pPr>
      <w:hyperlink r:id="rId192">
        <w:r>
          <w:rPr>
            <w:rFonts w:ascii="Arial" w:cs="Arial" w:eastAsia="Arial" w:hAnsi="Arial"/>
            <w:sz w:val="16"/>
            <w:szCs w:val="16"/>
            <w:u w:val="single" w:color="auto"/>
            <w:color w:val="0000FF"/>
          </w:rPr>
          <w:t>10.19</w:t>
        </w:r>
      </w:hyperlink>
    </w:p>
    <w:p>
      <w:pPr>
        <w:spacing w:after="0" w:line="200" w:lineRule="exact"/>
        <w:rPr>
          <w:sz w:val="20"/>
          <w:szCs w:val="20"/>
          <w:color w:val="auto"/>
        </w:rPr>
      </w:pPr>
    </w:p>
    <w:p>
      <w:pPr>
        <w:spacing w:after="0" w:line="278" w:lineRule="exact"/>
        <w:rPr>
          <w:sz w:val="20"/>
          <w:szCs w:val="20"/>
          <w:color w:val="auto"/>
        </w:rPr>
      </w:pPr>
    </w:p>
    <w:p>
      <w:pPr>
        <w:ind w:left="400"/>
        <w:spacing w:after="0"/>
        <w:rPr>
          <w:rFonts w:ascii="Arial" w:cs="Arial" w:eastAsia="Arial" w:hAnsi="Arial"/>
          <w:sz w:val="16"/>
          <w:szCs w:val="16"/>
          <w:u w:val="single" w:color="auto"/>
          <w:color w:val="0000FF"/>
        </w:rPr>
      </w:pPr>
      <w:hyperlink r:id="rId193">
        <w:r>
          <w:rPr>
            <w:rFonts w:ascii="Arial" w:cs="Arial" w:eastAsia="Arial" w:hAnsi="Arial"/>
            <w:sz w:val="16"/>
            <w:szCs w:val="16"/>
            <w:u w:val="single" w:color="auto"/>
            <w:color w:val="0000FF"/>
          </w:rPr>
          <w:t>10.20</w:t>
        </w:r>
      </w:hyperlink>
    </w:p>
    <w:p>
      <w:pPr>
        <w:spacing w:after="0" w:line="20" w:lineRule="exact"/>
        <w:rPr>
          <w:sz w:val="20"/>
          <w:szCs w:val="20"/>
          <w:color w:val="auto"/>
        </w:rPr>
      </w:pPr>
      <w:r>
        <w:rPr>
          <w:sz w:val="20"/>
          <w:szCs w:val="20"/>
          <w:color w:val="auto"/>
        </w:rPr>
        <w:br w:type="column"/>
      </w:r>
    </w:p>
    <w:p>
      <w:pPr>
        <w:ind w:right="40"/>
        <w:spacing w:after="0" w:line="305" w:lineRule="auto"/>
        <w:rPr>
          <w:sz w:val="20"/>
          <w:szCs w:val="20"/>
          <w:color w:val="auto"/>
        </w:rPr>
      </w:pPr>
      <w:r>
        <w:rPr>
          <w:rFonts w:ascii="Arial" w:cs="Arial" w:eastAsia="Arial" w:hAnsi="Arial"/>
          <w:sz w:val="15"/>
          <w:szCs w:val="15"/>
          <w:color w:val="auto"/>
        </w:rPr>
        <w:t>Amendment No. 9, dated as of April 29, 2019, to the Loan Agreement dated as of April 29, 2016, by and among Western Digital Corporation, JPMorgan Chase Bank, N.A., as administrative agent and collateral agent, the lenders party thereto and the other loan parties thereto (Filed as Exhibit 10.2 to the Company’s Quarterly Report on Form 10-Q (File No. 1-08703) with the Securities and Exchange Commission on May 7, 2019)</w:t>
      </w:r>
    </w:p>
    <w:p>
      <w:pPr>
        <w:spacing w:after="0" w:line="4"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Amendment No. 10, dated as of July 2, 2020, to the Loan Agreement dated as of April 29, 2016, by and between Western Digital Corporation and JPMorgan Chase Bank,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-3810</wp:posOffset>
            </wp:positionV>
            <wp:extent cx="7106285" cy="420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7106285" cy="420370"/>
                    </a:xfrm>
                    <a:prstGeom prst="rect">
                      <a:avLst/>
                    </a:prstGeom>
                    <a:noFill/>
                  </pic:spPr>
                </pic:pic>
              </a:graphicData>
            </a:graphic>
          </wp:anchor>
        </w:drawing>
      </w:r>
    </w:p>
    <w:p>
      <w:pPr>
        <w:ind w:right="80"/>
        <w:spacing w:after="0" w:line="278" w:lineRule="auto"/>
        <w:rPr>
          <w:sz w:val="20"/>
          <w:szCs w:val="20"/>
          <w:color w:val="auto"/>
        </w:rPr>
      </w:pPr>
      <w:r>
        <w:rPr>
          <w:rFonts w:ascii="Arial" w:cs="Arial" w:eastAsia="Arial" w:hAnsi="Arial"/>
          <w:sz w:val="16"/>
          <w:szCs w:val="16"/>
          <w:color w:val="auto"/>
        </w:rPr>
        <w:t>Guaranty Agreement, dated as of April 29, 2016, by and among Western Digital Corporation, the subsidiary guarantors party thereto and JPMorgan Chase Bank, N.A., as administrative agent for the guaranteed creditors (Filed as Exhibit 10.2 to the Company’s Current Report on Form 8-K (File No.1-08703) with the Securities and Exchange Commission on April 29, 2016)</w:t>
      </w:r>
    </w:p>
    <w:p>
      <w:pPr>
        <w:spacing w:after="0" w:line="22"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Security Agreement, dated as of May 12, 2016, by and among the debtors (as defined therein) party thereto and JPMorgan Chase Bank, N.A., as collateral agent (Filed as Exhibit 10.2 to the Company’s Current Report on Form 8-K (File No. 1-08703) with the Securities and Exchange Commission on May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3175</wp:posOffset>
            </wp:positionV>
            <wp:extent cx="7106285" cy="420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06285" cy="420370"/>
                    </a:xfrm>
                    <a:prstGeom prst="rect">
                      <a:avLst/>
                    </a:prstGeom>
                    <a:noFill/>
                  </pic:spPr>
                </pic:pic>
              </a:graphicData>
            </a:graphic>
          </wp:anchor>
        </w:drawing>
      </w:r>
    </w:p>
    <w:p>
      <w:pPr>
        <w:spacing w:after="0" w:line="2"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Flash Alliance Master Agreement, dated as of July 7, 2006, by and among SanDisk Corporation, Toshiba Corporation and SanDisk (Ireland) Limited (Filed as Exhibit 10.1 to SanDisk Corporation’s Quarterly Report on Form 10-Q (File No. 000-26734) with the Securities and Exchange Commission on November 8, 2006)#</w:t>
      </w:r>
    </w:p>
    <w:p>
      <w:pPr>
        <w:spacing w:after="0" w:line="22"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Operating Agreement of Flash Alliance, Ltd., dated as of July 7, 2006, by and between Toshiba Corporation and SanDisk (Ireland) Limited (Filed as Exhibit 10.2 to SanDisk Corporation’s Quarterly Report on Form 10-Q (File No. 000-26734) with the Securities and Exchange Commission on November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3175</wp:posOffset>
            </wp:positionV>
            <wp:extent cx="7106285" cy="420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7106285" cy="420370"/>
                    </a:xfrm>
                    <a:prstGeom prst="rect">
                      <a:avLst/>
                    </a:prstGeom>
                    <a:noFill/>
                  </pic:spPr>
                </pic:pic>
              </a:graphicData>
            </a:graphic>
          </wp:anchor>
        </w:drawing>
      </w:r>
    </w:p>
    <w:p>
      <w:pPr>
        <w:spacing w:after="0" w:line="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Joint Venture Restructure Agreement, dated as of January 29, 2009, by and among SanDisk Corporation, SanDisk (Ireland) Limited, SanDisk (Cayman) Limited, Toshiba Corporation, Flash Partners Limited and Flash Alliance Limited (Filed as Exhibit 10.1 to SanDisk Corporation’s Quarterly Report on Form 10-Q (File No. 000-26734) with the Securities and Exchange Commission on May 7, 2009)#</w:t>
      </w:r>
    </w:p>
    <w:p>
      <w:pPr>
        <w:spacing w:after="0" w:line="22"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New Y2 Facility Agreement, dated October 20, 2015, by and among SanDisk Corporation, SanDisk (Ireland) Limited, SanDisk (Cayman) Limited, SanDisk Flash B.V., Toshiba Corporation, Flash Partners Limited, Flash Alliance Limited and Flash Forward Limited (Filed as Exhibit 10.37 to SanDisk Corporation’s Annual Report on Form 10-K (File No. 000-26734) with the Securities and Exchange Commission on February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-7620</wp:posOffset>
            </wp:positionV>
            <wp:extent cx="7106285" cy="419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7106285" cy="419735"/>
                    </a:xfrm>
                    <a:prstGeom prst="rect">
                      <a:avLst/>
                    </a:prstGeom>
                    <a:noFill/>
                  </pic:spPr>
                </pic:pic>
              </a:graphicData>
            </a:graphic>
          </wp:anchor>
        </w:drawing>
      </w:r>
    </w:p>
    <w:p>
      <w:pPr>
        <w:ind w:right="260"/>
        <w:spacing w:after="0" w:line="278" w:lineRule="auto"/>
        <w:rPr>
          <w:sz w:val="20"/>
          <w:szCs w:val="20"/>
          <w:color w:val="auto"/>
        </w:rPr>
      </w:pPr>
      <w:r>
        <w:rPr>
          <w:rFonts w:ascii="Arial" w:cs="Arial" w:eastAsia="Arial" w:hAnsi="Arial"/>
          <w:sz w:val="16"/>
          <w:szCs w:val="16"/>
          <w:color w:val="auto"/>
        </w:rPr>
        <w:t>FAL Commitment and Extension Agreement, dated as of December 12, 2017, by and among Western Digital Corporation, SanDisk LLC, SanDisk (Ireland) Limited and Toshiba Memory Corporation (Filed as Exhibit 10.6 to the Company’s Quarterly Report on Form 10-Q (File No. 1-08703) with the Securities and Exchange Commission on February 6, 2018)#</w:t>
      </w:r>
    </w:p>
    <w:p>
      <w:pPr>
        <w:spacing w:after="0" w:line="9" w:lineRule="exact"/>
        <w:rPr>
          <w:sz w:val="20"/>
          <w:szCs w:val="20"/>
          <w:color w:val="auto"/>
        </w:rPr>
      </w:pPr>
    </w:p>
    <w:p>
      <w:pPr>
        <w:sectPr>
          <w:pgSz w:w="11900" w:h="16838" w:orient="portrait"/>
          <w:cols w:equalWidth="0" w:num="2">
            <w:col w:w="880" w:space="400"/>
            <w:col w:w="9940"/>
          </w:cols>
          <w:pgMar w:left="320" w:top="125" w:right="359" w:bottom="1440" w:gutter="0" w:footer="0" w:header="0"/>
          <w:type w:val="continuous"/>
        </w:sectPr>
      </w:pPr>
    </w:p>
    <w:p>
      <w:pPr>
        <w:ind w:left="1280" w:right="120" w:hanging="867"/>
        <w:spacing w:after="0" w:line="273" w:lineRule="auto"/>
        <w:tabs>
          <w:tab w:leader="none" w:pos="1260" w:val="left"/>
        </w:tabs>
        <w:rPr>
          <w:rFonts w:ascii="Arial" w:cs="Arial" w:eastAsia="Arial" w:hAnsi="Arial"/>
          <w:sz w:val="16"/>
          <w:szCs w:val="16"/>
          <w:color w:val="0000FF"/>
        </w:rPr>
      </w:pPr>
      <w:hyperlink r:id="rId198">
        <w:r>
          <w:rPr>
            <w:rFonts w:ascii="Arial" w:cs="Arial" w:eastAsia="Arial" w:hAnsi="Arial"/>
            <w:sz w:val="16"/>
            <w:szCs w:val="16"/>
            <w:u w:val="single" w:color="auto"/>
            <w:color w:val="0000FF"/>
          </w:rPr>
          <w:t>10.21</w:t>
        </w:r>
      </w:hyperlink>
      <w:r>
        <w:rPr>
          <w:rFonts w:ascii="Arial" w:cs="Arial" w:eastAsia="Arial" w:hAnsi="Arial"/>
          <w:sz w:val="16"/>
          <w:szCs w:val="16"/>
          <w:color w:val="0000FF"/>
        </w:rPr>
        <w:tab/>
        <w:t>Y6 Facility Agreement, dated as of December 12, 2017, by and among Western Digital Corporation, SanDisk LLC, SanDisk (Cayman) Limited, SanDisk (Ireland) Limited, SanDisk Flash B.V., Flash Partners, Ltd., Flash Alliance, Ltd., Flash Forward, Ltd. and Toshiba Memory Corporation (Filed as Exhibit 10.7 to the Company’s Quarterly Report on Form 10-Q (File No. 1-08703) with the Securities and Exchange Commission on February 6,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5" w:name="page116"/>
    <w:bookmarkEnd w:id="1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Number</w:t>
      </w:r>
    </w:p>
    <w:p>
      <w:pPr>
        <w:spacing w:after="0" w:line="50" w:lineRule="exact"/>
        <w:rPr>
          <w:sz w:val="20"/>
          <w:szCs w:val="20"/>
          <w:color w:val="auto"/>
        </w:rPr>
      </w:pPr>
    </w:p>
    <w:p>
      <w:pPr>
        <w:ind w:left="400"/>
        <w:spacing w:after="0"/>
        <w:rPr>
          <w:rFonts w:ascii="Arial" w:cs="Arial" w:eastAsia="Arial" w:hAnsi="Arial"/>
          <w:sz w:val="16"/>
          <w:szCs w:val="16"/>
          <w:u w:val="single" w:color="auto"/>
          <w:color w:val="0000FF"/>
        </w:rPr>
      </w:pPr>
      <w:hyperlink r:id="rId200">
        <w:r>
          <w:rPr>
            <w:rFonts w:ascii="Arial" w:cs="Arial" w:eastAsia="Arial" w:hAnsi="Arial"/>
            <w:sz w:val="16"/>
            <w:szCs w:val="16"/>
            <w:u w:val="single" w:color="auto"/>
            <w:color w:val="0000FF"/>
          </w:rPr>
          <w:t>10.22</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0"/>
        <w:spacing w:after="0"/>
        <w:rPr>
          <w:rFonts w:ascii="Arial" w:cs="Arial" w:eastAsia="Arial" w:hAnsi="Arial"/>
          <w:sz w:val="16"/>
          <w:szCs w:val="16"/>
          <w:u w:val="single" w:color="auto"/>
          <w:color w:val="0000FF"/>
        </w:rPr>
      </w:pPr>
      <w:hyperlink r:id="rId201">
        <w:r>
          <w:rPr>
            <w:rFonts w:ascii="Arial" w:cs="Arial" w:eastAsia="Arial" w:hAnsi="Arial"/>
            <w:sz w:val="16"/>
            <w:szCs w:val="16"/>
            <w:u w:val="single" w:color="auto"/>
            <w:color w:val="0000FF"/>
          </w:rPr>
          <w:t>10.23</w:t>
        </w:r>
      </w:hyperlink>
    </w:p>
    <w:p>
      <w:pPr>
        <w:spacing w:after="0" w:line="200" w:lineRule="exact"/>
        <w:rPr>
          <w:sz w:val="20"/>
          <w:szCs w:val="20"/>
          <w:color w:val="auto"/>
        </w:rPr>
      </w:pPr>
    </w:p>
    <w:p>
      <w:pPr>
        <w:spacing w:after="0" w:line="278" w:lineRule="exact"/>
        <w:rPr>
          <w:sz w:val="20"/>
          <w:szCs w:val="20"/>
          <w:color w:val="auto"/>
        </w:rPr>
      </w:pPr>
    </w:p>
    <w:p>
      <w:pPr>
        <w:ind w:left="400"/>
        <w:spacing w:after="0"/>
        <w:rPr>
          <w:rFonts w:ascii="Arial" w:cs="Arial" w:eastAsia="Arial" w:hAnsi="Arial"/>
          <w:sz w:val="16"/>
          <w:szCs w:val="16"/>
          <w:u w:val="single" w:color="auto"/>
          <w:color w:val="0000FF"/>
        </w:rPr>
      </w:pPr>
      <w:hyperlink r:id="rId202">
        <w:r>
          <w:rPr>
            <w:rFonts w:ascii="Arial" w:cs="Arial" w:eastAsia="Arial" w:hAnsi="Arial"/>
            <w:sz w:val="16"/>
            <w:szCs w:val="16"/>
            <w:u w:val="single" w:color="auto"/>
            <w:color w:val="0000FF"/>
          </w:rPr>
          <w:t>10.24</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20"/>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21</w:t>
        </w:r>
      </w:hyperlink>
    </w:p>
    <w:p>
      <w:pPr>
        <w:spacing w:after="0" w:line="73" w:lineRule="exact"/>
        <w:rPr>
          <w:sz w:val="20"/>
          <w:szCs w:val="20"/>
          <w:color w:val="auto"/>
        </w:rPr>
      </w:pPr>
    </w:p>
    <w:p>
      <w:pPr>
        <w:jc w:val="center"/>
        <w:ind w:left="320"/>
        <w:spacing w:after="0"/>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23</w:t>
        </w:r>
      </w:hyperlink>
    </w:p>
    <w:p>
      <w:pPr>
        <w:spacing w:after="0" w:line="73" w:lineRule="exact"/>
        <w:rPr>
          <w:sz w:val="20"/>
          <w:szCs w:val="20"/>
          <w:color w:val="auto"/>
        </w:rPr>
      </w:pPr>
    </w:p>
    <w:p>
      <w:pPr>
        <w:jc w:val="center"/>
        <w:ind w:left="320"/>
        <w:spacing w:after="0"/>
        <w:rPr>
          <w:rFonts w:ascii="Arial" w:cs="Arial" w:eastAsia="Arial" w:hAnsi="Arial"/>
          <w:sz w:val="16"/>
          <w:szCs w:val="16"/>
          <w:u w:val="single" w:color="auto"/>
          <w:color w:val="0000FF"/>
        </w:rPr>
      </w:pPr>
      <w:hyperlink w:anchor="page127">
        <w:r>
          <w:rPr>
            <w:rFonts w:ascii="Arial" w:cs="Arial" w:eastAsia="Arial" w:hAnsi="Arial"/>
            <w:sz w:val="16"/>
            <w:szCs w:val="16"/>
            <w:u w:val="single" w:color="auto"/>
            <w:color w:val="0000FF"/>
          </w:rPr>
          <w:t>31.1</w:t>
        </w:r>
      </w:hyperlink>
    </w:p>
    <w:p>
      <w:pPr>
        <w:spacing w:after="0" w:line="73" w:lineRule="exact"/>
        <w:rPr>
          <w:sz w:val="20"/>
          <w:szCs w:val="20"/>
          <w:color w:val="auto"/>
        </w:rPr>
      </w:pPr>
    </w:p>
    <w:p>
      <w:pPr>
        <w:jc w:val="center"/>
        <w:ind w:left="320"/>
        <w:spacing w:after="0"/>
        <w:rPr>
          <w:rFonts w:ascii="Arial" w:cs="Arial" w:eastAsia="Arial" w:hAnsi="Arial"/>
          <w:sz w:val="16"/>
          <w:szCs w:val="16"/>
          <w:u w:val="single" w:color="auto"/>
          <w:color w:val="0000FF"/>
        </w:rPr>
      </w:pPr>
      <w:hyperlink w:anchor="page128">
        <w:r>
          <w:rPr>
            <w:rFonts w:ascii="Arial" w:cs="Arial" w:eastAsia="Arial" w:hAnsi="Arial"/>
            <w:sz w:val="16"/>
            <w:szCs w:val="16"/>
            <w:u w:val="single" w:color="auto"/>
            <w:color w:val="0000FF"/>
          </w:rPr>
          <w:t>31.2</w:t>
        </w:r>
      </w:hyperlink>
    </w:p>
    <w:p>
      <w:pPr>
        <w:spacing w:after="0" w:line="73" w:lineRule="exact"/>
        <w:rPr>
          <w:sz w:val="20"/>
          <w:szCs w:val="20"/>
          <w:color w:val="auto"/>
        </w:rPr>
      </w:pPr>
    </w:p>
    <w:p>
      <w:pPr>
        <w:jc w:val="center"/>
        <w:ind w:left="320"/>
        <w:spacing w:after="0"/>
        <w:rPr>
          <w:rFonts w:ascii="Arial" w:cs="Arial" w:eastAsia="Arial" w:hAnsi="Arial"/>
          <w:sz w:val="16"/>
          <w:szCs w:val="16"/>
          <w:u w:val="single" w:color="auto"/>
          <w:color w:val="0000FF"/>
        </w:rPr>
      </w:pPr>
      <w:hyperlink w:anchor="page129">
        <w:r>
          <w:rPr>
            <w:rFonts w:ascii="Arial" w:cs="Arial" w:eastAsia="Arial" w:hAnsi="Arial"/>
            <w:sz w:val="16"/>
            <w:szCs w:val="16"/>
            <w:u w:val="single" w:color="auto"/>
            <w:color w:val="0000FF"/>
          </w:rPr>
          <w:t>32.1</w:t>
        </w:r>
      </w:hyperlink>
    </w:p>
    <w:p>
      <w:pPr>
        <w:spacing w:after="0" w:line="73" w:lineRule="exact"/>
        <w:rPr>
          <w:sz w:val="20"/>
          <w:szCs w:val="20"/>
          <w:color w:val="auto"/>
        </w:rPr>
      </w:pPr>
    </w:p>
    <w:p>
      <w:pPr>
        <w:jc w:val="center"/>
        <w:ind w:left="320"/>
        <w:spacing w:after="0"/>
        <w:rPr>
          <w:rFonts w:ascii="Arial" w:cs="Arial" w:eastAsia="Arial" w:hAnsi="Arial"/>
          <w:sz w:val="16"/>
          <w:szCs w:val="16"/>
          <w:u w:val="single" w:color="auto"/>
          <w:color w:val="0000FF"/>
        </w:rPr>
      </w:pPr>
      <w:hyperlink w:anchor="page130">
        <w:r>
          <w:rPr>
            <w:rFonts w:ascii="Arial" w:cs="Arial" w:eastAsia="Arial" w:hAnsi="Arial"/>
            <w:sz w:val="16"/>
            <w:szCs w:val="16"/>
            <w:u w:val="single" w:color="auto"/>
            <w:color w:val="0000FF"/>
          </w:rPr>
          <w:t>32.2</w:t>
        </w:r>
      </w:hyperlink>
    </w:p>
    <w:p>
      <w:pPr>
        <w:spacing w:after="0" w:line="8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23495</wp:posOffset>
            </wp:positionV>
            <wp:extent cx="7106285" cy="557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3">
                      <a:extLst>
                        <a:ext uri="{28A0092B-C50C-407E-A947-70E740481C1C}"/>
                      </a:extLst>
                    </a:blip>
                    <a:srcRect/>
                    <a:stretch>
                      <a:fillRect/>
                    </a:stretch>
                  </pic:blipFill>
                  <pic:spPr bwMode="auto">
                    <a:xfrm>
                      <a:off x="0" y="0"/>
                      <a:ext cx="7106285" cy="557530"/>
                    </a:xfrm>
                    <a:prstGeom prst="rect">
                      <a:avLst/>
                    </a:prstGeom>
                    <a:noFill/>
                  </pic:spPr>
                </pic:pic>
              </a:graphicData>
            </a:graphic>
          </wp:anchor>
        </w:drawing>
      </w:r>
    </w:p>
    <w:p>
      <w:pPr>
        <w:spacing w:after="0" w:line="48" w:lineRule="exact"/>
        <w:rPr>
          <w:sz w:val="20"/>
          <w:szCs w:val="20"/>
          <w:color w:val="auto"/>
        </w:rPr>
      </w:pPr>
    </w:p>
    <w:p>
      <w:pPr>
        <w:jc w:val="both"/>
        <w:ind w:right="580"/>
        <w:spacing w:after="0" w:line="273" w:lineRule="auto"/>
        <w:rPr>
          <w:sz w:val="20"/>
          <w:szCs w:val="20"/>
          <w:color w:val="auto"/>
        </w:rPr>
      </w:pPr>
      <w:r>
        <w:rPr>
          <w:rFonts w:ascii="Arial" w:cs="Arial" w:eastAsia="Arial" w:hAnsi="Arial"/>
          <w:sz w:val="16"/>
          <w:szCs w:val="16"/>
          <w:color w:val="auto"/>
        </w:rPr>
        <w:t>K1 Facility Agreement, dated as of May 15, 2019, by and among Western Digital, SanDisk LLC, SanDisk (Cayman) Limited, SanDisk (Ireland) Limited, SanDisk Flash B.V., Flash Partners, Ltd., Flash Alliance, Ltd., Flash Forward Ltd., Toshiba Memory Corporation and Toshiba Memory Corporation Iwate (Filed as Exhibit 10.21 to the Company’s Annual Report on Form 10-K (File No. 1-08703) with the Securities and Exchange Commission on August 27, 2019##</w:t>
      </w:r>
    </w:p>
    <w:p>
      <w:pPr>
        <w:spacing w:after="0" w:line="27" w:lineRule="exact"/>
        <w:rPr>
          <w:sz w:val="20"/>
          <w:szCs w:val="20"/>
          <w:color w:val="auto"/>
        </w:rPr>
      </w:pPr>
    </w:p>
    <w:p>
      <w:pPr>
        <w:ind w:right="240"/>
        <w:spacing w:after="0" w:line="328" w:lineRule="auto"/>
        <w:rPr>
          <w:sz w:val="20"/>
          <w:szCs w:val="20"/>
          <w:color w:val="auto"/>
        </w:rPr>
      </w:pPr>
      <w:r>
        <w:rPr>
          <w:rFonts w:ascii="Arial" w:cs="Arial" w:eastAsia="Arial" w:hAnsi="Arial"/>
          <w:sz w:val="14"/>
          <w:szCs w:val="14"/>
          <w:color w:val="auto"/>
        </w:rPr>
        <w:t>Confidential Settlement and Mutual Release Agreement, dated as of December 12, 2017, by and among Western Digital Corporation, SanDisk LLC, SanDisk (Cayman) Limited, SanDisk (Ireland) Limited, SanDisk Flash B.V., Toshiba Corporation and Toshiba Memory Corporation (Filed as Exhibit 10.8 to the Company’s Quarterly Report on Form 10-Q (File No. 1-08703) with the Securities and Exchange Commission on February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-9525</wp:posOffset>
            </wp:positionV>
            <wp:extent cx="7106285" cy="548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4">
                      <a:extLst>
                        <a:ext uri="{28A0092B-C50C-407E-A947-70E740481C1C}"/>
                      </a:extLst>
                    </a:blip>
                    <a:srcRect/>
                    <a:stretch>
                      <a:fillRect/>
                    </a:stretch>
                  </pic:blipFill>
                  <pic:spPr bwMode="auto">
                    <a:xfrm>
                      <a:off x="0" y="0"/>
                      <a:ext cx="7106285" cy="548640"/>
                    </a:xfrm>
                    <a:prstGeom prst="rect">
                      <a:avLst/>
                    </a:prstGeom>
                    <a:noFill/>
                  </pic:spPr>
                </pic:pic>
              </a:graphicData>
            </a:graphic>
          </wp:anchor>
        </w:drawing>
      </w:r>
    </w:p>
    <w:p>
      <w:pPr>
        <w:ind w:right="40"/>
        <w:spacing w:after="0" w:line="297" w:lineRule="auto"/>
        <w:rPr>
          <w:sz w:val="20"/>
          <w:szCs w:val="20"/>
          <w:color w:val="auto"/>
        </w:rPr>
      </w:pPr>
      <w:r>
        <w:rPr>
          <w:rFonts w:ascii="Arial" w:cs="Arial" w:eastAsia="Arial" w:hAnsi="Arial"/>
          <w:sz w:val="15"/>
          <w:szCs w:val="15"/>
          <w:color w:val="auto"/>
        </w:rPr>
        <w:t>Confidential Settlement and Mutual Release Agreement, dated as of December 12, 2017, by and among Western Digital Corporation, SanDisk LLC, SanDisk (Cayman) Limited, SanDisk (Ireland) Limited, SanDisk Flash B.V., Bain Capital Private Equity, L.P., BCPE Pangea Cayman, L.P., BCPE Pangea Cayman2, Ltd., Bain Capital Fund XII, L.P., Bain Capital Asia Fund III, L.P. and K.K. Pangea (Filed as Exhibit 10.9 to the Company’s Quarterly Report on Form 10-Q (File No. 1-08703) with the Securities and Exchange Commission on February 6, 2018)#</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Subsidiaries of Western Digital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34925</wp:posOffset>
            </wp:positionV>
            <wp:extent cx="7106285"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5">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34925</wp:posOffset>
            </wp:positionV>
            <wp:extent cx="7106285"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6">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Principal Financial Officer Pursuant to Section 302 of the Sarbanes-Oxley Act of 2002†</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42545</wp:posOffset>
            </wp:positionV>
            <wp:extent cx="7106285"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7">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Certification of Chief Financial Officer Pursuant to 18 U.S.C. Section 1350, as adopted pursuant to Section 906 of the Sarbanes-Oxley Act of 2002**</w:t>
      </w:r>
    </w:p>
    <w:p>
      <w:pPr>
        <w:spacing w:after="0" w:line="84"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 the Inline XBRL document.</w:t>
      </w:r>
    </w:p>
    <w:p>
      <w:pPr>
        <w:spacing w:after="0" w:line="1" w:lineRule="exact"/>
        <w:rPr>
          <w:sz w:val="20"/>
          <w:szCs w:val="20"/>
          <w:color w:val="auto"/>
        </w:rPr>
      </w:pPr>
    </w:p>
    <w:p>
      <w:pPr>
        <w:sectPr>
          <w:pgSz w:w="11900" w:h="16838" w:orient="portrait"/>
          <w:cols w:equalWidth="0" w:num="2">
            <w:col w:w="860" w:space="420"/>
            <w:col w:w="9940"/>
          </w:cols>
          <w:pgMar w:left="320" w:top="125" w:right="359" w:bottom="1440" w:gutter="0" w:footer="0" w:header="0"/>
          <w:type w:val="continuous"/>
        </w:sectPr>
      </w:pPr>
    </w:p>
    <w:tbl>
      <w:tblPr>
        <w:tblLayout w:type="fixed"/>
        <w:tblInd w:w="40" w:type="dxa"/>
        <w:tblCellMar>
          <w:top w:w="0" w:type="dxa"/>
          <w:left w:w="0" w:type="dxa"/>
          <w:bottom w:w="0" w:type="dxa"/>
          <w:right w:w="0" w:type="dxa"/>
        </w:tblCellMar>
      </w:tblPr>
      <w:tr>
        <w:trPr>
          <w:trHeight w:val="237"/>
        </w:trPr>
        <w:tc>
          <w:tcPr>
            <w:tcW w:w="1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101.SCH</w:t>
            </w:r>
          </w:p>
        </w:tc>
        <w:tc>
          <w:tcPr>
            <w:tcW w:w="10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XBRL Taxonomy Extension Schema Document†</w:t>
            </w:r>
          </w:p>
        </w:tc>
      </w:tr>
      <w:tr>
        <w:trPr>
          <w:trHeight w:val="223"/>
        </w:trPr>
        <w:tc>
          <w:tcPr>
            <w:tcW w:w="1040" w:type="dxa"/>
            <w:vAlign w:val="bottom"/>
          </w:tcPr>
          <w:p>
            <w:pPr>
              <w:ind w:left="240"/>
              <w:spacing w:after="0"/>
              <w:rPr>
                <w:sz w:val="20"/>
                <w:szCs w:val="20"/>
                <w:color w:val="auto"/>
              </w:rPr>
            </w:pPr>
            <w:r>
              <w:rPr>
                <w:rFonts w:ascii="Arial" w:cs="Arial" w:eastAsia="Arial" w:hAnsi="Arial"/>
                <w:sz w:val="16"/>
                <w:szCs w:val="16"/>
                <w:color w:val="auto"/>
              </w:rPr>
              <w:t>101.CAL</w:t>
            </w:r>
          </w:p>
        </w:tc>
        <w:tc>
          <w:tcPr>
            <w:tcW w:w="10140" w:type="dxa"/>
            <w:vAlign w:val="bottom"/>
          </w:tcPr>
          <w:p>
            <w:pPr>
              <w:ind w:left="200"/>
              <w:spacing w:after="0"/>
              <w:rPr>
                <w:sz w:val="20"/>
                <w:szCs w:val="20"/>
                <w:color w:val="auto"/>
              </w:rPr>
            </w:pPr>
            <w:r>
              <w:rPr>
                <w:rFonts w:ascii="Arial" w:cs="Arial" w:eastAsia="Arial" w:hAnsi="Arial"/>
                <w:sz w:val="16"/>
                <w:szCs w:val="16"/>
                <w:color w:val="auto"/>
              </w:rPr>
              <w:t>XBRL Taxonomy Extension Calculation Linkbase Document†</w:t>
            </w:r>
          </w:p>
        </w:tc>
      </w:tr>
      <w:tr>
        <w:trPr>
          <w:trHeight w:val="33"/>
        </w:trPr>
        <w:tc>
          <w:tcPr>
            <w:tcW w:w="1040" w:type="dxa"/>
            <w:vAlign w:val="bottom"/>
          </w:tcPr>
          <w:p>
            <w:pPr>
              <w:spacing w:after="0"/>
              <w:rPr>
                <w:sz w:val="2"/>
                <w:szCs w:val="2"/>
                <w:color w:val="auto"/>
              </w:rPr>
            </w:pPr>
          </w:p>
        </w:tc>
        <w:tc>
          <w:tcPr>
            <w:tcW w:w="10140" w:type="dxa"/>
            <w:vAlign w:val="bottom"/>
          </w:tcPr>
          <w:p>
            <w:pPr>
              <w:spacing w:after="0"/>
              <w:rPr>
                <w:sz w:val="2"/>
                <w:szCs w:val="2"/>
                <w:color w:val="auto"/>
              </w:rPr>
            </w:pPr>
          </w:p>
        </w:tc>
      </w:tr>
      <w:tr>
        <w:trPr>
          <w:trHeight w:val="236"/>
        </w:trPr>
        <w:tc>
          <w:tcPr>
            <w:tcW w:w="1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101.LAB</w:t>
            </w:r>
          </w:p>
        </w:tc>
        <w:tc>
          <w:tcPr>
            <w:tcW w:w="10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XBRL Taxonomy Extension Label Linkbase Document†</w:t>
            </w:r>
          </w:p>
        </w:tc>
      </w:tr>
      <w:tr>
        <w:trPr>
          <w:trHeight w:val="224"/>
        </w:trPr>
        <w:tc>
          <w:tcPr>
            <w:tcW w:w="1040" w:type="dxa"/>
            <w:vAlign w:val="bottom"/>
          </w:tcPr>
          <w:p>
            <w:pPr>
              <w:ind w:left="260"/>
              <w:spacing w:after="0"/>
              <w:rPr>
                <w:sz w:val="20"/>
                <w:szCs w:val="20"/>
                <w:color w:val="auto"/>
              </w:rPr>
            </w:pPr>
            <w:r>
              <w:rPr>
                <w:rFonts w:ascii="Arial" w:cs="Arial" w:eastAsia="Arial" w:hAnsi="Arial"/>
                <w:sz w:val="16"/>
                <w:szCs w:val="16"/>
                <w:color w:val="auto"/>
              </w:rPr>
              <w:t>101.PRE</w:t>
            </w:r>
          </w:p>
        </w:tc>
        <w:tc>
          <w:tcPr>
            <w:tcW w:w="10140" w:type="dxa"/>
            <w:vAlign w:val="bottom"/>
          </w:tcPr>
          <w:p>
            <w:pPr>
              <w:ind w:left="20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33"/>
        </w:trPr>
        <w:tc>
          <w:tcPr>
            <w:tcW w:w="1040" w:type="dxa"/>
            <w:vAlign w:val="bottom"/>
          </w:tcPr>
          <w:p>
            <w:pPr>
              <w:spacing w:after="0"/>
              <w:rPr>
                <w:sz w:val="2"/>
                <w:szCs w:val="2"/>
                <w:color w:val="auto"/>
              </w:rPr>
            </w:pPr>
          </w:p>
        </w:tc>
        <w:tc>
          <w:tcPr>
            <w:tcW w:w="10140" w:type="dxa"/>
            <w:vAlign w:val="bottom"/>
          </w:tcPr>
          <w:p>
            <w:pPr>
              <w:spacing w:after="0"/>
              <w:rPr>
                <w:sz w:val="2"/>
                <w:szCs w:val="2"/>
                <w:color w:val="auto"/>
              </w:rPr>
            </w:pPr>
          </w:p>
        </w:tc>
      </w:tr>
      <w:tr>
        <w:trPr>
          <w:trHeight w:val="223"/>
        </w:trPr>
        <w:tc>
          <w:tcPr>
            <w:tcW w:w="1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101.DEF</w:t>
            </w:r>
          </w:p>
        </w:tc>
        <w:tc>
          <w:tcPr>
            <w:tcW w:w="10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XBRL Taxonomy Extension Definition Linkbase Document†</w:t>
            </w:r>
          </w:p>
        </w:tc>
      </w:tr>
      <w:tr>
        <w:trPr>
          <w:trHeight w:val="33"/>
        </w:trPr>
        <w:tc>
          <w:tcPr>
            <w:tcW w:w="1040" w:type="dxa"/>
            <w:vAlign w:val="bottom"/>
            <w:shd w:val="clear" w:color="auto" w:fill="CCEEFF"/>
          </w:tcPr>
          <w:p>
            <w:pPr>
              <w:spacing w:after="0"/>
              <w:rPr>
                <w:sz w:val="2"/>
                <w:szCs w:val="2"/>
                <w:color w:val="auto"/>
              </w:rPr>
            </w:pPr>
          </w:p>
        </w:tc>
        <w:tc>
          <w:tcPr>
            <w:tcW w:w="1014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ind w:left="1280" w:hanging="813"/>
        <w:spacing w:after="0"/>
        <w:tabs>
          <w:tab w:leader="none" w:pos="12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Cover Page Interactive Data File - formatted in Inline XBRL and contained in Exhibit 101</w:t>
      </w:r>
    </w:p>
    <w:p>
      <w:pPr>
        <w:spacing w:after="0" w:line="200" w:lineRule="exact"/>
        <w:rPr>
          <w:rFonts w:ascii="Arial" w:cs="Arial" w:eastAsia="Arial" w:hAnsi="Arial"/>
          <w:sz w:val="16"/>
          <w:szCs w:val="16"/>
          <w:color w:val="auto"/>
        </w:rPr>
      </w:pPr>
    </w:p>
    <w:p>
      <w:pPr>
        <w:spacing w:after="0" w:line="381" w:lineRule="exact"/>
        <w:rPr>
          <w:rFonts w:ascii="Arial" w:cs="Arial" w:eastAsia="Arial" w:hAnsi="Arial"/>
          <w:sz w:val="16"/>
          <w:szCs w:val="16"/>
          <w:color w:val="auto"/>
        </w:rPr>
      </w:pPr>
    </w:p>
    <w:p>
      <w:pPr>
        <w:ind w:left="140" w:hanging="132"/>
        <w:spacing w:after="0"/>
        <w:tabs>
          <w:tab w:leader="none" w:pos="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9683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8">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Furnished with this report.</w:t>
      </w:r>
    </w:p>
    <w:p>
      <w:pPr>
        <w:spacing w:after="0" w:line="9" w:lineRule="exact"/>
        <w:rPr>
          <w:sz w:val="20"/>
          <w:szCs w:val="20"/>
          <w:color w:val="auto"/>
        </w:rPr>
      </w:pPr>
    </w:p>
    <w:p>
      <w:pPr>
        <w:ind w:left="340" w:right="100" w:hanging="332"/>
        <w:spacing w:after="0" w:line="250" w:lineRule="auto"/>
        <w:tabs>
          <w:tab w:leader="none" w:pos="151"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ind w:left="340" w:right="200" w:hanging="323"/>
        <w:spacing w:after="0" w:line="281" w:lineRule="auto"/>
        <w:rPr>
          <w:sz w:val="20"/>
          <w:szCs w:val="20"/>
          <w:color w:val="auto"/>
        </w:rPr>
      </w:pPr>
      <w:r>
        <w:rPr>
          <w:rFonts w:ascii="Arial" w:cs="Arial" w:eastAsia="Arial" w:hAnsi="Arial"/>
          <w:sz w:val="16"/>
          <w:szCs w:val="16"/>
          <w:color w:val="auto"/>
        </w:rPr>
        <w:t># Pursuant to a request for confidential treatment, certain portions of this exhibit have been redacted from the publicly filed document and have been furnished separately to the Securities and Exchange Commission as required by Rule 24b-2 under the Securities Exchange Act of 1934, as amended.</w:t>
      </w:r>
    </w:p>
    <w:p>
      <w:pPr>
        <w:spacing w:after="0" w:line="1" w:lineRule="exact"/>
        <w:rPr>
          <w:sz w:val="20"/>
          <w:szCs w:val="20"/>
          <w:color w:val="auto"/>
        </w:rPr>
      </w:pPr>
    </w:p>
    <w:p>
      <w:pPr>
        <w:ind w:left="340" w:right="200" w:hanging="332"/>
        <w:spacing w:after="0" w:line="260" w:lineRule="auto"/>
        <w:tabs>
          <w:tab w:leader="none" w:pos="2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permitted by Regulation S-K, Item 601(b)(10)(iv) of the Securities Exchange Act of 1934, as amended, certain confidential portions of this exhibit have been redacted from the publicly filed document.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00" w:firstLine="324"/>
        <w:spacing w:after="0" w:line="223" w:lineRule="exact"/>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to be signed on its behalf by the undersigned, thereunto duly authorized.</w:t>
      </w:r>
    </w:p>
    <w:p>
      <w:pPr>
        <w:spacing w:after="0" w:line="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WESTERN DIGITAL CORPORATION</w:t>
      </w:r>
    </w:p>
    <w:p>
      <w:pPr>
        <w:spacing w:after="0" w:line="279" w:lineRule="exact"/>
        <w:rPr>
          <w:sz w:val="20"/>
          <w:szCs w:val="20"/>
          <w:color w:val="auto"/>
        </w:rPr>
      </w:pPr>
    </w:p>
    <w:p>
      <w:pPr>
        <w:ind w:left="5980"/>
        <w:spacing w:after="0"/>
        <w:tabs>
          <w:tab w:leader="none" w:pos="6420" w:val="left"/>
        </w:tabs>
        <w:rPr>
          <w:sz w:val="20"/>
          <w:szCs w:val="20"/>
          <w:color w:val="auto"/>
        </w:rPr>
      </w:pPr>
      <w:r>
        <w:rPr>
          <w:rFonts w:ascii="Arial" w:cs="Arial" w:eastAsia="Arial" w:hAnsi="Arial"/>
          <w:sz w:val="18"/>
          <w:szCs w:val="18"/>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435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0">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Gene Zamiska</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Vice President, Global Accounting and Chief Accounting Officer</w:t>
      </w:r>
    </w:p>
    <w:p>
      <w:pPr>
        <w:spacing w:after="0" w:line="8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Accounting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Dated: August 27, 2020</w:t>
      </w:r>
    </w:p>
    <w:p>
      <w:pPr>
        <w:spacing w:after="0" w:line="252" w:lineRule="exact"/>
        <w:rPr>
          <w:sz w:val="20"/>
          <w:szCs w:val="20"/>
          <w:color w:val="auto"/>
        </w:rPr>
      </w:pPr>
    </w:p>
    <w:p>
      <w:pPr>
        <w:ind w:right="520" w:firstLine="324"/>
        <w:spacing w:after="0" w:line="223" w:lineRule="exact"/>
        <w:rPr>
          <w:sz w:val="20"/>
          <w:szCs w:val="20"/>
          <w:color w:val="auto"/>
        </w:rPr>
      </w:pPr>
      <w:r>
        <w:rPr>
          <w:rFonts w:ascii="Arial" w:cs="Arial" w:eastAsia="Arial" w:hAnsi="Arial"/>
          <w:sz w:val="18"/>
          <w:szCs w:val="18"/>
          <w:color w:val="auto"/>
        </w:rPr>
        <w:t>Pursuant to the requirements of the Securities Exchange Act of 1934,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has been signed below by the following persons on behalf of the Registrant and in the capacities and on the dates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ind w:left="1260"/>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20"/>
                <w:szCs w:val="20"/>
                <w:color w:val="auto"/>
              </w:rPr>
            </w:pPr>
          </w:p>
        </w:tc>
        <w:tc>
          <w:tcPr>
            <w:tcW w:w="5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Title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3260" w:type="dxa"/>
            <w:vAlign w:val="bottom"/>
          </w:tcPr>
          <w:p>
            <w:pPr>
              <w:ind w:left="20"/>
              <w:spacing w:after="0"/>
              <w:rPr>
                <w:sz w:val="20"/>
                <w:szCs w:val="20"/>
                <w:color w:val="auto"/>
              </w:rPr>
            </w:pPr>
            <w:r>
              <w:rPr>
                <w:rFonts w:ascii="Arial" w:cs="Arial" w:eastAsia="Arial" w:hAnsi="Arial"/>
                <w:sz w:val="18"/>
                <w:szCs w:val="18"/>
                <w:color w:val="auto"/>
              </w:rPr>
              <w:t>/s/ David V. Goeckeler</w:t>
            </w:r>
          </w:p>
        </w:tc>
        <w:tc>
          <w:tcPr>
            <w:tcW w:w="100" w:type="dxa"/>
            <w:vAlign w:val="bottom"/>
          </w:tcPr>
          <w:p>
            <w:pPr>
              <w:spacing w:after="0"/>
              <w:rPr>
                <w:sz w:val="24"/>
                <w:szCs w:val="24"/>
                <w:color w:val="auto"/>
              </w:rPr>
            </w:pPr>
          </w:p>
        </w:tc>
        <w:tc>
          <w:tcPr>
            <w:tcW w:w="58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Executive Officer, 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41"/>
        </w:trPr>
        <w:tc>
          <w:tcPr>
            <w:tcW w:w="32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8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260" w:type="dxa"/>
            <w:vAlign w:val="bottom"/>
            <w:vMerge w:val="restart"/>
          </w:tcPr>
          <w:p>
            <w:pPr>
              <w:ind w:left="20"/>
              <w:spacing w:after="0"/>
              <w:rPr>
                <w:sz w:val="20"/>
                <w:szCs w:val="20"/>
                <w:color w:val="auto"/>
              </w:rPr>
            </w:pPr>
            <w:r>
              <w:rPr>
                <w:rFonts w:ascii="Arial" w:cs="Arial" w:eastAsia="Arial" w:hAnsi="Arial"/>
                <w:sz w:val="18"/>
                <w:szCs w:val="18"/>
                <w:color w:val="auto"/>
              </w:rPr>
              <w:t>David V. Goeckeler</w:t>
            </w:r>
          </w:p>
        </w:tc>
        <w:tc>
          <w:tcPr>
            <w:tcW w:w="100" w:type="dxa"/>
            <w:vAlign w:val="bottom"/>
            <w:vMerge w:val="continue"/>
          </w:tcPr>
          <w:p>
            <w:pPr>
              <w:spacing w:after="0"/>
              <w:rPr>
                <w:sz w:val="14"/>
                <w:szCs w:val="14"/>
                <w:color w:val="auto"/>
              </w:rPr>
            </w:pPr>
          </w:p>
        </w:tc>
        <w:tc>
          <w:tcPr>
            <w:tcW w:w="588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2"/>
        </w:trPr>
        <w:tc>
          <w:tcPr>
            <w:tcW w:w="3260" w:type="dxa"/>
            <w:vAlign w:val="bottom"/>
          </w:tcPr>
          <w:p>
            <w:pPr>
              <w:ind w:left="20"/>
              <w:spacing w:after="0"/>
              <w:rPr>
                <w:sz w:val="20"/>
                <w:szCs w:val="20"/>
                <w:color w:val="auto"/>
              </w:rPr>
            </w:pPr>
            <w:r>
              <w:rPr>
                <w:rFonts w:ascii="Arial" w:cs="Arial" w:eastAsia="Arial" w:hAnsi="Arial"/>
                <w:sz w:val="18"/>
                <w:szCs w:val="18"/>
                <w:color w:val="auto"/>
              </w:rPr>
              <w:t>/s/ Robert K. Eulau</w:t>
            </w:r>
          </w:p>
        </w:tc>
        <w:tc>
          <w:tcPr>
            <w:tcW w:w="100" w:type="dxa"/>
            <w:vAlign w:val="bottom"/>
          </w:tcPr>
          <w:p>
            <w:pPr>
              <w:spacing w:after="0"/>
              <w:rPr>
                <w:sz w:val="24"/>
                <w:szCs w:val="24"/>
                <w:color w:val="auto"/>
              </w:rPr>
            </w:pPr>
          </w:p>
        </w:tc>
        <w:tc>
          <w:tcPr>
            <w:tcW w:w="58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Executive Vice President and 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41"/>
        </w:trPr>
        <w:tc>
          <w:tcPr>
            <w:tcW w:w="32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8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(Principal Financial Officer)</w:t>
            </w: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260" w:type="dxa"/>
            <w:vAlign w:val="bottom"/>
            <w:vMerge w:val="restart"/>
          </w:tcPr>
          <w:p>
            <w:pPr>
              <w:ind w:left="20"/>
              <w:spacing w:after="0"/>
              <w:rPr>
                <w:sz w:val="20"/>
                <w:szCs w:val="20"/>
                <w:color w:val="auto"/>
              </w:rPr>
            </w:pPr>
            <w:r>
              <w:rPr>
                <w:rFonts w:ascii="Arial" w:cs="Arial" w:eastAsia="Arial" w:hAnsi="Arial"/>
                <w:sz w:val="18"/>
                <w:szCs w:val="18"/>
                <w:color w:val="auto"/>
              </w:rPr>
              <w:t>Robert K. Eulau</w:t>
            </w:r>
          </w:p>
        </w:tc>
        <w:tc>
          <w:tcPr>
            <w:tcW w:w="100" w:type="dxa"/>
            <w:vAlign w:val="bottom"/>
            <w:vMerge w:val="continue"/>
          </w:tcPr>
          <w:p>
            <w:pPr>
              <w:spacing w:after="0"/>
              <w:rPr>
                <w:sz w:val="14"/>
                <w:szCs w:val="14"/>
                <w:color w:val="auto"/>
              </w:rPr>
            </w:pPr>
          </w:p>
        </w:tc>
        <w:tc>
          <w:tcPr>
            <w:tcW w:w="588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2"/>
        </w:trPr>
        <w:tc>
          <w:tcPr>
            <w:tcW w:w="3260" w:type="dxa"/>
            <w:vAlign w:val="bottom"/>
          </w:tcPr>
          <w:p>
            <w:pPr>
              <w:ind w:left="20"/>
              <w:spacing w:after="0"/>
              <w:rPr>
                <w:sz w:val="20"/>
                <w:szCs w:val="20"/>
                <w:color w:val="auto"/>
              </w:rPr>
            </w:pPr>
            <w:r>
              <w:rPr>
                <w:rFonts w:ascii="Arial" w:cs="Arial" w:eastAsia="Arial" w:hAnsi="Arial"/>
                <w:sz w:val="18"/>
                <w:szCs w:val="18"/>
                <w:color w:val="auto"/>
              </w:rPr>
              <w:t>/s/ Gene Zamiska</w:t>
            </w:r>
          </w:p>
        </w:tc>
        <w:tc>
          <w:tcPr>
            <w:tcW w:w="100" w:type="dxa"/>
            <w:vAlign w:val="bottom"/>
          </w:tcPr>
          <w:p>
            <w:pPr>
              <w:spacing w:after="0"/>
              <w:rPr>
                <w:sz w:val="24"/>
                <w:szCs w:val="24"/>
                <w:color w:val="auto"/>
              </w:rPr>
            </w:pPr>
          </w:p>
        </w:tc>
        <w:tc>
          <w:tcPr>
            <w:tcW w:w="58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Vice President, Global Accounting and Chief Accounting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41"/>
        </w:trPr>
        <w:tc>
          <w:tcPr>
            <w:tcW w:w="32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8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260" w:type="dxa"/>
            <w:vAlign w:val="bottom"/>
            <w:vMerge w:val="restart"/>
          </w:tcPr>
          <w:p>
            <w:pPr>
              <w:ind w:left="20"/>
              <w:spacing w:after="0"/>
              <w:rPr>
                <w:sz w:val="20"/>
                <w:szCs w:val="20"/>
                <w:color w:val="auto"/>
              </w:rPr>
            </w:pPr>
            <w:r>
              <w:rPr>
                <w:rFonts w:ascii="Arial" w:cs="Arial" w:eastAsia="Arial" w:hAnsi="Arial"/>
                <w:sz w:val="18"/>
                <w:szCs w:val="18"/>
                <w:color w:val="auto"/>
              </w:rPr>
              <w:t>Gene Zamiska</w:t>
            </w:r>
          </w:p>
        </w:tc>
        <w:tc>
          <w:tcPr>
            <w:tcW w:w="100" w:type="dxa"/>
            <w:vAlign w:val="bottom"/>
            <w:vMerge w:val="continue"/>
          </w:tcPr>
          <w:p>
            <w:pPr>
              <w:spacing w:after="0"/>
              <w:rPr>
                <w:sz w:val="14"/>
                <w:szCs w:val="14"/>
                <w:color w:val="auto"/>
              </w:rPr>
            </w:pPr>
          </w:p>
        </w:tc>
        <w:tc>
          <w:tcPr>
            <w:tcW w:w="588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3260" w:type="dxa"/>
            <w:vAlign w:val="bottom"/>
          </w:tcPr>
          <w:p>
            <w:pPr>
              <w:ind w:left="20"/>
              <w:spacing w:after="0"/>
              <w:rPr>
                <w:sz w:val="20"/>
                <w:szCs w:val="20"/>
                <w:color w:val="auto"/>
              </w:rPr>
            </w:pPr>
            <w:r>
              <w:rPr>
                <w:rFonts w:ascii="Arial" w:cs="Arial" w:eastAsia="Arial" w:hAnsi="Arial"/>
                <w:sz w:val="18"/>
                <w:szCs w:val="18"/>
                <w:color w:val="auto"/>
              </w:rPr>
              <w:t>/s/ Matthew E. Massengill</w:t>
            </w:r>
          </w:p>
        </w:tc>
        <w:tc>
          <w:tcPr>
            <w:tcW w:w="100" w:type="dxa"/>
            <w:vAlign w:val="bottom"/>
          </w:tcPr>
          <w:p>
            <w:pPr>
              <w:spacing w:after="0"/>
              <w:rPr>
                <w:sz w:val="24"/>
                <w:szCs w:val="24"/>
                <w:color w:val="auto"/>
              </w:rPr>
            </w:pPr>
          </w:p>
        </w:tc>
        <w:tc>
          <w:tcPr>
            <w:tcW w:w="58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Chairman of the Board</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Matthew E. Massengill</w:t>
            </w: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260" w:type="dxa"/>
            <w:vAlign w:val="bottom"/>
          </w:tcPr>
          <w:p>
            <w:pPr>
              <w:ind w:left="20"/>
              <w:spacing w:after="0"/>
              <w:rPr>
                <w:sz w:val="20"/>
                <w:szCs w:val="20"/>
                <w:color w:val="auto"/>
              </w:rPr>
            </w:pPr>
            <w:r>
              <w:rPr>
                <w:rFonts w:ascii="Arial" w:cs="Arial" w:eastAsia="Arial" w:hAnsi="Arial"/>
                <w:sz w:val="18"/>
                <w:szCs w:val="18"/>
                <w:color w:val="auto"/>
              </w:rPr>
              <w:t>/s/ Kimberly E. Alexy</w:t>
            </w:r>
          </w:p>
        </w:tc>
        <w:tc>
          <w:tcPr>
            <w:tcW w:w="100" w:type="dxa"/>
            <w:vAlign w:val="bottom"/>
          </w:tcPr>
          <w:p>
            <w:pPr>
              <w:spacing w:after="0"/>
              <w:rPr>
                <w:sz w:val="24"/>
                <w:szCs w:val="24"/>
                <w:color w:val="auto"/>
              </w:rPr>
            </w:pPr>
          </w:p>
        </w:tc>
        <w:tc>
          <w:tcPr>
            <w:tcW w:w="58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Kimberly E. Alexy</w:t>
            </w: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260" w:type="dxa"/>
            <w:vAlign w:val="bottom"/>
          </w:tcPr>
          <w:p>
            <w:pPr>
              <w:ind w:left="20"/>
              <w:spacing w:after="0"/>
              <w:rPr>
                <w:sz w:val="20"/>
                <w:szCs w:val="20"/>
                <w:color w:val="auto"/>
              </w:rPr>
            </w:pPr>
            <w:r>
              <w:rPr>
                <w:rFonts w:ascii="Arial" w:cs="Arial" w:eastAsia="Arial" w:hAnsi="Arial"/>
                <w:sz w:val="18"/>
                <w:szCs w:val="18"/>
                <w:color w:val="auto"/>
              </w:rPr>
              <w:t>/s/ Martin I. Cole</w:t>
            </w:r>
          </w:p>
        </w:tc>
        <w:tc>
          <w:tcPr>
            <w:tcW w:w="100" w:type="dxa"/>
            <w:vAlign w:val="bottom"/>
          </w:tcPr>
          <w:p>
            <w:pPr>
              <w:spacing w:after="0"/>
              <w:rPr>
                <w:sz w:val="24"/>
                <w:szCs w:val="24"/>
                <w:color w:val="auto"/>
              </w:rPr>
            </w:pPr>
          </w:p>
        </w:tc>
        <w:tc>
          <w:tcPr>
            <w:tcW w:w="58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Martin I. Cole</w:t>
            </w: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260" w:type="dxa"/>
            <w:vAlign w:val="bottom"/>
          </w:tcPr>
          <w:p>
            <w:pPr>
              <w:ind w:left="20"/>
              <w:spacing w:after="0"/>
              <w:rPr>
                <w:sz w:val="20"/>
                <w:szCs w:val="20"/>
                <w:color w:val="auto"/>
              </w:rPr>
            </w:pPr>
            <w:r>
              <w:rPr>
                <w:rFonts w:ascii="Arial" w:cs="Arial" w:eastAsia="Arial" w:hAnsi="Arial"/>
                <w:sz w:val="18"/>
                <w:szCs w:val="18"/>
                <w:color w:val="auto"/>
              </w:rPr>
              <w:t>/s/ Kathleen A. Cote</w:t>
            </w:r>
          </w:p>
        </w:tc>
        <w:tc>
          <w:tcPr>
            <w:tcW w:w="100" w:type="dxa"/>
            <w:vAlign w:val="bottom"/>
          </w:tcPr>
          <w:p>
            <w:pPr>
              <w:spacing w:after="0"/>
              <w:rPr>
                <w:sz w:val="24"/>
                <w:szCs w:val="24"/>
                <w:color w:val="auto"/>
              </w:rPr>
            </w:pPr>
          </w:p>
        </w:tc>
        <w:tc>
          <w:tcPr>
            <w:tcW w:w="58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60" w:type="dxa"/>
            <w:vAlign w:val="bottom"/>
          </w:tcPr>
          <w:p>
            <w:pPr>
              <w:ind w:left="20"/>
              <w:spacing w:after="0"/>
              <w:rPr>
                <w:sz w:val="20"/>
                <w:szCs w:val="20"/>
                <w:color w:val="auto"/>
              </w:rPr>
            </w:pPr>
            <w:r>
              <w:rPr>
                <w:rFonts w:ascii="Arial" w:cs="Arial" w:eastAsia="Arial" w:hAnsi="Arial"/>
                <w:sz w:val="18"/>
                <w:szCs w:val="18"/>
                <w:color w:val="auto"/>
              </w:rPr>
              <w:t>Kathleen A. Cote</w:t>
            </w: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9"/>
                <w:szCs w:val="19"/>
                <w:color w:val="auto"/>
              </w:rPr>
              <w:t>T</w:t>
            </w:r>
            <w:r>
              <w:rPr>
                <w:rFonts w:ascii="Arial" w:cs="Arial" w:eastAsia="Arial" w:hAnsi="Arial"/>
                <w:sz w:val="18"/>
                <w:szCs w:val="18"/>
                <w:color w:val="auto"/>
              </w:rPr>
              <w:t>un</w:t>
            </w:r>
            <w:r>
              <w:rPr>
                <w:rFonts w:ascii="Arial" w:cs="Arial" w:eastAsia="Arial" w:hAnsi="Arial"/>
                <w:sz w:val="18"/>
                <w:szCs w:val="18"/>
                <w:color w:val="auto"/>
              </w:rPr>
              <w:t>ҫ</w:t>
            </w:r>
            <w:r>
              <w:rPr>
                <w:rFonts w:ascii="Arial" w:cs="Arial" w:eastAsia="Arial" w:hAnsi="Arial"/>
                <w:sz w:val="18"/>
                <w:szCs w:val="18"/>
                <w:color w:val="auto"/>
              </w:rPr>
              <w:t xml:space="preserve"> Doluca</w:t>
            </w:r>
          </w:p>
        </w:tc>
        <w:tc>
          <w:tcPr>
            <w:tcW w:w="100" w:type="dxa"/>
            <w:vAlign w:val="bottom"/>
          </w:tcPr>
          <w:p>
            <w:pPr>
              <w:spacing w:after="0"/>
              <w:rPr>
                <w:sz w:val="24"/>
                <w:szCs w:val="24"/>
                <w:color w:val="auto"/>
              </w:rPr>
            </w:pPr>
          </w:p>
        </w:tc>
        <w:tc>
          <w:tcPr>
            <w:tcW w:w="58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276"/>
        </w:trPr>
        <w:tc>
          <w:tcPr>
            <w:tcW w:w="3260" w:type="dxa"/>
            <w:vAlign w:val="bottom"/>
          </w:tcPr>
          <w:p>
            <w:pPr>
              <w:ind w:left="20"/>
              <w:spacing w:after="0"/>
              <w:rPr>
                <w:sz w:val="20"/>
                <w:szCs w:val="20"/>
                <w:color w:val="auto"/>
              </w:rPr>
            </w:pPr>
            <w:r>
              <w:rPr>
                <w:rFonts w:ascii="Arial" w:cs="Arial" w:eastAsia="Arial" w:hAnsi="Arial"/>
                <w:sz w:val="18"/>
                <w:szCs w:val="18"/>
                <w:color w:val="auto"/>
              </w:rPr>
              <w:t>Tun</w:t>
            </w:r>
            <w:r>
              <w:rPr>
                <w:rFonts w:ascii="Arial" w:cs="Arial" w:eastAsia="Arial" w:hAnsi="Arial"/>
                <w:sz w:val="18"/>
                <w:szCs w:val="18"/>
                <w:color w:val="auto"/>
              </w:rPr>
              <w:t>ҫ</w:t>
            </w:r>
            <w:r>
              <w:rPr>
                <w:rFonts w:ascii="Arial" w:cs="Arial" w:eastAsia="Arial" w:hAnsi="Arial"/>
                <w:sz w:val="18"/>
                <w:szCs w:val="18"/>
                <w:color w:val="auto"/>
              </w:rPr>
              <w:t xml:space="preserve"> Doluca</w:t>
            </w:r>
          </w:p>
        </w:tc>
        <w:tc>
          <w:tcPr>
            <w:tcW w:w="1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260" w:type="dxa"/>
            <w:vAlign w:val="bottom"/>
          </w:tcPr>
          <w:p>
            <w:pPr>
              <w:ind w:left="20"/>
              <w:spacing w:after="0"/>
              <w:rPr>
                <w:sz w:val="20"/>
                <w:szCs w:val="20"/>
                <w:color w:val="auto"/>
              </w:rPr>
            </w:pPr>
            <w:r>
              <w:rPr>
                <w:rFonts w:ascii="Arial" w:cs="Arial" w:eastAsia="Arial" w:hAnsi="Arial"/>
                <w:sz w:val="18"/>
                <w:szCs w:val="18"/>
                <w:color w:val="auto"/>
              </w:rPr>
              <w:t>/s/ Paula A. Price</w:t>
            </w:r>
          </w:p>
        </w:tc>
        <w:tc>
          <w:tcPr>
            <w:tcW w:w="100" w:type="dxa"/>
            <w:vAlign w:val="bottom"/>
          </w:tcPr>
          <w:p>
            <w:pPr>
              <w:spacing w:after="0"/>
              <w:rPr>
                <w:sz w:val="24"/>
                <w:szCs w:val="24"/>
                <w:color w:val="auto"/>
              </w:rPr>
            </w:pPr>
          </w:p>
        </w:tc>
        <w:tc>
          <w:tcPr>
            <w:tcW w:w="58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60" w:type="dxa"/>
            <w:vAlign w:val="bottom"/>
          </w:tcPr>
          <w:p>
            <w:pPr>
              <w:ind w:left="20"/>
              <w:spacing w:after="0"/>
              <w:rPr>
                <w:sz w:val="20"/>
                <w:szCs w:val="20"/>
                <w:color w:val="auto"/>
              </w:rPr>
            </w:pPr>
            <w:r>
              <w:rPr>
                <w:rFonts w:ascii="Arial" w:cs="Arial" w:eastAsia="Arial" w:hAnsi="Arial"/>
                <w:sz w:val="18"/>
                <w:szCs w:val="18"/>
                <w:color w:val="auto"/>
              </w:rPr>
              <w:t>Paula A. Price</w:t>
            </w: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60" w:type="dxa"/>
            <w:vAlign w:val="bottom"/>
          </w:tcPr>
          <w:p>
            <w:pPr>
              <w:ind w:left="20"/>
              <w:spacing w:after="0"/>
              <w:rPr>
                <w:sz w:val="20"/>
                <w:szCs w:val="20"/>
                <w:color w:val="auto"/>
              </w:rPr>
            </w:pPr>
            <w:r>
              <w:rPr>
                <w:rFonts w:ascii="Arial" w:cs="Arial" w:eastAsia="Arial" w:hAnsi="Arial"/>
                <w:sz w:val="18"/>
                <w:szCs w:val="18"/>
                <w:color w:val="auto"/>
              </w:rPr>
              <w:t>/s/ Stephanie A. Streeter</w:t>
            </w:r>
          </w:p>
        </w:tc>
        <w:tc>
          <w:tcPr>
            <w:tcW w:w="100" w:type="dxa"/>
            <w:vAlign w:val="bottom"/>
          </w:tcPr>
          <w:p>
            <w:pPr>
              <w:spacing w:after="0"/>
              <w:rPr>
                <w:sz w:val="24"/>
                <w:szCs w:val="24"/>
                <w:color w:val="auto"/>
              </w:rPr>
            </w:pPr>
          </w:p>
        </w:tc>
        <w:tc>
          <w:tcPr>
            <w:tcW w:w="58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August 27, 2020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60" w:type="dxa"/>
            <w:vAlign w:val="bottom"/>
          </w:tcPr>
          <w:p>
            <w:pPr>
              <w:ind w:left="20"/>
              <w:spacing w:after="0"/>
              <w:rPr>
                <w:sz w:val="20"/>
                <w:szCs w:val="20"/>
                <w:color w:val="auto"/>
              </w:rPr>
            </w:pPr>
            <w:r>
              <w:rPr>
                <w:rFonts w:ascii="Arial" w:cs="Arial" w:eastAsia="Arial" w:hAnsi="Arial"/>
                <w:sz w:val="18"/>
                <w:szCs w:val="18"/>
                <w:color w:val="auto"/>
              </w:rPr>
              <w:t>Stephanie A. Streeter</w:t>
            </w: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220"/>
          </w:cols>
          <w:pgMar w:left="320" w:top="125" w:right="35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April 1,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Mr. Michael Cordano</w:t>
      </w:r>
    </w:p>
    <w:p>
      <w:pPr>
        <w:spacing w:after="0" w:line="234" w:lineRule="auto"/>
        <w:rPr>
          <w:sz w:val="20"/>
          <w:szCs w:val="20"/>
          <w:color w:val="auto"/>
        </w:rPr>
      </w:pPr>
      <w:r>
        <w:rPr>
          <w:rFonts w:ascii="Arial" w:cs="Arial" w:eastAsia="Arial" w:hAnsi="Arial"/>
          <w:sz w:val="18"/>
          <w:szCs w:val="18"/>
          <w:color w:val="auto"/>
        </w:rPr>
        <w:t>5601 Great Oaks Parkway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Retention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Mike:</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This Retention Agreement (“Agreement”) outlines the retention amounts that will become payable to you for your continued employment with Western Digital Corporation (the “Company”) into fiscal 2021. During the term of your continued employment, you will serve as President, Western Digital Technologies, Inc., and as an advisor to the CEO, with responsibility for supporting him in the operation of the Company’s business. You will continue to receive your current compensation and remain eligible for your current benefits except that you will not receive a long-term incentive award for fiscal 2021.</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you remain continuously employed with the Company through July 15, 2020 (the “First Retention Date”), the Company will pay you a cash lump-sum payment in the amount of $75,000 within 30 days following such date. If you remain continuously employed with the Company through September 15, 2020 (the “Second Retention Date”), the Company will pay you an additional cash lump-sum payment in the amount of $150,000 within 30 days following such date. Any retention amounts that you receive under this Agreement will be subject to applicable tax withholdings. If your employment with the Company terminates for any reason prior to the First Retention Date or the Second Retention Date, as applicable, you will forfeit the retention amount that would otherwise become payable for continued service through such date.</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During the term of your employment with the Company, you will remain a “Tier I Executive” as defined in, and remain eligible for benefits subject to the terms of, the Western Digital Corporation Executive Severance Plan and the Western Digital Corporation Amended and Restated Change of Control Severance Plan. This Agreement does not change your status as an at-will employee whose employment with the Company may be terminated at any time, with or without advance notice, for any reason (or for no reason) by you or by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/s/Lori Sundberg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287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1">
                      <a:extLst>
                        <a:ext uri="{28A0092B-C50C-407E-A947-70E740481C1C}"/>
                      </a:extLst>
                    </a:blip>
                    <a:srcRect/>
                    <a:stretch>
                      <a:fillRect/>
                    </a:stretch>
                  </pic:blipFill>
                  <pic:spPr bwMode="auto">
                    <a:xfrm>
                      <a:off x="0" y="0"/>
                      <a:ext cx="432879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Lori Sundberg</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EVP &amp; CHRO</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Western Digital Corporation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20"/>
                <w:szCs w:val="20"/>
                <w:color w:val="auto"/>
              </w:rPr>
            </w:pPr>
            <w:r>
              <w:rPr>
                <w:rFonts w:ascii="Arial" w:cs="Arial" w:eastAsia="Arial" w:hAnsi="Arial"/>
                <w:sz w:val="18"/>
                <w:szCs w:val="18"/>
                <w:b w:val="1"/>
                <w:bCs w:val="1"/>
                <w:i w:val="1"/>
                <w:iCs w:val="1"/>
                <w:color w:val="auto"/>
              </w:rPr>
              <w:t>Accepted and Agreed:</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189"/>
        </w:trPr>
        <w:tc>
          <w:tcPr>
            <w:tcW w:w="6840" w:type="dxa"/>
            <w:vAlign w:val="bottom"/>
            <w:vMerge w:val="restart"/>
          </w:tcPr>
          <w:p>
            <w:pPr>
              <w:ind w:left="20"/>
              <w:spacing w:after="0"/>
              <w:rPr>
                <w:sz w:val="20"/>
                <w:szCs w:val="20"/>
                <w:color w:val="auto"/>
              </w:rPr>
            </w:pPr>
            <w:r>
              <w:rPr>
                <w:rFonts w:ascii="Arial" w:cs="Arial" w:eastAsia="Arial" w:hAnsi="Arial"/>
                <w:sz w:val="18"/>
                <w:szCs w:val="18"/>
                <w:color w:val="auto"/>
              </w:rPr>
              <w:t>/s/Michael Cordano</w:t>
            </w:r>
          </w:p>
        </w:tc>
        <w:tc>
          <w:tcPr>
            <w:tcW w:w="840" w:type="dxa"/>
            <w:vAlign w:val="bottom"/>
          </w:tcPr>
          <w:p>
            <w:pPr>
              <w:spacing w:after="0"/>
              <w:rPr>
                <w:sz w:val="16"/>
                <w:szCs w:val="16"/>
                <w:color w:val="auto"/>
              </w:rPr>
            </w:pPr>
          </w:p>
        </w:tc>
        <w:tc>
          <w:tcPr>
            <w:tcW w:w="56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8"/>
                <w:szCs w:val="18"/>
                <w:color w:val="auto"/>
                <w:w w:val="96"/>
              </w:rPr>
              <w:t>April 1,</w:t>
            </w:r>
          </w:p>
        </w:tc>
        <w:tc>
          <w:tcPr>
            <w:tcW w:w="0" w:type="dxa"/>
            <w:vAlign w:val="bottom"/>
          </w:tcPr>
          <w:p>
            <w:pPr>
              <w:spacing w:after="0"/>
              <w:rPr>
                <w:sz w:val="1"/>
                <w:szCs w:val="1"/>
                <w:color w:val="auto"/>
              </w:rPr>
            </w:pPr>
          </w:p>
        </w:tc>
      </w:tr>
      <w:tr>
        <w:trPr>
          <w:trHeight w:val="156"/>
        </w:trPr>
        <w:tc>
          <w:tcPr>
            <w:tcW w:w="684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color w:val="auto"/>
              </w:rPr>
              <w:t>Michael Cordano</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10.13.10</w:t>
      </w:r>
    </w:p>
    <w:p>
      <w:pPr>
        <w:spacing w:after="0" w:line="23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AMENDMENT NO. 10</w:t>
      </w:r>
    </w:p>
    <w:p>
      <w:pPr>
        <w:spacing w:after="0" w:line="200" w:lineRule="exact"/>
        <w:rPr>
          <w:sz w:val="20"/>
          <w:szCs w:val="20"/>
          <w:color w:val="auto"/>
        </w:rPr>
      </w:pPr>
    </w:p>
    <w:p>
      <w:pPr>
        <w:spacing w:after="0" w:line="286"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AMENDMENT NO. 10, dated as of July 2, 2020 (this “</w:t>
      </w:r>
      <w:r>
        <w:rPr>
          <w:rFonts w:ascii="Arial" w:cs="Arial" w:eastAsia="Arial" w:hAnsi="Arial"/>
          <w:sz w:val="17"/>
          <w:szCs w:val="17"/>
          <w:u w:val="single" w:color="auto"/>
          <w:color w:val="auto"/>
        </w:rPr>
        <w:t>Amendment</w:t>
      </w:r>
      <w:r>
        <w:rPr>
          <w:rFonts w:ascii="Arial" w:cs="Arial" w:eastAsia="Arial" w:hAnsi="Arial"/>
          <w:sz w:val="17"/>
          <w:szCs w:val="17"/>
          <w:color w:val="auto"/>
        </w:rPr>
        <w:t>”), to the Loan Agreement dated as of April 29, 2016, as amended by Amendment No. 1, dated as of August 17, 2016, Amendment No. 2, dated as of September 22, 2016, Amendment No. 3, dated as of March 14, 2017, Amendment No. 4, dated as of March 23, 2017, Amendment No. 5, dated as of November 8, 2017, Amendment No. 6, dated as of November 29, 2017, Amendment No. 7, dated as of February 27, 2018, Amendment No. 8, dated as of May 15, 2018 and Amendment No. 9, dated as of April 29, 2019 (as further amended, supplemented, amended and restated or otherwise modified from time to time, including pursuant to this Amendment, the “</w:t>
      </w:r>
      <w:r>
        <w:rPr>
          <w:rFonts w:ascii="Arial" w:cs="Arial" w:eastAsia="Arial" w:hAnsi="Arial"/>
          <w:sz w:val="17"/>
          <w:szCs w:val="17"/>
          <w:u w:val="single" w:color="auto"/>
          <w:color w:val="auto"/>
        </w:rPr>
        <w:t>Loan Agreement</w:t>
      </w:r>
      <w:r>
        <w:rPr>
          <w:rFonts w:ascii="Arial" w:cs="Arial" w:eastAsia="Arial" w:hAnsi="Arial"/>
          <w:sz w:val="17"/>
          <w:szCs w:val="17"/>
          <w:color w:val="auto"/>
        </w:rPr>
        <w:t>”) among WESTERN DIGITAL CORPORATION,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each lender from time to time party thereto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Collateral Agent and the other parties thereto. Capitalized terms used and not otherwise defined herein shall have the meanings assigned to them in the Loan Agreement.</w:t>
      </w:r>
    </w:p>
    <w:p>
      <w:pPr>
        <w:spacing w:after="0" w:line="211"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WHEREAS, pursuant to Section 10.11 of the Loan Agreement, the Administrative Agent may, with the consent of the Borrower only, amend, modify or supplement the Loan Agreement to cure any ambiguity, omission, defect or inconsistency;</w:t>
      </w:r>
    </w:p>
    <w:p>
      <w:pPr>
        <w:spacing w:after="0" w:line="198"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WHEREAS, the Administrative Agent and the Borrower desire to amend the Loan Agreement in accordance with Section 10.11 of the Loan Agreement as further described herein; and</w:t>
      </w:r>
    </w:p>
    <w:p>
      <w:pPr>
        <w:spacing w:after="0" w:line="198" w:lineRule="exact"/>
        <w:rPr>
          <w:sz w:val="20"/>
          <w:szCs w:val="20"/>
          <w:color w:val="auto"/>
        </w:rPr>
      </w:pPr>
    </w:p>
    <w:p>
      <w:pPr>
        <w:ind w:right="220" w:firstLine="648"/>
        <w:spacing w:after="0" w:line="248" w:lineRule="auto"/>
        <w:rPr>
          <w:sz w:val="20"/>
          <w:szCs w:val="20"/>
          <w:color w:val="auto"/>
        </w:rPr>
      </w:pPr>
      <w:r>
        <w:rPr>
          <w:rFonts w:ascii="Arial" w:cs="Arial" w:eastAsia="Arial" w:hAnsi="Arial"/>
          <w:sz w:val="18"/>
          <w:szCs w:val="18"/>
          <w:color w:val="auto"/>
        </w:rPr>
        <w:t>WHEREAS, in accordance with Section 10.11 of the Loan Agreement, the Lenders have received at least five (5) Business Days’ prior written notice of this Amendment and the Administrative Agent has not received a written notice from the Required Lenders stating that the Required Lenders object to this Amendment;</w:t>
      </w:r>
    </w:p>
    <w:p>
      <w:pPr>
        <w:spacing w:after="0" w:line="209" w:lineRule="exact"/>
        <w:rPr>
          <w:sz w:val="20"/>
          <w:szCs w:val="20"/>
          <w:color w:val="auto"/>
        </w:rPr>
      </w:pPr>
    </w:p>
    <w:p>
      <w:pPr>
        <w:ind w:right="40" w:firstLine="648"/>
        <w:spacing w:after="0" w:line="324" w:lineRule="auto"/>
        <w:rPr>
          <w:sz w:val="20"/>
          <w:szCs w:val="20"/>
          <w:color w:val="auto"/>
        </w:rPr>
      </w:pPr>
      <w:r>
        <w:rPr>
          <w:rFonts w:ascii="Arial" w:cs="Arial" w:eastAsia="Arial" w:hAnsi="Arial"/>
          <w:sz w:val="16"/>
          <w:szCs w:val="16"/>
          <w:color w:val="auto"/>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spacing w:after="0" w:line="14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Amendment No. 10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Amendment No. 10 Effective Date (as defined below),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is hereby amended as follows:</w:t>
      </w:r>
    </w:p>
    <w:p>
      <w:pPr>
        <w:spacing w:after="0" w:line="193" w:lineRule="exact"/>
        <w:rPr>
          <w:sz w:val="20"/>
          <w:szCs w:val="20"/>
          <w:color w:val="auto"/>
        </w:rPr>
      </w:pPr>
    </w:p>
    <w:p>
      <w:pPr>
        <w:ind w:right="260" w:firstLine="644"/>
        <w:spacing w:after="0" w:line="261" w:lineRule="auto"/>
        <w:tabs>
          <w:tab w:leader="none" w:pos="12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7.1(j)(iv) of the Loan Agreement is hereby amended by inserting “(other than for a solvent liquidation of any Foreign Subsidiary permitted by Section 6.16(f))” immediately after “or any substantial part of its Property”.</w:t>
      </w:r>
    </w:p>
    <w:p>
      <w:pPr>
        <w:spacing w:after="0" w:line="197" w:lineRule="exact"/>
        <w:rPr>
          <w:rFonts w:ascii="Arial" w:cs="Arial" w:eastAsia="Arial" w:hAnsi="Arial"/>
          <w:sz w:val="18"/>
          <w:szCs w:val="18"/>
          <w:color w:val="auto"/>
        </w:rPr>
      </w:pPr>
    </w:p>
    <w:p>
      <w:pPr>
        <w:ind w:right="480" w:firstLine="644"/>
        <w:spacing w:after="0" w:line="261" w:lineRule="auto"/>
        <w:tabs>
          <w:tab w:leader="none" w:pos="12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7.1(k) of the Loan Agreement is hereby amended by inserting “(other than for a solvent liquidation of any Foreign Subsidiary permitted by Section 6.16(f))” immediately after “or any substantial part of any of its Property”.</w:t>
      </w:r>
    </w:p>
    <w:p>
      <w:pPr>
        <w:spacing w:after="0" w:line="194" w:lineRule="exact"/>
        <w:rPr>
          <w:sz w:val="20"/>
          <w:szCs w:val="20"/>
          <w:color w:val="auto"/>
        </w:rPr>
      </w:pPr>
    </w:p>
    <w:p>
      <w:pPr>
        <w:ind w:right="180" w:firstLine="648"/>
        <w:spacing w:after="0" w:line="250"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Condition to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become effective on the date on which the following condition is</w:t>
      </w:r>
      <w:r>
        <w:rPr>
          <w:rFonts w:ascii="Arial" w:cs="Arial" w:eastAsia="Arial" w:hAnsi="Arial"/>
          <w:sz w:val="18"/>
          <w:szCs w:val="18"/>
          <w:b w:val="1"/>
          <w:bCs w:val="1"/>
          <w:color w:val="auto"/>
        </w:rPr>
        <w:t xml:space="preserve"> </w:t>
      </w:r>
      <w:r>
        <w:rPr>
          <w:rFonts w:ascii="Arial" w:cs="Arial" w:eastAsia="Arial" w:hAnsi="Arial"/>
          <w:sz w:val="18"/>
          <w:szCs w:val="18"/>
          <w:color w:val="auto"/>
        </w:rPr>
        <w:t>satisfied (the “</w:t>
      </w:r>
      <w:r>
        <w:rPr>
          <w:rFonts w:ascii="Arial" w:cs="Arial" w:eastAsia="Arial" w:hAnsi="Arial"/>
          <w:sz w:val="18"/>
          <w:szCs w:val="18"/>
          <w:u w:val="single" w:color="auto"/>
          <w:color w:val="auto"/>
        </w:rPr>
        <w:t>Amendment No. 10 Effective Date</w:t>
      </w:r>
      <w:r>
        <w:rPr>
          <w:rFonts w:ascii="Arial" w:cs="Arial" w:eastAsia="Arial" w:hAnsi="Arial"/>
          <w:sz w:val="18"/>
          <w:szCs w:val="18"/>
          <w:color w:val="auto"/>
        </w:rPr>
        <w:t>”): the Administrative Agent shall have received this Amendment, duly executed by the Borrower and the Administrative Agent.</w:t>
      </w:r>
    </w:p>
    <w:p>
      <w:pPr>
        <w:spacing w:after="0" w:line="20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u w:val="single" w:color="auto"/>
          <w:color w:val="auto"/>
        </w:rPr>
        <w:t>Entire Agreement.</w:t>
      </w:r>
    </w:p>
    <w:p>
      <w:pPr>
        <w:spacing w:after="0" w:line="243" w:lineRule="exact"/>
        <w:rPr>
          <w:sz w:val="20"/>
          <w:szCs w:val="20"/>
          <w:color w:val="auto"/>
        </w:rPr>
      </w:pPr>
    </w:p>
    <w:p>
      <w:pPr>
        <w:ind w:right="200" w:firstLine="648"/>
        <w:spacing w:after="0" w:line="294" w:lineRule="auto"/>
        <w:rPr>
          <w:sz w:val="20"/>
          <w:szCs w:val="20"/>
          <w:color w:val="auto"/>
        </w:rPr>
      </w:pPr>
      <w:r>
        <w:rPr>
          <w:rFonts w:ascii="Arial" w:cs="Arial" w:eastAsia="Arial" w:hAnsi="Arial"/>
          <w:sz w:val="16"/>
          <w:szCs w:val="16"/>
          <w:color w:val="auto"/>
        </w:rPr>
        <w:t>This Amendment, the Loan Agreement and the other Loan Documents constitute the entire agreement among the parties hereto with respect to the subject matter hereof and thereof and supersede all other prior agreements and understandings, both written and verbal, among the parties hereto with respect to the subject matter hereof. Except as expressly set forth herein, this Amendment and the Loan Agreement</w:t>
      </w:r>
    </w:p>
    <w:p>
      <w:pPr>
        <w:sectPr>
          <w:pgSz w:w="11900" w:h="16838" w:orient="portrait"/>
          <w:cols w:equalWidth="0" w:num="1">
            <w:col w:w="10580"/>
          </w:cols>
          <w:pgMar w:left="980" w:top="1417"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shall not by implication or otherwise limit, impair, constitute a waiver of, or otherwise affect the rights and remedies of any party under, the Loan Agreement, nor alter, modify, amend or in any way affect any of the terms, conditions, obligations, covenants or agreements contained in the Loan Agreement, all of which are ratified and affirmed in all respects and shall continue in full force and effect. This Amendment shall not constitute a novation of the Loan Agreement or any of the Loan Documents. It is understood and agreed that each reference in each Loan Document to the “Loan Agreement,” whether direct or indirect, shall hereafter be deemed to be a reference to the Loan Agreement as amended by this Amendment and that this Amendment is a “Loan Document”.</w:t>
      </w:r>
    </w:p>
    <w:p>
      <w:pPr>
        <w:spacing w:after="0" w:line="21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u w:val="single" w:color="auto"/>
          <w:color w:val="auto"/>
        </w:rPr>
        <w:t>Amendment, Modification and Waiver</w:t>
      </w:r>
      <w:r>
        <w:rPr>
          <w:rFonts w:ascii="Arial" w:cs="Arial" w:eastAsia="Arial" w:hAnsi="Arial"/>
          <w:sz w:val="16"/>
          <w:szCs w:val="16"/>
          <w:color w:val="auto"/>
        </w:rPr>
        <w:t>.</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Amendment may not be amended, modified or waived except pursuant to a writing signed by each of the parties hereto.</w:t>
      </w:r>
    </w:p>
    <w:p>
      <w:pPr>
        <w:spacing w:after="0" w:line="230"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u w:val="single" w:color="auto"/>
          <w:color w:val="auto"/>
        </w:rPr>
        <w:t>Expenses</w:t>
      </w:r>
      <w:r>
        <w:rPr>
          <w:rFonts w:ascii="Arial" w:cs="Arial" w:eastAsia="Arial" w:hAnsi="Arial"/>
          <w:sz w:val="15"/>
          <w:szCs w:val="15"/>
          <w:b w:val="1"/>
          <w:bCs w:val="1"/>
          <w:color w:val="auto"/>
        </w:rPr>
        <w:t>.</w:t>
      </w:r>
    </w:p>
    <w:p>
      <w:pPr>
        <w:spacing w:after="0" w:line="243"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The Borrower agrees to reimburse the Administrative Agent for its reasonable and documented out-of-pocket expenses incurred by them in connection with this Amendment, including the reasonable and documented fees, charges and disbursements of Cahill Gordon &amp; Reindel llp, counsel for the Administrative Agent.</w:t>
      </w:r>
    </w:p>
    <w:p>
      <w:pPr>
        <w:spacing w:after="0" w:line="205"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w:t>
      </w:r>
    </w:p>
    <w:p>
      <w:pPr>
        <w:spacing w:after="0" w:line="243" w:lineRule="exact"/>
        <w:rPr>
          <w:sz w:val="20"/>
          <w:szCs w:val="20"/>
          <w:color w:val="auto"/>
        </w:rPr>
      </w:pPr>
    </w:p>
    <w:p>
      <w:pPr>
        <w:ind w:right="60" w:firstLine="648"/>
        <w:spacing w:after="0" w:line="272" w:lineRule="auto"/>
        <w:rPr>
          <w:sz w:val="20"/>
          <w:szCs w:val="20"/>
          <w:color w:val="auto"/>
        </w:rPr>
      </w:pPr>
      <w:r>
        <w:rPr>
          <w:rFonts w:ascii="Arial" w:cs="Arial" w:eastAsia="Arial" w:hAnsi="Arial"/>
          <w:sz w:val="16"/>
          <w:szCs w:val="16"/>
          <w:color w:val="auto"/>
        </w:rPr>
        <w:t>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transmission or electronic transmission shall be effective as delivery of a manually executed counterpart hereof. The words “execution,” “signed,” “signature,” “delivery,” and words of like import in or relating to this Amendment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6"/>
          <w:szCs w:val="16"/>
          <w:u w:val="single" w:color="auto"/>
          <w:color w:val="auto"/>
        </w:rPr>
        <w:t>Electronic Signatures</w:t>
      </w:r>
      <w:r>
        <w:rPr>
          <w:rFonts w:ascii="Arial" w:cs="Arial" w:eastAsia="Arial" w:hAnsi="Arial"/>
          <w:sz w:val="16"/>
          <w:szCs w:val="16"/>
          <w:color w:val="auto"/>
        </w:rPr>
        <w:t>” means any electronic symbol or process attached to, or associated with, any contract or other record and adopted by a person with the intent to sign, authenticate or accept such contract or record.</w:t>
      </w:r>
    </w:p>
    <w:p>
      <w:pPr>
        <w:spacing w:after="0" w:line="19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u w:val="single" w:color="auto"/>
          <w:color w:val="auto"/>
        </w:rPr>
        <w:t>Governing Law and Waiver of Right to Trial by Jury</w:t>
      </w:r>
      <w:r>
        <w:rPr>
          <w:rFonts w:ascii="Arial" w:cs="Arial" w:eastAsia="Arial" w:hAnsi="Arial"/>
          <w:sz w:val="16"/>
          <w:szCs w:val="16"/>
          <w:b w:val="1"/>
          <w:bCs w:val="1"/>
          <w:color w:val="auto"/>
        </w:rPr>
        <w:t>.</w:t>
      </w:r>
    </w:p>
    <w:p>
      <w:pPr>
        <w:spacing w:after="0" w:line="239"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b w:val="1"/>
          <w:bCs w:val="1"/>
          <w:color w:val="auto"/>
        </w:rPr>
        <w:t>THIS AMENDMENT AND ANY CLAIM, CONTROVERSY OR DISPUTE ARISING UNDER OR RELATED TO THIS AMENDMENT AND THE RIGHTS AND OBLIGATIONS OF THE PARTIES UNDER THIS AMENDMENT SHALL BE GOVERNED BY, AND CONSTRUED AND INTERPRETED IN ACCORDANCE WITH, THE LAW OF THE STATE OF NEW YORK. SECTION 10.22 OF THE LOAN AGREEMENT IS HEREBY INCORPORATED BY REFERENCE INTO THIS AMENDMENT AND SHALL APPLY HERETO.</w:t>
      </w:r>
    </w:p>
    <w:p>
      <w:pPr>
        <w:spacing w:after="0" w:line="21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u w:val="single" w:color="auto"/>
          <w:color w:val="auto"/>
        </w:rPr>
        <w:t>Headings</w:t>
      </w:r>
      <w:r>
        <w:rPr>
          <w:rFonts w:ascii="Arial" w:cs="Arial" w:eastAsia="Arial" w:hAnsi="Arial"/>
          <w:sz w:val="15"/>
          <w:szCs w:val="15"/>
          <w:b w:val="1"/>
          <w:bCs w:val="1"/>
          <w:color w:val="auto"/>
        </w:rPr>
        <w:t>.</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headings of this Amendment are for purposes of reference only and shall not limit or otherwise affect the meaning hereof.</w:t>
      </w:r>
    </w:p>
    <w:p>
      <w:pPr>
        <w:spacing w:after="0" w:line="24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u w:val="single" w:color="auto"/>
          <w:color w:val="auto"/>
        </w:rPr>
        <w:t>Effect of Amendment</w:t>
      </w:r>
      <w:r>
        <w:rPr>
          <w:rFonts w:ascii="Arial" w:cs="Arial" w:eastAsia="Arial" w:hAnsi="Arial"/>
          <w:sz w:val="16"/>
          <w:szCs w:val="16"/>
          <w:b w:val="1"/>
          <w:bCs w:val="1"/>
          <w:color w:val="auto"/>
        </w:rPr>
        <w:t>.</w:t>
      </w:r>
    </w:p>
    <w:p>
      <w:pPr>
        <w:spacing w:after="0" w:line="243"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Except as expressly set forth herein, this Amendment shall not by implication or otherwise limit, impair, constitute a waiver of or otherwise affect the rights and remedies of the Lenders or the Administrative Agent under the Loan Agreement or any other Loan Document, and shall not alter, modify, amend or in any way affect any of the terms, conditions, obligations, covenants or agreements contained in</w:t>
      </w:r>
    </w:p>
    <w:p>
      <w:pPr>
        <w:sectPr>
          <w:pgSz w:w="11900" w:h="16838" w:orient="portrait"/>
          <w:cols w:equalWidth="0" w:num="1">
            <w:col w:w="10540"/>
          </w:cols>
          <w:pgMar w:left="980" w:top="1421" w:right="379" w:bottom="1440" w:gutter="0" w:footer="0" w:header="0"/>
        </w:sectPr>
      </w:pPr>
    </w:p>
    <w:bookmarkStart w:id="120" w:name="page121"/>
    <w:bookmarkEnd w:id="120"/>
    <w:p>
      <w:pPr>
        <w:spacing w:after="0" w:line="261" w:lineRule="auto"/>
        <w:rPr>
          <w:sz w:val="20"/>
          <w:szCs w:val="20"/>
          <w:color w:val="auto"/>
        </w:rPr>
      </w:pPr>
      <w:r>
        <w:rPr>
          <w:rFonts w:ascii="Arial" w:cs="Arial" w:eastAsia="Arial" w:hAnsi="Arial"/>
          <w:sz w:val="18"/>
          <w:szCs w:val="18"/>
          <w:color w:val="auto"/>
        </w:rPr>
        <w:t>the Loan Agreement or any other provision of the Loan Agreement or any other Loan Document, all of which are ratified and affirmed in all respects and shall continue in full force and effect.</w:t>
      </w:r>
    </w:p>
    <w:p>
      <w:pPr>
        <w:spacing w:after="0" w:line="200" w:lineRule="exact"/>
        <w:rPr>
          <w:sz w:val="20"/>
          <w:szCs w:val="20"/>
          <w:color w:val="auto"/>
        </w:rPr>
      </w:pPr>
    </w:p>
    <w:p>
      <w:pPr>
        <w:spacing w:after="0" w:line="2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the parties hereto have caused this Amendment to be duly executed as of the date first above written.</w:t>
      </w:r>
    </w:p>
    <w:p>
      <w:pPr>
        <w:spacing w:after="0" w:line="200" w:lineRule="exact"/>
        <w:rPr>
          <w:sz w:val="20"/>
          <w:szCs w:val="20"/>
          <w:color w:val="auto"/>
        </w:rPr>
      </w:pPr>
    </w:p>
    <w:p>
      <w:pPr>
        <w:spacing w:after="0" w:line="30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WESTERN DIGITAL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60"/>
        <w:spacing w:after="0"/>
        <w:tabs>
          <w:tab w:leader="none" w:pos="1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31750</wp:posOffset>
            </wp:positionV>
            <wp:extent cx="43376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2">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Name: Robert K. Eulau</w:t>
      </w:r>
    </w:p>
    <w:p>
      <w:pPr>
        <w:spacing w:after="0" w:line="6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120"/>
          </w:cols>
          <w:pgMar w:left="980" w:top="1421" w:right="79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1799"/>
        <w:spacing w:after="0"/>
        <w:rPr>
          <w:sz w:val="20"/>
          <w:szCs w:val="20"/>
          <w:color w:val="auto"/>
        </w:rPr>
      </w:pPr>
      <w:r>
        <w:rPr>
          <w:rFonts w:ascii="Arial" w:cs="Arial" w:eastAsia="Arial" w:hAnsi="Arial"/>
          <w:sz w:val="18"/>
          <w:szCs w:val="18"/>
          <w:color w:val="auto"/>
        </w:rPr>
        <w:t>JPMORGAN CHASE BANK, N.A., as</w:t>
      </w:r>
    </w:p>
    <w:p>
      <w:pPr>
        <w:spacing w:after="0" w:line="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00"/>
        <w:spacing w:after="0"/>
        <w:tabs>
          <w:tab w:leader="none" w:pos="1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31750</wp:posOffset>
            </wp:positionV>
            <wp:extent cx="43376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4337685" cy="8890"/>
                    </a:xfrm>
                    <a:prstGeom prst="rect">
                      <a:avLst/>
                    </a:prstGeom>
                    <a:noFill/>
                  </pic:spPr>
                </pic:pic>
              </a:graphicData>
            </a:graphic>
          </wp:anchor>
        </w:drawing>
      </w:r>
    </w:p>
    <w:p>
      <w:pPr>
        <w:spacing w:after="0" w:line="5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Name: Timothy Lee</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9019"/>
          </w:cols>
          <w:pgMar w:left="1440" w:top="1440"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7660" w:type="dxa"/>
            <w:vAlign w:val="bottom"/>
          </w:tcPr>
          <w:p>
            <w:pPr>
              <w:ind w:left="480"/>
              <w:spacing w:after="0"/>
              <w:rPr>
                <w:sz w:val="20"/>
                <w:szCs w:val="20"/>
                <w:color w:val="auto"/>
              </w:rPr>
            </w:pPr>
            <w:r>
              <w:rPr>
                <w:rFonts w:ascii="Arial" w:cs="Arial" w:eastAsia="Arial" w:hAnsi="Arial"/>
                <w:sz w:val="18"/>
                <w:szCs w:val="18"/>
                <w:b w:val="1"/>
                <w:bCs w:val="1"/>
                <w:color w:val="auto"/>
              </w:rPr>
              <w:t>WESTERN DIGITAL CORPORATION</w:t>
            </w:r>
          </w:p>
        </w:tc>
      </w:tr>
      <w:tr>
        <w:trPr>
          <w:trHeight w:val="234"/>
        </w:trPr>
        <w:tc>
          <w:tcPr>
            <w:tcW w:w="3580" w:type="dxa"/>
            <w:vAlign w:val="bottom"/>
          </w:tcPr>
          <w:p>
            <w:pPr>
              <w:spacing w:after="0"/>
              <w:rPr>
                <w:sz w:val="20"/>
                <w:szCs w:val="20"/>
                <w:color w:val="auto"/>
              </w:rPr>
            </w:pPr>
          </w:p>
        </w:tc>
        <w:tc>
          <w:tcPr>
            <w:tcW w:w="7660" w:type="dxa"/>
            <w:vAlign w:val="bottom"/>
          </w:tcPr>
          <w:p>
            <w:pPr>
              <w:ind w:left="560"/>
              <w:spacing w:after="0"/>
              <w:rPr>
                <w:sz w:val="20"/>
                <w:szCs w:val="20"/>
                <w:color w:val="auto"/>
              </w:rPr>
            </w:pPr>
            <w:r>
              <w:rPr>
                <w:rFonts w:ascii="Arial" w:cs="Arial" w:eastAsia="Arial" w:hAnsi="Arial"/>
                <w:sz w:val="18"/>
                <w:szCs w:val="18"/>
                <w:b w:val="1"/>
                <w:bCs w:val="1"/>
                <w:color w:val="auto"/>
              </w:rPr>
              <w:t>SUBSIDIARIES OF THE COMPANY</w:t>
            </w:r>
          </w:p>
        </w:tc>
      </w:tr>
      <w:tr>
        <w:trPr>
          <w:trHeight w:val="238"/>
        </w:trPr>
        <w:tc>
          <w:tcPr>
            <w:tcW w:w="3580" w:type="dxa"/>
            <w:vAlign w:val="bottom"/>
          </w:tcPr>
          <w:p>
            <w:pPr>
              <w:spacing w:after="0"/>
              <w:rPr>
                <w:sz w:val="20"/>
                <w:szCs w:val="20"/>
                <w:color w:val="auto"/>
              </w:rPr>
            </w:pPr>
          </w:p>
        </w:tc>
        <w:tc>
          <w:tcPr>
            <w:tcW w:w="7660" w:type="dxa"/>
            <w:vAlign w:val="bottom"/>
          </w:tcPr>
          <w:p>
            <w:pPr>
              <w:ind w:left="4300"/>
              <w:spacing w:after="0"/>
              <w:rPr>
                <w:sz w:val="20"/>
                <w:szCs w:val="20"/>
                <w:color w:val="auto"/>
              </w:rPr>
            </w:pPr>
            <w:r>
              <w:rPr>
                <w:rFonts w:ascii="Arial" w:cs="Arial" w:eastAsia="Arial" w:hAnsi="Arial"/>
                <w:sz w:val="18"/>
                <w:szCs w:val="18"/>
                <w:b w:val="1"/>
                <w:bCs w:val="1"/>
                <w:color w:val="auto"/>
              </w:rPr>
              <w:t>State or Other Jurisdiction of</w:t>
            </w:r>
          </w:p>
        </w:tc>
      </w:tr>
      <w:tr>
        <w:trPr>
          <w:trHeight w:val="234"/>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Name of Entity</w:t>
            </w:r>
          </w:p>
        </w:tc>
        <w:tc>
          <w:tcPr>
            <w:tcW w:w="7660" w:type="dxa"/>
            <w:vAlign w:val="bottom"/>
          </w:tcPr>
          <w:p>
            <w:pPr>
              <w:ind w:left="4300"/>
              <w:spacing w:after="0"/>
              <w:rPr>
                <w:sz w:val="20"/>
                <w:szCs w:val="20"/>
                <w:color w:val="auto"/>
              </w:rPr>
            </w:pPr>
            <w:r>
              <w:rPr>
                <w:rFonts w:ascii="Arial" w:cs="Arial" w:eastAsia="Arial" w:hAnsi="Arial"/>
                <w:sz w:val="18"/>
                <w:szCs w:val="18"/>
                <w:b w:val="1"/>
                <w:bCs w:val="1"/>
                <w:color w:val="auto"/>
              </w:rPr>
              <w:t>Incorporation or Organization</w:t>
            </w:r>
          </w:p>
        </w:tc>
      </w:tr>
      <w:tr>
        <w:trPr>
          <w:trHeight w:val="27"/>
        </w:trPr>
        <w:tc>
          <w:tcPr>
            <w:tcW w:w="3580" w:type="dxa"/>
            <w:vAlign w:val="bottom"/>
            <w:tcBorders>
              <w:bottom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Amplidata N.V.</w:t>
            </w:r>
          </w:p>
        </w:tc>
        <w:tc>
          <w:tcPr>
            <w:tcW w:w="7660" w:type="dxa"/>
            <w:vAlign w:val="bottom"/>
          </w:tcPr>
          <w:p>
            <w:pPr>
              <w:ind w:left="4300"/>
              <w:spacing w:after="0"/>
              <w:rPr>
                <w:sz w:val="20"/>
                <w:szCs w:val="20"/>
                <w:color w:val="auto"/>
              </w:rPr>
            </w:pPr>
            <w:r>
              <w:rPr>
                <w:rFonts w:ascii="Arial" w:cs="Arial" w:eastAsia="Arial" w:hAnsi="Arial"/>
                <w:sz w:val="18"/>
                <w:szCs w:val="18"/>
                <w:color w:val="auto"/>
              </w:rPr>
              <w:t>Belgium</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EasyStore Memory Limited</w:t>
            </w:r>
          </w:p>
        </w:tc>
        <w:tc>
          <w:tcPr>
            <w:tcW w:w="7660" w:type="dxa"/>
            <w:vAlign w:val="bottom"/>
          </w:tcPr>
          <w:p>
            <w:pPr>
              <w:ind w:left="4300"/>
              <w:spacing w:after="0"/>
              <w:rPr>
                <w:sz w:val="20"/>
                <w:szCs w:val="20"/>
                <w:color w:val="auto"/>
              </w:rPr>
            </w:pPr>
            <w:r>
              <w:rPr>
                <w:rFonts w:ascii="Arial" w:cs="Arial" w:eastAsia="Arial" w:hAnsi="Arial"/>
                <w:sz w:val="18"/>
                <w:szCs w:val="18"/>
                <w:color w:val="auto"/>
              </w:rPr>
              <w:t>Ireland</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Fusion Multisystems Ltd.</w:t>
            </w:r>
          </w:p>
        </w:tc>
        <w:tc>
          <w:tcPr>
            <w:tcW w:w="7660" w:type="dxa"/>
            <w:vAlign w:val="bottom"/>
          </w:tcPr>
          <w:p>
            <w:pPr>
              <w:ind w:left="4300"/>
              <w:spacing w:after="0"/>
              <w:rPr>
                <w:sz w:val="20"/>
                <w:szCs w:val="20"/>
                <w:color w:val="auto"/>
              </w:rPr>
            </w:pPr>
            <w:r>
              <w:rPr>
                <w:rFonts w:ascii="Arial" w:cs="Arial" w:eastAsia="Arial" w:hAnsi="Arial"/>
                <w:sz w:val="18"/>
                <w:szCs w:val="18"/>
                <w:color w:val="auto"/>
              </w:rPr>
              <w:t>Canada</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Fusion-io (Beijing) Info Tech Co., Ltd</w:t>
            </w:r>
          </w:p>
        </w:tc>
        <w:tc>
          <w:tcPr>
            <w:tcW w:w="7660" w:type="dxa"/>
            <w:vAlign w:val="bottom"/>
          </w:tcPr>
          <w:p>
            <w:pPr>
              <w:ind w:left="4300"/>
              <w:spacing w:after="0"/>
              <w:rPr>
                <w:sz w:val="20"/>
                <w:szCs w:val="20"/>
                <w:color w:val="auto"/>
              </w:rPr>
            </w:pPr>
            <w:r>
              <w:rPr>
                <w:rFonts w:ascii="Arial" w:cs="Arial" w:eastAsia="Arial" w:hAnsi="Arial"/>
                <w:sz w:val="18"/>
                <w:szCs w:val="18"/>
                <w:color w:val="auto"/>
              </w:rPr>
              <w:t>China</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Fusion-io Holdings S.A.R.L.</w:t>
            </w:r>
          </w:p>
        </w:tc>
        <w:tc>
          <w:tcPr>
            <w:tcW w:w="7660" w:type="dxa"/>
            <w:vAlign w:val="bottom"/>
          </w:tcPr>
          <w:p>
            <w:pPr>
              <w:ind w:left="4300"/>
              <w:spacing w:after="0"/>
              <w:rPr>
                <w:sz w:val="20"/>
                <w:szCs w:val="20"/>
                <w:color w:val="auto"/>
              </w:rPr>
            </w:pPr>
            <w:r>
              <w:rPr>
                <w:rFonts w:ascii="Arial" w:cs="Arial" w:eastAsia="Arial" w:hAnsi="Arial"/>
                <w:sz w:val="18"/>
                <w:szCs w:val="18"/>
                <w:color w:val="auto"/>
              </w:rPr>
              <w:t>Luxembourg</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Fusion-io LLC</w:t>
            </w:r>
          </w:p>
        </w:tc>
        <w:tc>
          <w:tcPr>
            <w:tcW w:w="7660" w:type="dxa"/>
            <w:vAlign w:val="bottom"/>
          </w:tcPr>
          <w:p>
            <w:pPr>
              <w:ind w:left="4300"/>
              <w:spacing w:after="0"/>
              <w:rPr>
                <w:sz w:val="20"/>
                <w:szCs w:val="20"/>
                <w:color w:val="auto"/>
              </w:rPr>
            </w:pPr>
            <w:r>
              <w:rPr>
                <w:rFonts w:ascii="Arial" w:cs="Arial" w:eastAsia="Arial" w:hAnsi="Arial"/>
                <w:sz w:val="18"/>
                <w:szCs w:val="18"/>
                <w:color w:val="auto"/>
              </w:rPr>
              <w:t>Delaware</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Fusion-io Poland SP.Z.O.O.</w:t>
            </w:r>
          </w:p>
        </w:tc>
        <w:tc>
          <w:tcPr>
            <w:tcW w:w="7660" w:type="dxa"/>
            <w:vAlign w:val="bottom"/>
          </w:tcPr>
          <w:p>
            <w:pPr>
              <w:ind w:left="4300"/>
              <w:spacing w:after="0"/>
              <w:rPr>
                <w:sz w:val="20"/>
                <w:szCs w:val="20"/>
                <w:color w:val="auto"/>
              </w:rPr>
            </w:pPr>
            <w:r>
              <w:rPr>
                <w:rFonts w:ascii="Arial" w:cs="Arial" w:eastAsia="Arial" w:hAnsi="Arial"/>
                <w:sz w:val="18"/>
                <w:szCs w:val="18"/>
                <w:color w:val="auto"/>
              </w:rPr>
              <w:t>Poland</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Fusion-io Singapore Private Ltd</w:t>
            </w:r>
          </w:p>
        </w:tc>
        <w:tc>
          <w:tcPr>
            <w:tcW w:w="7660" w:type="dxa"/>
            <w:vAlign w:val="bottom"/>
          </w:tcPr>
          <w:p>
            <w:pPr>
              <w:ind w:left="4300"/>
              <w:spacing w:after="0"/>
              <w:rPr>
                <w:sz w:val="20"/>
                <w:szCs w:val="20"/>
                <w:color w:val="auto"/>
              </w:rPr>
            </w:pPr>
            <w:r>
              <w:rPr>
                <w:rFonts w:ascii="Arial" w:cs="Arial" w:eastAsia="Arial" w:hAnsi="Arial"/>
                <w:sz w:val="18"/>
                <w:szCs w:val="18"/>
                <w:color w:val="auto"/>
              </w:rPr>
              <w:t>Singapore</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HGSP (Shenzhen) Co., Ltd.</w:t>
            </w:r>
          </w:p>
        </w:tc>
        <w:tc>
          <w:tcPr>
            <w:tcW w:w="7660" w:type="dxa"/>
            <w:vAlign w:val="bottom"/>
          </w:tcPr>
          <w:p>
            <w:pPr>
              <w:ind w:left="4300"/>
              <w:spacing w:after="0"/>
              <w:rPr>
                <w:sz w:val="20"/>
                <w:szCs w:val="20"/>
                <w:color w:val="auto"/>
              </w:rPr>
            </w:pPr>
            <w:r>
              <w:rPr>
                <w:rFonts w:ascii="Arial" w:cs="Arial" w:eastAsia="Arial" w:hAnsi="Arial"/>
                <w:sz w:val="18"/>
                <w:szCs w:val="18"/>
                <w:color w:val="auto"/>
              </w:rPr>
              <w:t>China</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HGSP Holdco Hong Kong Limited</w:t>
            </w:r>
          </w:p>
        </w:tc>
        <w:tc>
          <w:tcPr>
            <w:tcW w:w="7660" w:type="dxa"/>
            <w:vAlign w:val="bottom"/>
          </w:tcPr>
          <w:p>
            <w:pPr>
              <w:ind w:left="4300"/>
              <w:spacing w:after="0"/>
              <w:rPr>
                <w:sz w:val="20"/>
                <w:szCs w:val="20"/>
                <w:color w:val="auto"/>
              </w:rPr>
            </w:pPr>
            <w:r>
              <w:rPr>
                <w:rFonts w:ascii="Arial" w:cs="Arial" w:eastAsia="Arial" w:hAnsi="Arial"/>
                <w:sz w:val="18"/>
                <w:szCs w:val="18"/>
                <w:color w:val="auto"/>
              </w:rPr>
              <w:t>Hong Kong</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HGST (Shenzhen) Co., Ltd.</w:t>
            </w:r>
          </w:p>
        </w:tc>
        <w:tc>
          <w:tcPr>
            <w:tcW w:w="7660" w:type="dxa"/>
            <w:vAlign w:val="bottom"/>
          </w:tcPr>
          <w:p>
            <w:pPr>
              <w:ind w:left="4300"/>
              <w:spacing w:after="0"/>
              <w:rPr>
                <w:sz w:val="20"/>
                <w:szCs w:val="20"/>
                <w:color w:val="auto"/>
              </w:rPr>
            </w:pPr>
            <w:r>
              <w:rPr>
                <w:rFonts w:ascii="Arial" w:cs="Arial" w:eastAsia="Arial" w:hAnsi="Arial"/>
                <w:sz w:val="18"/>
                <w:szCs w:val="18"/>
                <w:color w:val="auto"/>
              </w:rPr>
              <w:t>China</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HGST (Thailand) Ltd.</w:t>
            </w:r>
          </w:p>
        </w:tc>
        <w:tc>
          <w:tcPr>
            <w:tcW w:w="7660" w:type="dxa"/>
            <w:vAlign w:val="bottom"/>
          </w:tcPr>
          <w:p>
            <w:pPr>
              <w:ind w:left="4300"/>
              <w:spacing w:after="0"/>
              <w:rPr>
                <w:sz w:val="20"/>
                <w:szCs w:val="20"/>
                <w:color w:val="auto"/>
              </w:rPr>
            </w:pPr>
            <w:r>
              <w:rPr>
                <w:rFonts w:ascii="Arial" w:cs="Arial" w:eastAsia="Arial" w:hAnsi="Arial"/>
                <w:sz w:val="18"/>
                <w:szCs w:val="18"/>
                <w:color w:val="auto"/>
              </w:rPr>
              <w:t>Thailand</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HGST Asia Pte. Ltd.</w:t>
            </w:r>
          </w:p>
        </w:tc>
        <w:tc>
          <w:tcPr>
            <w:tcW w:w="7660" w:type="dxa"/>
            <w:vAlign w:val="bottom"/>
          </w:tcPr>
          <w:p>
            <w:pPr>
              <w:ind w:left="4300"/>
              <w:spacing w:after="0"/>
              <w:rPr>
                <w:sz w:val="20"/>
                <w:szCs w:val="20"/>
                <w:color w:val="auto"/>
              </w:rPr>
            </w:pPr>
            <w:r>
              <w:rPr>
                <w:rFonts w:ascii="Arial" w:cs="Arial" w:eastAsia="Arial" w:hAnsi="Arial"/>
                <w:sz w:val="18"/>
                <w:szCs w:val="18"/>
                <w:color w:val="auto"/>
              </w:rPr>
              <w:t>Singapore</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HGST Consulting (Shanghai) Co., Ltd.</w:t>
            </w:r>
          </w:p>
        </w:tc>
        <w:tc>
          <w:tcPr>
            <w:tcW w:w="7660" w:type="dxa"/>
            <w:vAlign w:val="bottom"/>
          </w:tcPr>
          <w:p>
            <w:pPr>
              <w:ind w:left="4300"/>
              <w:spacing w:after="0"/>
              <w:rPr>
                <w:sz w:val="20"/>
                <w:szCs w:val="20"/>
                <w:color w:val="auto"/>
              </w:rPr>
            </w:pPr>
            <w:r>
              <w:rPr>
                <w:rFonts w:ascii="Arial" w:cs="Arial" w:eastAsia="Arial" w:hAnsi="Arial"/>
                <w:sz w:val="18"/>
                <w:szCs w:val="18"/>
                <w:color w:val="auto"/>
              </w:rPr>
              <w:t>China</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HGST Europe, Ltd.</w:t>
            </w:r>
          </w:p>
        </w:tc>
        <w:tc>
          <w:tcPr>
            <w:tcW w:w="7660" w:type="dxa"/>
            <w:vAlign w:val="bottom"/>
          </w:tcPr>
          <w:p>
            <w:pPr>
              <w:ind w:left="4300"/>
              <w:spacing w:after="0"/>
              <w:rPr>
                <w:sz w:val="20"/>
                <w:szCs w:val="20"/>
                <w:color w:val="auto"/>
              </w:rPr>
            </w:pPr>
            <w:r>
              <w:rPr>
                <w:rFonts w:ascii="Arial" w:cs="Arial" w:eastAsia="Arial" w:hAnsi="Arial"/>
                <w:sz w:val="18"/>
                <w:szCs w:val="18"/>
                <w:color w:val="auto"/>
              </w:rPr>
              <w:t>United Kingdom</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HGST Japan, Ltd.</w:t>
            </w:r>
          </w:p>
        </w:tc>
        <w:tc>
          <w:tcPr>
            <w:tcW w:w="7660" w:type="dxa"/>
            <w:vAlign w:val="bottom"/>
          </w:tcPr>
          <w:p>
            <w:pPr>
              <w:ind w:left="4300"/>
              <w:spacing w:after="0"/>
              <w:rPr>
                <w:sz w:val="20"/>
                <w:szCs w:val="20"/>
                <w:color w:val="auto"/>
              </w:rPr>
            </w:pPr>
            <w:r>
              <w:rPr>
                <w:rFonts w:ascii="Arial" w:cs="Arial" w:eastAsia="Arial" w:hAnsi="Arial"/>
                <w:sz w:val="18"/>
                <w:szCs w:val="18"/>
                <w:color w:val="auto"/>
              </w:rPr>
              <w:t>Japan</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HGST Malaysia Sdn. Bhd.</w:t>
            </w:r>
          </w:p>
        </w:tc>
        <w:tc>
          <w:tcPr>
            <w:tcW w:w="7660" w:type="dxa"/>
            <w:vAlign w:val="bottom"/>
          </w:tcPr>
          <w:p>
            <w:pPr>
              <w:ind w:left="4300"/>
              <w:spacing w:after="0"/>
              <w:rPr>
                <w:sz w:val="20"/>
                <w:szCs w:val="20"/>
                <w:color w:val="auto"/>
              </w:rPr>
            </w:pPr>
            <w:r>
              <w:rPr>
                <w:rFonts w:ascii="Arial" w:cs="Arial" w:eastAsia="Arial" w:hAnsi="Arial"/>
                <w:sz w:val="18"/>
                <w:szCs w:val="18"/>
                <w:color w:val="auto"/>
              </w:rPr>
              <w:t>Malaysia</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HGST Netherlands B.V.</w:t>
            </w:r>
          </w:p>
        </w:tc>
        <w:tc>
          <w:tcPr>
            <w:tcW w:w="7660" w:type="dxa"/>
            <w:vAlign w:val="bottom"/>
          </w:tcPr>
          <w:p>
            <w:pPr>
              <w:ind w:left="4300"/>
              <w:spacing w:after="0"/>
              <w:rPr>
                <w:sz w:val="20"/>
                <w:szCs w:val="20"/>
                <w:color w:val="auto"/>
              </w:rPr>
            </w:pPr>
            <w:r>
              <w:rPr>
                <w:rFonts w:ascii="Arial" w:cs="Arial" w:eastAsia="Arial" w:hAnsi="Arial"/>
                <w:sz w:val="18"/>
                <w:szCs w:val="18"/>
                <w:color w:val="auto"/>
              </w:rPr>
              <w:t>Netherlands</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HGST Philippines Corp.</w:t>
            </w:r>
          </w:p>
        </w:tc>
        <w:tc>
          <w:tcPr>
            <w:tcW w:w="7660" w:type="dxa"/>
            <w:vAlign w:val="bottom"/>
          </w:tcPr>
          <w:p>
            <w:pPr>
              <w:ind w:left="4300"/>
              <w:spacing w:after="0"/>
              <w:rPr>
                <w:sz w:val="20"/>
                <w:szCs w:val="20"/>
                <w:color w:val="auto"/>
              </w:rPr>
            </w:pPr>
            <w:r>
              <w:rPr>
                <w:rFonts w:ascii="Arial" w:cs="Arial" w:eastAsia="Arial" w:hAnsi="Arial"/>
                <w:sz w:val="18"/>
                <w:szCs w:val="18"/>
                <w:color w:val="auto"/>
              </w:rPr>
              <w:t>Philippines</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HGST Singapore Pte. Ltd.</w:t>
            </w:r>
          </w:p>
        </w:tc>
        <w:tc>
          <w:tcPr>
            <w:tcW w:w="7660" w:type="dxa"/>
            <w:vAlign w:val="bottom"/>
          </w:tcPr>
          <w:p>
            <w:pPr>
              <w:ind w:left="4300"/>
              <w:spacing w:after="0"/>
              <w:rPr>
                <w:sz w:val="20"/>
                <w:szCs w:val="20"/>
                <w:color w:val="auto"/>
              </w:rPr>
            </w:pPr>
            <w:r>
              <w:rPr>
                <w:rFonts w:ascii="Arial" w:cs="Arial" w:eastAsia="Arial" w:hAnsi="Arial"/>
                <w:sz w:val="18"/>
                <w:szCs w:val="18"/>
                <w:color w:val="auto"/>
              </w:rPr>
              <w:t>Singapore</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HGST Technologies India Private Limited</w:t>
            </w:r>
          </w:p>
        </w:tc>
        <w:tc>
          <w:tcPr>
            <w:tcW w:w="7660" w:type="dxa"/>
            <w:vAlign w:val="bottom"/>
          </w:tcPr>
          <w:p>
            <w:pPr>
              <w:ind w:left="4300"/>
              <w:spacing w:after="0"/>
              <w:rPr>
                <w:sz w:val="20"/>
                <w:szCs w:val="20"/>
                <w:color w:val="auto"/>
              </w:rPr>
            </w:pPr>
            <w:r>
              <w:rPr>
                <w:rFonts w:ascii="Arial" w:cs="Arial" w:eastAsia="Arial" w:hAnsi="Arial"/>
                <w:sz w:val="18"/>
                <w:szCs w:val="18"/>
                <w:color w:val="auto"/>
              </w:rPr>
              <w:t>India</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HGST Technologies Malaysia Sdn. Bhd.</w:t>
            </w:r>
          </w:p>
        </w:tc>
        <w:tc>
          <w:tcPr>
            <w:tcW w:w="7660" w:type="dxa"/>
            <w:vAlign w:val="bottom"/>
          </w:tcPr>
          <w:p>
            <w:pPr>
              <w:ind w:left="4300"/>
              <w:spacing w:after="0"/>
              <w:rPr>
                <w:sz w:val="20"/>
                <w:szCs w:val="20"/>
                <w:color w:val="auto"/>
              </w:rPr>
            </w:pPr>
            <w:r>
              <w:rPr>
                <w:rFonts w:ascii="Arial" w:cs="Arial" w:eastAsia="Arial" w:hAnsi="Arial"/>
                <w:sz w:val="18"/>
                <w:szCs w:val="18"/>
                <w:color w:val="auto"/>
              </w:rPr>
              <w:t>Malaysia</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HGST, Inc.</w:t>
            </w:r>
          </w:p>
        </w:tc>
        <w:tc>
          <w:tcPr>
            <w:tcW w:w="7660" w:type="dxa"/>
            <w:vAlign w:val="bottom"/>
          </w:tcPr>
          <w:p>
            <w:pPr>
              <w:ind w:left="4300"/>
              <w:spacing w:after="0"/>
              <w:rPr>
                <w:sz w:val="20"/>
                <w:szCs w:val="20"/>
                <w:color w:val="auto"/>
              </w:rPr>
            </w:pPr>
            <w:r>
              <w:rPr>
                <w:rFonts w:ascii="Arial" w:cs="Arial" w:eastAsia="Arial" w:hAnsi="Arial"/>
                <w:sz w:val="18"/>
                <w:szCs w:val="18"/>
                <w:color w:val="auto"/>
              </w:rPr>
              <w:t>Delaware</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HICAP Properties Corp.</w:t>
            </w:r>
          </w:p>
        </w:tc>
        <w:tc>
          <w:tcPr>
            <w:tcW w:w="7660" w:type="dxa"/>
            <w:vAlign w:val="bottom"/>
          </w:tcPr>
          <w:p>
            <w:pPr>
              <w:ind w:left="4300"/>
              <w:spacing w:after="0"/>
              <w:rPr>
                <w:sz w:val="20"/>
                <w:szCs w:val="20"/>
                <w:color w:val="auto"/>
              </w:rPr>
            </w:pPr>
            <w:r>
              <w:rPr>
                <w:rFonts w:ascii="Arial" w:cs="Arial" w:eastAsia="Arial" w:hAnsi="Arial"/>
                <w:sz w:val="18"/>
                <w:szCs w:val="18"/>
                <w:color w:val="auto"/>
              </w:rPr>
              <w:t>Philippines</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Keen Personal Media, Inc.</w:t>
            </w:r>
          </w:p>
        </w:tc>
        <w:tc>
          <w:tcPr>
            <w:tcW w:w="7660" w:type="dxa"/>
            <w:vAlign w:val="bottom"/>
          </w:tcPr>
          <w:p>
            <w:pPr>
              <w:ind w:left="4300"/>
              <w:spacing w:after="0"/>
              <w:rPr>
                <w:sz w:val="20"/>
                <w:szCs w:val="20"/>
                <w:color w:val="auto"/>
              </w:rPr>
            </w:pPr>
            <w:r>
              <w:rPr>
                <w:rFonts w:ascii="Arial" w:cs="Arial" w:eastAsia="Arial" w:hAnsi="Arial"/>
                <w:sz w:val="18"/>
                <w:szCs w:val="18"/>
                <w:color w:val="auto"/>
              </w:rPr>
              <w:t>Delaware</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Pacifica Insurance Corporation</w:t>
            </w:r>
          </w:p>
        </w:tc>
        <w:tc>
          <w:tcPr>
            <w:tcW w:w="7660" w:type="dxa"/>
            <w:vAlign w:val="bottom"/>
          </w:tcPr>
          <w:p>
            <w:pPr>
              <w:ind w:left="4300"/>
              <w:spacing w:after="0"/>
              <w:rPr>
                <w:sz w:val="20"/>
                <w:szCs w:val="20"/>
                <w:color w:val="auto"/>
              </w:rPr>
            </w:pPr>
            <w:r>
              <w:rPr>
                <w:rFonts w:ascii="Arial" w:cs="Arial" w:eastAsia="Arial" w:hAnsi="Arial"/>
                <w:sz w:val="18"/>
                <w:szCs w:val="18"/>
                <w:color w:val="auto"/>
              </w:rPr>
              <w:t>Hawaii</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Prestadora SD, S. de R.L. de C.V.</w:t>
            </w:r>
          </w:p>
        </w:tc>
        <w:tc>
          <w:tcPr>
            <w:tcW w:w="7660" w:type="dxa"/>
            <w:vAlign w:val="bottom"/>
          </w:tcPr>
          <w:p>
            <w:pPr>
              <w:ind w:left="4300"/>
              <w:spacing w:after="0"/>
              <w:rPr>
                <w:sz w:val="20"/>
                <w:szCs w:val="20"/>
                <w:color w:val="auto"/>
              </w:rPr>
            </w:pPr>
            <w:r>
              <w:rPr>
                <w:rFonts w:ascii="Arial" w:cs="Arial" w:eastAsia="Arial" w:hAnsi="Arial"/>
                <w:sz w:val="18"/>
                <w:szCs w:val="18"/>
                <w:color w:val="auto"/>
              </w:rPr>
              <w:t>Mexico</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Read-Rite Philippines, Inc.</w:t>
            </w:r>
          </w:p>
        </w:tc>
        <w:tc>
          <w:tcPr>
            <w:tcW w:w="7660" w:type="dxa"/>
            <w:vAlign w:val="bottom"/>
          </w:tcPr>
          <w:p>
            <w:pPr>
              <w:ind w:left="4300"/>
              <w:spacing w:after="0"/>
              <w:rPr>
                <w:sz w:val="20"/>
                <w:szCs w:val="20"/>
                <w:color w:val="auto"/>
              </w:rPr>
            </w:pPr>
            <w:r>
              <w:rPr>
                <w:rFonts w:ascii="Arial" w:cs="Arial" w:eastAsia="Arial" w:hAnsi="Arial"/>
                <w:sz w:val="18"/>
                <w:szCs w:val="18"/>
                <w:color w:val="auto"/>
              </w:rPr>
              <w:t>Philippines</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Sandbox Expansion LLC</w:t>
            </w:r>
          </w:p>
        </w:tc>
        <w:tc>
          <w:tcPr>
            <w:tcW w:w="7660" w:type="dxa"/>
            <w:vAlign w:val="bottom"/>
          </w:tcPr>
          <w:p>
            <w:pPr>
              <w:ind w:left="4300"/>
              <w:spacing w:after="0"/>
              <w:rPr>
                <w:sz w:val="20"/>
                <w:szCs w:val="20"/>
                <w:color w:val="auto"/>
              </w:rPr>
            </w:pPr>
            <w:r>
              <w:rPr>
                <w:rFonts w:ascii="Arial" w:cs="Arial" w:eastAsia="Arial" w:hAnsi="Arial"/>
                <w:sz w:val="18"/>
                <w:szCs w:val="18"/>
                <w:color w:val="auto"/>
              </w:rPr>
              <w:t>Delaware</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SanDisk (Cayman) Limited</w:t>
            </w:r>
          </w:p>
        </w:tc>
        <w:tc>
          <w:tcPr>
            <w:tcW w:w="7660" w:type="dxa"/>
            <w:vAlign w:val="bottom"/>
          </w:tcPr>
          <w:p>
            <w:pPr>
              <w:ind w:left="4300"/>
              <w:spacing w:after="0"/>
              <w:rPr>
                <w:sz w:val="20"/>
                <w:szCs w:val="20"/>
                <w:color w:val="auto"/>
              </w:rPr>
            </w:pPr>
            <w:r>
              <w:rPr>
                <w:rFonts w:ascii="Arial" w:cs="Arial" w:eastAsia="Arial" w:hAnsi="Arial"/>
                <w:sz w:val="18"/>
                <w:szCs w:val="18"/>
                <w:color w:val="auto"/>
              </w:rPr>
              <w:t>Cayman Islands</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SanDisk (Ireland) Limited</w:t>
            </w:r>
          </w:p>
        </w:tc>
        <w:tc>
          <w:tcPr>
            <w:tcW w:w="7660" w:type="dxa"/>
            <w:vAlign w:val="bottom"/>
          </w:tcPr>
          <w:p>
            <w:pPr>
              <w:ind w:left="4300"/>
              <w:spacing w:after="0"/>
              <w:rPr>
                <w:sz w:val="20"/>
                <w:szCs w:val="20"/>
                <w:color w:val="auto"/>
              </w:rPr>
            </w:pPr>
            <w:r>
              <w:rPr>
                <w:rFonts w:ascii="Arial" w:cs="Arial" w:eastAsia="Arial" w:hAnsi="Arial"/>
                <w:sz w:val="18"/>
                <w:szCs w:val="18"/>
                <w:color w:val="auto"/>
              </w:rPr>
              <w:t>Ireland</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SanDisk 3D IP Holdings Ltd</w:t>
            </w:r>
          </w:p>
        </w:tc>
        <w:tc>
          <w:tcPr>
            <w:tcW w:w="7660" w:type="dxa"/>
            <w:vAlign w:val="bottom"/>
          </w:tcPr>
          <w:p>
            <w:pPr>
              <w:ind w:left="4300"/>
              <w:spacing w:after="0"/>
              <w:rPr>
                <w:sz w:val="20"/>
                <w:szCs w:val="20"/>
                <w:color w:val="auto"/>
              </w:rPr>
            </w:pPr>
            <w:r>
              <w:rPr>
                <w:rFonts w:ascii="Arial" w:cs="Arial" w:eastAsia="Arial" w:hAnsi="Arial"/>
                <w:sz w:val="18"/>
                <w:szCs w:val="18"/>
                <w:color w:val="auto"/>
              </w:rPr>
              <w:t>Cayman Islands</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SanDisk B.V.</w:t>
            </w:r>
          </w:p>
        </w:tc>
        <w:tc>
          <w:tcPr>
            <w:tcW w:w="7660" w:type="dxa"/>
            <w:vAlign w:val="bottom"/>
          </w:tcPr>
          <w:p>
            <w:pPr>
              <w:ind w:left="4300"/>
              <w:spacing w:after="0"/>
              <w:rPr>
                <w:sz w:val="20"/>
                <w:szCs w:val="20"/>
                <w:color w:val="auto"/>
              </w:rPr>
            </w:pPr>
            <w:r>
              <w:rPr>
                <w:rFonts w:ascii="Arial" w:cs="Arial" w:eastAsia="Arial" w:hAnsi="Arial"/>
                <w:sz w:val="18"/>
                <w:szCs w:val="18"/>
                <w:color w:val="auto"/>
              </w:rPr>
              <w:t>Netherlands</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SanDisk Bermuda Limited</w:t>
            </w:r>
          </w:p>
        </w:tc>
        <w:tc>
          <w:tcPr>
            <w:tcW w:w="7660" w:type="dxa"/>
            <w:vAlign w:val="bottom"/>
          </w:tcPr>
          <w:p>
            <w:pPr>
              <w:ind w:left="4300"/>
              <w:spacing w:after="0"/>
              <w:rPr>
                <w:sz w:val="20"/>
                <w:szCs w:val="20"/>
                <w:color w:val="auto"/>
              </w:rPr>
            </w:pPr>
            <w:r>
              <w:rPr>
                <w:rFonts w:ascii="Arial" w:cs="Arial" w:eastAsia="Arial" w:hAnsi="Arial"/>
                <w:sz w:val="18"/>
                <w:szCs w:val="18"/>
                <w:color w:val="auto"/>
              </w:rPr>
              <w:t>Bermuda</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SanDisk Bermuda Unlimited</w:t>
            </w:r>
          </w:p>
        </w:tc>
        <w:tc>
          <w:tcPr>
            <w:tcW w:w="7660" w:type="dxa"/>
            <w:vAlign w:val="bottom"/>
          </w:tcPr>
          <w:p>
            <w:pPr>
              <w:ind w:left="4300"/>
              <w:spacing w:after="0"/>
              <w:rPr>
                <w:sz w:val="20"/>
                <w:szCs w:val="20"/>
                <w:color w:val="auto"/>
              </w:rPr>
            </w:pPr>
            <w:r>
              <w:rPr>
                <w:rFonts w:ascii="Arial" w:cs="Arial" w:eastAsia="Arial" w:hAnsi="Arial"/>
                <w:sz w:val="18"/>
                <w:szCs w:val="18"/>
                <w:color w:val="auto"/>
              </w:rPr>
              <w:t>Bermuda</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SanDisk BiCS IP Holdings Ltd</w:t>
            </w:r>
          </w:p>
        </w:tc>
        <w:tc>
          <w:tcPr>
            <w:tcW w:w="7660" w:type="dxa"/>
            <w:vAlign w:val="bottom"/>
          </w:tcPr>
          <w:p>
            <w:pPr>
              <w:ind w:left="4300"/>
              <w:spacing w:after="0"/>
              <w:rPr>
                <w:sz w:val="20"/>
                <w:szCs w:val="20"/>
                <w:color w:val="auto"/>
              </w:rPr>
            </w:pPr>
            <w:r>
              <w:rPr>
                <w:rFonts w:ascii="Arial" w:cs="Arial" w:eastAsia="Arial" w:hAnsi="Arial"/>
                <w:sz w:val="18"/>
                <w:szCs w:val="18"/>
                <w:color w:val="auto"/>
              </w:rPr>
              <w:t>Cayman Islands</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SanDisk Brasil Participações Ltda.</w:t>
            </w:r>
          </w:p>
        </w:tc>
        <w:tc>
          <w:tcPr>
            <w:tcW w:w="7660" w:type="dxa"/>
            <w:vAlign w:val="bottom"/>
          </w:tcPr>
          <w:p>
            <w:pPr>
              <w:ind w:left="4300"/>
              <w:spacing w:after="0"/>
              <w:rPr>
                <w:sz w:val="20"/>
                <w:szCs w:val="20"/>
                <w:color w:val="auto"/>
              </w:rPr>
            </w:pPr>
            <w:r>
              <w:rPr>
                <w:rFonts w:ascii="Arial" w:cs="Arial" w:eastAsia="Arial" w:hAnsi="Arial"/>
                <w:sz w:val="18"/>
                <w:szCs w:val="18"/>
                <w:color w:val="auto"/>
              </w:rPr>
              <w:t>Brazil</w:t>
            </w:r>
          </w:p>
        </w:tc>
      </w:tr>
      <w:tr>
        <w:trPr>
          <w:trHeight w:val="270"/>
        </w:trPr>
        <w:tc>
          <w:tcPr>
            <w:tcW w:w="3580" w:type="dxa"/>
            <w:vAlign w:val="bottom"/>
          </w:tcPr>
          <w:p>
            <w:pPr>
              <w:ind w:left="20"/>
              <w:spacing w:after="0"/>
              <w:rPr>
                <w:sz w:val="20"/>
                <w:szCs w:val="20"/>
                <w:color w:val="auto"/>
              </w:rPr>
            </w:pPr>
            <w:r>
              <w:rPr>
                <w:rFonts w:ascii="Arial" w:cs="Arial" w:eastAsia="Arial" w:hAnsi="Arial"/>
                <w:sz w:val="18"/>
                <w:szCs w:val="18"/>
                <w:color w:val="auto"/>
              </w:rPr>
              <w:t>SanDisk C.V.</w:t>
            </w:r>
          </w:p>
        </w:tc>
        <w:tc>
          <w:tcPr>
            <w:tcW w:w="7660" w:type="dxa"/>
            <w:vAlign w:val="bottom"/>
          </w:tcPr>
          <w:p>
            <w:pPr>
              <w:ind w:left="4300"/>
              <w:spacing w:after="0"/>
              <w:rPr>
                <w:sz w:val="20"/>
                <w:szCs w:val="20"/>
                <w:color w:val="auto"/>
              </w:rPr>
            </w:pPr>
            <w:r>
              <w:rPr>
                <w:rFonts w:ascii="Arial" w:cs="Arial" w:eastAsia="Arial" w:hAnsi="Arial"/>
                <w:sz w:val="18"/>
                <w:szCs w:val="18"/>
                <w:color w:val="auto"/>
              </w:rPr>
              <w:t>Netherlands</w:t>
            </w:r>
          </w:p>
        </w:tc>
      </w:tr>
    </w:tbl>
    <w:p>
      <w:pPr>
        <w:sectPr>
          <w:pgSz w:w="11900" w:h="16838" w:orient="portrait"/>
          <w:cols w:equalWidth="0" w:num="1">
            <w:col w:w="11240"/>
          </w:cols>
          <w:pgMar w:left="320" w:top="1404" w:right="339" w:bottom="1440" w:gutter="0" w:footer="0" w:header="0"/>
        </w:sectPr>
      </w:pPr>
    </w:p>
    <w:bookmarkStart w:id="123" w:name="page124"/>
    <w:bookmarkEnd w:id="123"/>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SanDisk China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China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Equipment Y.K.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Flash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G.K.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Holding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India Device Design Centre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Information Technology (Shanghai)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International Holdco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International Middle East FZE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Italy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Korea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Latin America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Manufacturing Americas,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Manufacturing Unlimited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Operations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Pazarlama Ve Ticaret Limited Sirketi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Scotland,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Semiconductor (Shanghai)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Spain,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Storage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Sweden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Switzerland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Taiwan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Technologies LLC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SanDisk Technologies India Private Limited (formerly known as Tegile Systems Private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SanDisk Trading (Shanghai)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Trading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SanDisk,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SD International Holdings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SMART Storage Systems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STEC Bermuda,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STEC Europe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STEC International Holding,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STEC Italy SRL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ectPr>
          <w:pgSz w:w="11900" w:h="16838" w:orient="portrait"/>
          <w:cols w:equalWidth="0" w:num="2">
            <w:col w:w="7140" w:space="720"/>
            <w:col w:w="2259"/>
          </w:cols>
          <w:pgMar w:left="340" w:top="1440" w:right="1440" w:bottom="1440" w:gutter="0" w:footer="0" w:header="0"/>
        </w:sectPr>
      </w:pPr>
    </w:p>
    <w:bookmarkStart w:id="124" w:name="page125"/>
    <w:bookmarkEnd w:id="124"/>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STEC R&amp;D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Suntech Realty,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Virident Systems International Holdings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Virident Systems,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WD Media (Malaysia) Sdn.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WD Media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(Argentina)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(France)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(I.S.)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(S.E. Asia)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(Thailand)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Australia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Canada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Capital Global,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Capital,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Denmark ApS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Deutschland GmbH</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Western Digital Do Brasil Comercio E Distribuicao De Produtos De Informatica Ltda.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Federal,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Information Technology (Shanghai) Company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International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Ireland,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Israel Ltd. (formerly known as SanDisk IL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Japan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Korea,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Latin America,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Netherlands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Taiwan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Tech and Regional Center (M)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Technologies, Inc.</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Ontario, Canada</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7140" w:space="720"/>
            <w:col w:w="2259"/>
          </w:cols>
          <w:pgMar w:left="340" w:top="1440"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23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79"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7"/>
          <w:szCs w:val="17"/>
          <w:color w:val="auto"/>
        </w:rPr>
        <w:t>We consent to the incorporation by reference in the registration statements on Form S-8 (Nos. 333-41423, 33-56128, 333-122475, 333-129813, 333-155661, 333-163133, 333-180286, 333-185194, 333-190290, 333-191216, 333-191910, 333-202646, 333-207842, 333-211420, 33-60168, 333-221407, 333-228331, and 333-235257) of Western Digital Corporation of our report dated August 27, 2020, with respect to the consolidated balance sheets of Western Digital Corporation and subsidiaries as of July 3, 2020 and June 28, 2019, and the related consolidated statements of operations, comprehensive income (loss), cash flows, and shareholders' equity for each of the years in the three-year period ended July 3, 2020, and the related notes (collectively, the consolidated financial statements), and the effectiveness of internal control over financial reporting as of July 3, 2020, which report appears in the July 3, 2020, annual report on Form 10-K of Western Digital Corporation.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August 27, 2020</w:t>
      </w:r>
    </w:p>
    <w:p>
      <w:pPr>
        <w:sectPr>
          <w:pgSz w:w="11900" w:h="16838" w:orient="portrait"/>
          <w:cols w:equalWidth="0" w:num="1">
            <w:col w:w="11240"/>
          </w:cols>
          <w:pgMar w:left="320" w:top="913"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David V. Goeckeler, certify that:</w:t>
      </w:r>
    </w:p>
    <w:p>
      <w:pPr>
        <w:spacing w:after="0" w:line="104" w:lineRule="exact"/>
        <w:rPr>
          <w:sz w:val="20"/>
          <w:szCs w:val="20"/>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Western Digital Corporation;</w:t>
      </w:r>
    </w:p>
    <w:p>
      <w:pPr>
        <w:spacing w:after="0" w:line="90"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right="220" w:firstLine="332"/>
        <w:spacing w:after="0" w:line="263"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right="200" w:firstLine="656"/>
        <w:spacing w:after="0" w:line="263" w:lineRule="auto"/>
        <w:tabs>
          <w:tab w:leader="none" w:pos="8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40" w:firstLine="656"/>
        <w:spacing w:after="0" w:line="263" w:lineRule="auto"/>
        <w:tabs>
          <w:tab w:leader="none" w:pos="8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720" w:firstLine="656"/>
        <w:spacing w:after="0" w:line="334" w:lineRule="auto"/>
        <w:tabs>
          <w:tab w:leader="none" w:pos="818"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200" w:firstLine="656"/>
        <w:spacing w:after="0" w:line="263" w:lineRule="auto"/>
        <w:tabs>
          <w:tab w:leader="none" w:pos="8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220" w:firstLine="332"/>
        <w:spacing w:after="0" w:line="308" w:lineRule="auto"/>
        <w:tabs>
          <w:tab w:leader="none" w:pos="5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right="100" w:firstLine="656"/>
        <w:spacing w:after="0" w:line="277" w:lineRule="auto"/>
        <w:tabs>
          <w:tab w:leader="none" w:pos="8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60" w:firstLine="656"/>
        <w:spacing w:after="0" w:line="277" w:lineRule="auto"/>
        <w:tabs>
          <w:tab w:leader="none" w:pos="8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435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57"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David V. Goeckeler</w:t>
      </w:r>
    </w:p>
    <w:p>
      <w:pPr>
        <w:spacing w:after="0" w:line="63" w:lineRule="exact"/>
        <w:rPr>
          <w:sz w:val="20"/>
          <w:szCs w:val="20"/>
          <w:color w:val="auto"/>
        </w:rPr>
      </w:pPr>
    </w:p>
    <w:p>
      <w:pPr>
        <w:jc w:val="center"/>
        <w:ind w:left="638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27, 2020</w:t>
      </w:r>
    </w:p>
    <w:p>
      <w:pPr>
        <w:sectPr>
          <w:pgSz w:w="11900" w:h="16838" w:orient="portrait"/>
          <w:cols w:equalWidth="0" w:num="1">
            <w:col w:w="11240"/>
          </w:cols>
          <w:pgMar w:left="320" w:top="89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K. Eulau, certify that:</w:t>
      </w:r>
    </w:p>
    <w:p>
      <w:pPr>
        <w:spacing w:after="0" w:line="104" w:lineRule="exact"/>
        <w:rPr>
          <w:sz w:val="20"/>
          <w:szCs w:val="20"/>
          <w:color w:val="auto"/>
        </w:rPr>
      </w:pPr>
    </w:p>
    <w:p>
      <w:pPr>
        <w:ind w:left="520" w:hanging="188"/>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Western Digital Corporation;</w:t>
      </w:r>
    </w:p>
    <w:p>
      <w:pPr>
        <w:spacing w:after="0" w:line="90"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right="220" w:firstLine="332"/>
        <w:spacing w:after="0" w:line="263"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right="200" w:firstLine="656"/>
        <w:spacing w:after="0" w:line="263" w:lineRule="auto"/>
        <w:tabs>
          <w:tab w:leader="none" w:pos="8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40" w:firstLine="656"/>
        <w:spacing w:after="0" w:line="263" w:lineRule="auto"/>
        <w:tabs>
          <w:tab w:leader="none" w:pos="8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720" w:firstLine="656"/>
        <w:spacing w:after="0" w:line="334" w:lineRule="auto"/>
        <w:tabs>
          <w:tab w:leader="none" w:pos="8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200" w:firstLine="656"/>
        <w:spacing w:after="0" w:line="263" w:lineRule="auto"/>
        <w:tabs>
          <w:tab w:leader="none" w:pos="8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220" w:firstLine="332"/>
        <w:spacing w:after="0" w:line="308" w:lineRule="auto"/>
        <w:tabs>
          <w:tab w:leader="none" w:pos="5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right="100" w:firstLine="656"/>
        <w:spacing w:after="0" w:line="277" w:lineRule="auto"/>
        <w:tabs>
          <w:tab w:leader="none" w:pos="8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60" w:firstLine="656"/>
        <w:spacing w:after="0" w:line="277" w:lineRule="auto"/>
        <w:tabs>
          <w:tab w:leader="none" w:pos="8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31750</wp:posOffset>
            </wp:positionV>
            <wp:extent cx="31292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5">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57"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Robert K. Eulau</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27, 2020</w:t>
      </w:r>
    </w:p>
    <w:p>
      <w:pPr>
        <w:sectPr>
          <w:pgSz w:w="11900" w:h="16838" w:orient="portrait"/>
          <w:cols w:equalWidth="0" w:num="1">
            <w:col w:w="11240"/>
          </w:cols>
          <w:pgMar w:left="320" w:top="891" w:right="339" w:bottom="1440" w:gutter="0" w:footer="0" w:header="0"/>
        </w:sectPr>
      </w:pPr>
    </w:p>
    <w:bookmarkStart w:id="128" w:name="page129"/>
    <w:bookmarkEnd w:id="128"/>
    <w:p>
      <w:pPr>
        <w:ind w:left="1032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9" w:lineRule="exact"/>
        <w:rPr>
          <w:sz w:val="20"/>
          <w:szCs w:val="20"/>
          <w:color w:val="auto"/>
        </w:rPr>
      </w:pPr>
    </w:p>
    <w:p>
      <w:pPr>
        <w:ind w:right="780" w:firstLine="332"/>
        <w:spacing w:after="0" w:line="308" w:lineRule="auto"/>
        <w:tabs>
          <w:tab w:leader="none" w:pos="539"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period ended July 3, 2020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600" w:hanging="268"/>
        <w:spacing w:after="0"/>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435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6">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57"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David V. Goeckeler</w:t>
      </w:r>
    </w:p>
    <w:p>
      <w:pPr>
        <w:spacing w:after="0" w:line="63" w:lineRule="exact"/>
        <w:rPr>
          <w:sz w:val="20"/>
          <w:szCs w:val="20"/>
          <w:color w:val="auto"/>
        </w:rPr>
      </w:pPr>
    </w:p>
    <w:p>
      <w:pPr>
        <w:jc w:val="center"/>
        <w:ind w:left="638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27, 2020</w:t>
      </w:r>
    </w:p>
    <w:p>
      <w:pPr>
        <w:sectPr>
          <w:pgSz w:w="11900" w:h="16838" w:orient="portrait"/>
          <w:cols w:equalWidth="0" w:num="1">
            <w:col w:w="11240"/>
          </w:cols>
          <w:pgMar w:left="320" w:top="891" w:right="339" w:bottom="1440" w:gutter="0" w:footer="0" w:header="0"/>
        </w:sectPr>
      </w:pPr>
    </w:p>
    <w:bookmarkStart w:id="129" w:name="page130"/>
    <w:bookmarkEnd w:id="129"/>
    <w:p>
      <w:pPr>
        <w:ind w:left="1032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9" w:lineRule="exact"/>
        <w:rPr>
          <w:sz w:val="20"/>
          <w:szCs w:val="20"/>
          <w:color w:val="auto"/>
        </w:rPr>
      </w:pPr>
    </w:p>
    <w:p>
      <w:pPr>
        <w:ind w:right="780" w:firstLine="332"/>
        <w:spacing w:after="0" w:line="308" w:lineRule="auto"/>
        <w:tabs>
          <w:tab w:leader="none" w:pos="53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period ended July 3, 2020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600" w:hanging="268"/>
        <w:spacing w:after="0"/>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31750</wp:posOffset>
            </wp:positionV>
            <wp:extent cx="30861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7"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Robert K. Eulau</w:t>
      </w:r>
    </w:p>
    <w:p>
      <w:pPr>
        <w:spacing w:after="0" w:line="6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(Principal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27,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lvl w:ilvl="1">
      <w:lvlJc w:val="left"/>
      <w:lvlText w:val="%2"/>
      <w:numFmt w:val="decimal"/>
      <w:start w:val="104"/>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5" Type="http://schemas.openxmlformats.org/officeDocument/2006/relationships/image" Target="media/image126.png"/><Relationship Id="rId139" Type="http://schemas.openxmlformats.org/officeDocument/2006/relationships/image" Target="media/image127.png"/><Relationship Id="rId149"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74" Type="http://schemas.openxmlformats.org/officeDocument/2006/relationships/image" Target="media/image131.png"/><Relationship Id="rId176" Type="http://schemas.openxmlformats.org/officeDocument/2006/relationships/image" Target="media/image132.png"/><Relationship Id="rId179" Type="http://schemas.openxmlformats.org/officeDocument/2006/relationships/image" Target="media/image133.png"/><Relationship Id="rId182" Type="http://schemas.openxmlformats.org/officeDocument/2006/relationships/image" Target="media/image134.png"/><Relationship Id="rId185"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9" Type="http://schemas.openxmlformats.org/officeDocument/2006/relationships/image" Target="media/image140.png"/><Relationship Id="rId203" Type="http://schemas.openxmlformats.org/officeDocument/2006/relationships/image" Target="media/image141.png"/><Relationship Id="rId204" Type="http://schemas.openxmlformats.org/officeDocument/2006/relationships/image" Target="media/image142.png"/><Relationship Id="rId205" Type="http://schemas.openxmlformats.org/officeDocument/2006/relationships/image" Target="media/image143.png"/><Relationship Id="rId206" Type="http://schemas.openxmlformats.org/officeDocument/2006/relationships/image" Target="media/image144.png"/><Relationship Id="rId207" Type="http://schemas.openxmlformats.org/officeDocument/2006/relationships/image" Target="media/image145.png"/><Relationship Id="rId208" Type="http://schemas.openxmlformats.org/officeDocument/2006/relationships/image" Target="media/image146.png"/><Relationship Id="rId209" Type="http://schemas.openxmlformats.org/officeDocument/2006/relationships/image" Target="media/image147.png"/><Relationship Id="rId210" Type="http://schemas.openxmlformats.org/officeDocument/2006/relationships/image" Target="media/image148.png"/><Relationship Id="rId211" Type="http://schemas.openxmlformats.org/officeDocument/2006/relationships/image" Target="media/image149.png"/><Relationship Id="rId212"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15" Type="http://schemas.openxmlformats.org/officeDocument/2006/relationships/image" Target="media/image153.png"/><Relationship Id="rId216" Type="http://schemas.openxmlformats.org/officeDocument/2006/relationships/image" Target="media/image154.png"/><Relationship Id="rId217" Type="http://schemas.openxmlformats.org/officeDocument/2006/relationships/image" Target="media/image155.png"/><Relationship Id="rId133" Type="http://schemas.openxmlformats.org/officeDocument/2006/relationships/hyperlink" Target="http://www.sec.gov/Archives/edgar/data/106040/000095013706001502/a17011exv3w1.htm" TargetMode="External"/><Relationship Id="rId134" Type="http://schemas.openxmlformats.org/officeDocument/2006/relationships/hyperlink" Target="http://www.sec.gov/Archives/edgar/data/106040/000119312518153458/d577779dex31.htm" TargetMode="External"/><Relationship Id="rId136" Type="http://schemas.openxmlformats.org/officeDocument/2006/relationships/hyperlink" Target="https://www.sec.gov/Archives/edgar/data/106040/000010604019000058/wdc-2019q4ex41.htm" TargetMode="External"/><Relationship Id="rId137" Type="http://schemas.openxmlformats.org/officeDocument/2006/relationships/hyperlink" Target="http://www.sec.gov/Archives/edgar/data/1000180/000110465913078765/a13-22405_3ex4d1.htm" TargetMode="External"/><Relationship Id="rId138" Type="http://schemas.openxmlformats.org/officeDocument/2006/relationships/hyperlink" Target="http://www.sec.gov/Archives/edgar/data/106040/000119312516588382/d154176dex41.htm" TargetMode="External"/><Relationship Id="rId140" Type="http://schemas.openxmlformats.org/officeDocument/2006/relationships/hyperlink" Target="http://www.sec.gov/Archives/edgar/data/106040/000119312518042423/d538323dex41.htm" TargetMode="External"/><Relationship Id="rId141" Type="http://schemas.openxmlformats.org/officeDocument/2006/relationships/hyperlink" Target="http://www.sec.gov/Archives/edgar/data/106040/000119312518042423/d538323dex42.htm" TargetMode="External"/><Relationship Id="rId142" Type="http://schemas.openxmlformats.org/officeDocument/2006/relationships/hyperlink" Target="https://www.sec.gov/Archives/edgar/data/106040/000119312519292358/d829006dex101.htm" TargetMode="External"/><Relationship Id="rId143" Type="http://schemas.openxmlformats.org/officeDocument/2006/relationships/hyperlink" Target="https://www.sec.gov/Archives/edgar/data/106040/000095012311093040/c22815exv10w2.htm" TargetMode="External"/><Relationship Id="rId144" Type="http://schemas.openxmlformats.org/officeDocument/2006/relationships/hyperlink" Target="https://www.sec.gov/Archives/edgar/data/106040/000010604018000010/wdc-2018q2ex1013.htm" TargetMode="External"/><Relationship Id="rId145" Type="http://schemas.openxmlformats.org/officeDocument/2006/relationships/hyperlink" Target="https://www.sec.gov/Archives/edgar/data/106040/000010604018000010/wdc-2018q2ex1014.htm" TargetMode="External"/><Relationship Id="rId146" Type="http://schemas.openxmlformats.org/officeDocument/2006/relationships/hyperlink" Target="https://www.sec.gov/Archives/edgar/data/106040/000010604018000034/wdc-2019q1ex101.htm" TargetMode="External"/><Relationship Id="rId147" Type="http://schemas.openxmlformats.org/officeDocument/2006/relationships/hyperlink" Target="https://www.sec.gov/Archives/edgar/data/106040/000010604018000034/wdc-2019q1ex102.htm" TargetMode="External"/><Relationship Id="rId148" Type="http://schemas.openxmlformats.org/officeDocument/2006/relationships/hyperlink" Target="https://www.sec.gov/Archives/edgar/data/106040/000010604019000075/wdc-2020q1ex101.htm" TargetMode="External"/><Relationship Id="rId150" Type="http://schemas.openxmlformats.org/officeDocument/2006/relationships/hyperlink" Target="https://www.sec.gov/Archives/edgar/data/106040/000010604019000075/wdc-2020q1ex102.htm" TargetMode="External"/><Relationship Id="rId151" Type="http://schemas.openxmlformats.org/officeDocument/2006/relationships/hyperlink" Target="http://www.sec.gov/Archives/edgar/data/106040/000010604016000019/wdc-010116xexhibit1011.htm" TargetMode="External"/><Relationship Id="rId152" Type="http://schemas.openxmlformats.org/officeDocument/2006/relationships/hyperlink" Target="http://www.sec.gov/Archives/edgar/data/106040/000010604016000019/wdc-010116xexhibit1013.htm" TargetMode="External"/><Relationship Id="rId155" Type="http://schemas.openxmlformats.org/officeDocument/2006/relationships/hyperlink" Target="http://www.sec.gov/Archives/edgar/data/106040/000010604016000019/wdc-010116xexhibit1014.htm" TargetMode="External"/><Relationship Id="rId156" Type="http://schemas.openxmlformats.org/officeDocument/2006/relationships/hyperlink" Target="https://www.sec.gov/Archives/edgar/data/106040/000010604018000010/wdc-2018q2ex102.htm" TargetMode="External"/><Relationship Id="rId157" Type="http://schemas.openxmlformats.org/officeDocument/2006/relationships/hyperlink" Target="https://www.sec.gov/Archives/edgar/data/106040/000010604018000034/wdc-2019q1ex103.htm" TargetMode="External"/><Relationship Id="rId158" Type="http://schemas.openxmlformats.org/officeDocument/2006/relationships/hyperlink" Target="https://www.sec.gov/Archives/edgar/data/106040/000010604019000075/wdc-2020q1ex103.htm" TargetMode="External"/><Relationship Id="rId159" Type="http://schemas.openxmlformats.org/officeDocument/2006/relationships/hyperlink" Target="https://www.sec.gov/Archives/edgar/data/106040/000010604018000034/wdc-2019q1ex104.htm" TargetMode="External"/><Relationship Id="rId160" Type="http://schemas.openxmlformats.org/officeDocument/2006/relationships/hyperlink" Target="https://www.sec.gov/Archives/edgar/data/106040/000010604020000024/wdc-2020q3ex102.htm" TargetMode="External"/><Relationship Id="rId161" Type="http://schemas.openxmlformats.org/officeDocument/2006/relationships/hyperlink" Target="https://www.sec.gov/Archives/edgar/data/106040/000010604020000024/wdc-2020q3ex103.htm" TargetMode="External"/><Relationship Id="rId162" Type="http://schemas.openxmlformats.org/officeDocument/2006/relationships/hyperlink" Target="https://www.sec.gov/Archives/edgar/data/106040/000010604019000075/wdc-2020q1ex104.htm" TargetMode="External"/><Relationship Id="rId163" Type="http://schemas.openxmlformats.org/officeDocument/2006/relationships/hyperlink" Target="https://www.sec.gov/Archives/edgar/data/106040/000119312518320967/d642144dex102.htm" TargetMode="External"/><Relationship Id="rId164" Type="http://schemas.openxmlformats.org/officeDocument/2006/relationships/hyperlink" Target="https://www.sec.gov/Archives/edgar/data/106040/000119312516593317/d194750dex42.htm" TargetMode="External"/><Relationship Id="rId165" Type="http://schemas.openxmlformats.org/officeDocument/2006/relationships/hyperlink" Target="https://www.sec.gov/Archives/edgar/data/106040/000119312512449441/d419625dex104.htm" TargetMode="External"/><Relationship Id="rId166" Type="http://schemas.openxmlformats.org/officeDocument/2006/relationships/hyperlink" Target="https://www.sec.gov/Archives/edgar/data/106040/000119312515366646/d55959dex102.htm" TargetMode="External"/><Relationship Id="rId167" Type="http://schemas.openxmlformats.org/officeDocument/2006/relationships/hyperlink" Target="https://www.sec.gov/Archives/edgar/data/106040/000010604017000007/wdc-2017q2ex103executivese.htm" TargetMode="External"/><Relationship Id="rId168" Type="http://schemas.openxmlformats.org/officeDocument/2006/relationships/hyperlink" Target="https://www.sec.gov/Archives/edgar/data/106040/000089256902002190/a85682exv10w4.txt" TargetMode="External"/><Relationship Id="rId169" Type="http://schemas.openxmlformats.org/officeDocument/2006/relationships/hyperlink" Target="https://www.sec.gov/Archives/edgar/data/106040/000089256902002190/a85682exv10w5.txt" TargetMode="External"/><Relationship Id="rId170" Type="http://schemas.openxmlformats.org/officeDocument/2006/relationships/hyperlink" Target="https://www.sec.gov/Archives/edgar/data/106040/000010604018000029/wdc-2018q4ex1010.htm" TargetMode="External"/><Relationship Id="rId171" Type="http://schemas.openxmlformats.org/officeDocument/2006/relationships/hyperlink" Target="https://www.sec.gov/Archives/edgar/data/106040/000010604020000024/wdc-2020q3ex101.htm" TargetMode="External"/><Relationship Id="rId172" Type="http://schemas.openxmlformats.org/officeDocument/2006/relationships/hyperlink" Target="http://www.sec.gov/Archives/edgar/data/106040/000010604016000022/wdc-040116xexhibit104.htm" TargetMode="External"/><Relationship Id="rId173" Type="http://schemas.openxmlformats.org/officeDocument/2006/relationships/hyperlink" Target="http://www.sec.gov/Archives/edgar/data/106040/000119312516684785/d366731dex101.htm" TargetMode="External"/><Relationship Id="rId175" Type="http://schemas.openxmlformats.org/officeDocument/2006/relationships/hyperlink" Target="http://www.sec.gov/Archives/edgar/data/106040/000119312516717057/d174359dex101.htm" TargetMode="External"/><Relationship Id="rId177" Type="http://schemas.openxmlformats.org/officeDocument/2006/relationships/hyperlink" Target="http://www.sec.gov/Archives/edgar/data/106040/000119312517081848/d315314dex101.htm" TargetMode="External"/><Relationship Id="rId178" Type="http://schemas.openxmlformats.org/officeDocument/2006/relationships/hyperlink" Target="http://www.sec.gov/Archives/edgar/data/106040/000119312517093192/d335503dex101.htm" TargetMode="External"/><Relationship Id="rId180" Type="http://schemas.openxmlformats.org/officeDocument/2006/relationships/hyperlink" Target="http://www.sec.gov/Archives/edgar/data/106040/000119312517337353/d490541dex101.htm" TargetMode="External"/><Relationship Id="rId181" Type="http://schemas.openxmlformats.org/officeDocument/2006/relationships/hyperlink" Target="http://www.sec.gov/Archives/edgar/data/106040/000119312517355698/d498466dex101.htm" TargetMode="External"/><Relationship Id="rId183" Type="http://schemas.openxmlformats.org/officeDocument/2006/relationships/hyperlink" Target="http://www.sec.gov/Archives/edgar/data/106040/000119312518061179/d482474dex101.htm" TargetMode="External"/><Relationship Id="rId184" Type="http://schemas.openxmlformats.org/officeDocument/2006/relationships/hyperlink" Target="http://www.sec.gov/Archives/edgar/data/106040/000119312518164083/d542924dex101.htm" TargetMode="External"/><Relationship Id="rId186" Type="http://schemas.openxmlformats.org/officeDocument/2006/relationships/hyperlink" Target="http://www.sec.gov/Archives/edgar/data/106040/000010604019000028/wdc-2019q3ex102.htm" TargetMode="External"/><Relationship Id="rId187" Type="http://schemas.openxmlformats.org/officeDocument/2006/relationships/hyperlink" Target="http://www.sec.gov/Archives/edgar/data/106040/000119312516570122/d189018dex102.htm" TargetMode="External"/><Relationship Id="rId188" Type="http://schemas.openxmlformats.org/officeDocument/2006/relationships/hyperlink" Target="http://www.sec.gov/Archives/edgar/data/106040/000119312516588382/d154176dex102.htm" TargetMode="External"/><Relationship Id="rId189" Type="http://schemas.openxmlformats.org/officeDocument/2006/relationships/hyperlink" Target="http://www.sec.gov/Archives/edgar/data/1000180/000095013406020940/f24678exv10w1.htm" TargetMode="External"/><Relationship Id="rId190" Type="http://schemas.openxmlformats.org/officeDocument/2006/relationships/hyperlink" Target="http://www.sec.gov/Archives/edgar/data/1000180/000095013406020940/f24678exv10w2.htm" TargetMode="External"/><Relationship Id="rId191" Type="http://schemas.openxmlformats.org/officeDocument/2006/relationships/hyperlink" Target="http://www.sec.gov/Archives/edgar/data/1000180/000100018009000020/ex10_1.htm" TargetMode="External"/><Relationship Id="rId192" Type="http://schemas.openxmlformats.org/officeDocument/2006/relationships/hyperlink" Target="http://www.sec.gov/Archives/edgar/data/1000180/000100018016000068/sndkex-1037xnewy2facilitya.htm" TargetMode="External"/><Relationship Id="rId193" Type="http://schemas.openxmlformats.org/officeDocument/2006/relationships/hyperlink" Target="http://www.sec.gov/Archives/edgar/data/106040/000010604018000010/wdc-2018q2ex106.htm" TargetMode="External"/><Relationship Id="rId198" Type="http://schemas.openxmlformats.org/officeDocument/2006/relationships/hyperlink" Target="http://www.sec.gov/Archives/edgar/data/106040/000010604018000010/wdc-2018q2ex107.htm" TargetMode="External"/><Relationship Id="rId200" Type="http://schemas.openxmlformats.org/officeDocument/2006/relationships/hyperlink" Target="https://www.sec.gov/Archives/edgar/data/106040/000010604019000058/wdc-2019q4ex1022.htm" TargetMode="External"/><Relationship Id="rId201" Type="http://schemas.openxmlformats.org/officeDocument/2006/relationships/hyperlink" Target="http://www.sec.gov/Archives/edgar/data/106040/000010604018000010/wdc-2018q2ex108.htm" TargetMode="External"/><Relationship Id="rId202" Type="http://schemas.openxmlformats.org/officeDocument/2006/relationships/hyperlink" Target="http://www.sec.gov/Archives/edgar/data/106040/000010604018000010/wdc-2018q2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2020-08-28T05:40:27Z</dcterms:created>
  <dcterms:modified xsi:type="dcterms:W3CDTF">2020-08-28T05:40:27Z</dcterms:modified>
</cp:coreProperties>
</file>