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July 3,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number 1-8703</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40005</wp:posOffset>
            </wp:positionV>
            <wp:extent cx="1235075"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3"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14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33-0956711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80"/>
        </w:trPr>
        <w:tc>
          <w:tcPr>
            <w:tcW w:w="398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spacing w:after="0"/>
              <w:rPr>
                <w:sz w:val="15"/>
                <w:szCs w:val="15"/>
                <w:color w:val="auto"/>
              </w:rPr>
            </w:pPr>
          </w:p>
        </w:tc>
        <w:tc>
          <w:tcPr>
            <w:tcW w:w="220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6"/>
              </w:rPr>
              <w:t>(I.R.S. Employer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6"/>
        </w:trPr>
        <w:tc>
          <w:tcPr>
            <w:tcW w:w="398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6"/>
              </w:rPr>
              <w:t>Incorporation or Organization</w:t>
            </w:r>
          </w:p>
        </w:tc>
        <w:tc>
          <w:tcPr>
            <w:tcW w:w="2920" w:type="dxa"/>
            <w:vAlign w:val="bottom"/>
          </w:tcPr>
          <w:p>
            <w:pPr>
              <w:spacing w:after="0"/>
              <w:rPr>
                <w:sz w:val="16"/>
                <w:szCs w:val="16"/>
                <w:color w:val="auto"/>
              </w:rPr>
            </w:pPr>
          </w:p>
        </w:tc>
        <w:tc>
          <w:tcPr>
            <w:tcW w:w="220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Identification No.)</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561"/>
        </w:trPr>
        <w:tc>
          <w:tcPr>
            <w:tcW w:w="398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0"/>
              </w:rPr>
              <w:t>3355 Michelson Drive, Suite 100</w:t>
            </w:r>
          </w:p>
        </w:tc>
        <w:tc>
          <w:tcPr>
            <w:tcW w:w="2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4"/>
        </w:trPr>
        <w:tc>
          <w:tcPr>
            <w:tcW w:w="398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4"/>
              </w:rPr>
              <w:t>Irvine, California</w:t>
            </w:r>
          </w:p>
        </w:tc>
        <w:tc>
          <w:tcPr>
            <w:tcW w:w="464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92612</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8"/>
        </w:trPr>
        <w:tc>
          <w:tcPr>
            <w:tcW w:w="398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spacing w:after="0"/>
              <w:rPr>
                <w:sz w:val="18"/>
                <w:szCs w:val="18"/>
                <w:color w:val="auto"/>
              </w:rPr>
            </w:pPr>
          </w:p>
        </w:tc>
        <w:tc>
          <w:tcPr>
            <w:tcW w:w="1720" w:type="dxa"/>
            <w:vAlign w:val="bottom"/>
          </w:tcPr>
          <w:p>
            <w:pPr>
              <w:jc w:val="center"/>
              <w:ind w:left="902"/>
              <w:spacing w:after="0"/>
              <w:rPr>
                <w:sz w:val="20"/>
                <w:szCs w:val="20"/>
                <w:color w:val="auto"/>
              </w:rPr>
            </w:pPr>
            <w:r>
              <w:rPr>
                <w:rFonts w:ascii="Arial" w:cs="Arial" w:eastAsia="Arial" w:hAnsi="Arial"/>
                <w:sz w:val="14"/>
                <w:szCs w:val="14"/>
                <w:b w:val="1"/>
                <w:bCs w:val="1"/>
                <w:color w:val="auto"/>
                <w:w w:val="95"/>
              </w:rPr>
              <w:t>(Zip Code)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90"/>
        </w:trPr>
        <w:tc>
          <w:tcPr>
            <w:tcW w:w="1840" w:type="dxa"/>
            <w:vAlign w:val="bottom"/>
          </w:tcPr>
          <w:p>
            <w:pPr>
              <w:spacing w:after="0"/>
              <w:rPr>
                <w:sz w:val="24"/>
                <w:szCs w:val="24"/>
                <w:color w:val="auto"/>
              </w:rPr>
            </w:pPr>
          </w:p>
        </w:tc>
        <w:tc>
          <w:tcPr>
            <w:tcW w:w="6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(949) 672-7000</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00" w:type="dxa"/>
            <w:vAlign w:val="bottom"/>
            <w:gridSpan w:val="3"/>
          </w:tcPr>
          <w:p>
            <w:pPr>
              <w:jc w:val="center"/>
              <w:ind w:right="902"/>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18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3980" w:type="dxa"/>
            <w:vAlign w:val="bottom"/>
            <w:gridSpan w:val="3"/>
          </w:tcPr>
          <w:p>
            <w:pPr>
              <w:jc w:val="center"/>
              <w:ind w:left="677"/>
              <w:spacing w:after="0"/>
              <w:rPr>
                <w:sz w:val="20"/>
                <w:szCs w:val="20"/>
                <w:color w:val="auto"/>
              </w:rPr>
            </w:pPr>
            <w:r>
              <w:rPr>
                <w:rFonts w:ascii="Arial" w:cs="Arial" w:eastAsia="Arial" w:hAnsi="Arial"/>
                <w:sz w:val="18"/>
                <w:szCs w:val="18"/>
                <w:color w:val="auto"/>
                <w:w w:val="89"/>
              </w:rPr>
              <w:t>Common Stock, $.01 Par Value Per Share</w:t>
            </w:r>
          </w:p>
        </w:tc>
        <w:tc>
          <w:tcPr>
            <w:tcW w:w="2920" w:type="dxa"/>
            <w:vAlign w:val="bottom"/>
          </w:tcPr>
          <w:p>
            <w:pPr>
              <w:spacing w:after="0"/>
              <w:rPr>
                <w:sz w:val="22"/>
                <w:szCs w:val="22"/>
                <w:color w:val="auto"/>
              </w:rPr>
            </w:pPr>
          </w:p>
        </w:tc>
        <w:tc>
          <w:tcPr>
            <w:tcW w:w="2980" w:type="dxa"/>
            <w:vAlign w:val="bottom"/>
            <w:gridSpan w:val="5"/>
          </w:tcPr>
          <w:p>
            <w:pPr>
              <w:jc w:val="center"/>
              <w:ind w:right="300"/>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580" w:type="dxa"/>
            <w:vAlign w:val="bottom"/>
            <w:gridSpan w:val="3"/>
          </w:tcPr>
          <w:p>
            <w:pPr>
              <w:jc w:val="center"/>
              <w:ind w:left="42"/>
              <w:spacing w:after="0"/>
              <w:rPr>
                <w:sz w:val="20"/>
                <w:szCs w:val="20"/>
                <w:color w:val="auto"/>
              </w:rPr>
            </w:pPr>
            <w:r>
              <w:rPr>
                <w:rFonts w:ascii="Arial" w:cs="Arial" w:eastAsia="Arial" w:hAnsi="Arial"/>
                <w:sz w:val="18"/>
                <w:szCs w:val="18"/>
                <w:color w:val="auto"/>
                <w:w w:val="94"/>
              </w:rPr>
              <w:t>(NASDAQ Global Select Market)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87"/>
        </w:trPr>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00" w:type="dxa"/>
            <w:vAlign w:val="bottom"/>
            <w:gridSpan w:val="3"/>
          </w:tcPr>
          <w:p>
            <w:pPr>
              <w:jc w:val="center"/>
              <w:ind w:right="902"/>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0"/>
        </w:trPr>
        <w:tc>
          <w:tcPr>
            <w:tcW w:w="1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40" w:type="dxa"/>
            <w:vAlign w:val="bottom"/>
            <w:gridSpan w:val="2"/>
          </w:tcPr>
          <w:p>
            <w:pPr>
              <w:jc w:val="center"/>
              <w:ind w:right="1962"/>
              <w:spacing w:after="0"/>
              <w:rPr>
                <w:sz w:val="20"/>
                <w:szCs w:val="20"/>
                <w:color w:val="auto"/>
              </w:rPr>
            </w:pPr>
            <w:r>
              <w:rPr>
                <w:rFonts w:ascii="Arial" w:cs="Arial" w:eastAsia="Arial" w:hAnsi="Arial"/>
                <w:sz w:val="18"/>
                <w:szCs w:val="18"/>
                <w:b w:val="1"/>
                <w:bCs w:val="1"/>
                <w:color w:val="auto"/>
                <w:w w:val="88"/>
              </w:rPr>
              <w:t>None</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tcPr>
          <w:p>
            <w:pPr>
              <w:jc w:val="center"/>
              <w:ind w:right="250"/>
              <w:spacing w:after="0"/>
              <w:rPr>
                <w:sz w:val="20"/>
                <w:szCs w:val="20"/>
                <w:color w:val="auto"/>
              </w:rPr>
            </w:pPr>
            <w:r>
              <w:rPr>
                <w:rFonts w:ascii="Arial" w:cs="Arial" w:eastAsia="Arial" w:hAnsi="Arial"/>
                <w:sz w:val="18"/>
                <w:szCs w:val="18"/>
                <w:color w:val="auto"/>
                <w:w w:val="89"/>
              </w:rPr>
              <w:t>__________________________</w:t>
            </w: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9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380" w:type="dxa"/>
            <w:vAlign w:val="bottom"/>
          </w:tcPr>
          <w:p>
            <w:pPr>
              <w:ind w:left="140"/>
              <w:spacing w:after="0"/>
              <w:rPr>
                <w:sz w:val="20"/>
                <w:szCs w:val="20"/>
                <w:color w:val="auto"/>
              </w:rPr>
            </w:pPr>
            <w:r>
              <w:rPr>
                <w:rFonts w:ascii="Arial" w:cs="Arial" w:eastAsia="Arial" w:hAnsi="Arial"/>
                <w:sz w:val="18"/>
                <w:szCs w:val="18"/>
                <w:color w:val="auto"/>
                <w:w w:val="95"/>
              </w:rPr>
              <w:t>No</w:t>
            </w:r>
          </w:p>
        </w:tc>
        <w:tc>
          <w:tcPr>
            <w:tcW w:w="40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No x</w:t>
            </w:r>
          </w:p>
        </w:tc>
      </w:tr>
    </w:tbl>
    <w:p>
      <w:pPr>
        <w:spacing w:after="0" w:line="12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8"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43" w:gutter="0" w:footer="0" w:header="0"/>
        </w:sectPr>
      </w:pPr>
    </w:p>
    <w:bookmarkStart w:id="1" w:name="page2"/>
    <w:bookmarkEnd w:id="1"/>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12" w:lineRule="exact"/>
        <w:rPr>
          <w:sz w:val="20"/>
          <w:szCs w:val="20"/>
          <w:color w:val="auto"/>
        </w:rPr>
      </w:pPr>
    </w:p>
    <w:p>
      <w:pPr>
        <w:sectPr>
          <w:pgSz w:w="11900" w:h="16838" w:orient="portrait"/>
          <w:cols w:equalWidth="0" w:num="4">
            <w:col w:w="1740" w:space="720"/>
            <w:col w:w="5440" w:space="720"/>
            <w:col w:w="1760" w:space="720"/>
            <w:col w:w="280"/>
          </w:cols>
          <w:pgMar w:left="240" w:top="91" w:right="279" w:bottom="1440" w:gutter="0" w:footer="0" w:header="0"/>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0"/>
          <w:szCs w:val="20"/>
          <w:color w:val="auto"/>
        </w:rPr>
      </w:pPr>
    </w:p>
    <w:p>
      <w:pPr>
        <w:sectPr>
          <w:pgSz w:w="11900" w:h="16838" w:orient="portrait"/>
          <w:cols w:equalWidth="0" w:num="5">
            <w:col w:w="1740" w:space="720"/>
            <w:col w:w="160" w:space="80"/>
            <w:col w:w="5200" w:space="720"/>
            <w:col w:w="1960" w:space="520"/>
            <w:col w:w="280"/>
          </w:cols>
          <w:pgMar w:left="240" w:top="91" w:right="27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0"/>
          <w:szCs w:val="20"/>
          <w:color w:val="auto"/>
        </w:rPr>
      </w:pPr>
    </w:p>
    <w:p>
      <w:pPr>
        <w:sectPr>
          <w:pgSz w:w="11900" w:h="16838" w:orient="portrait"/>
          <w:cols w:equalWidth="0" w:num="4">
            <w:col w:w="7860" w:space="180"/>
            <w:col w:w="260" w:space="80"/>
            <w:col w:w="160" w:space="180"/>
            <w:col w:w="2660"/>
          </w:cols>
          <w:pgMar w:left="240" w:top="91" w:right="279" w:bottom="1440" w:gutter="0" w:footer="0" w:header="0"/>
          <w:type w:val="continuous"/>
        </w:sectPr>
      </w:pPr>
    </w:p>
    <w:p>
      <w:pPr>
        <w:ind w:firstLine="432"/>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January 2, 2015, the last business day of the registrant’s most recently completed second fiscal quarter, was approximately $23 billion, based on the closing sale price as reported on the NASDAQ Global Select Market.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close of business on August 13, 2015, 230,402,975 shares of common stock, par value $.01 per share, were outstanding.</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Part III incorporates by reference certain information from the registrant’s definitive proxy statement (the “Proxy Statement”) for the 2015 Annual Meeting of Stockholders, which will be filed with the Securities and Exchange Commission within 120 days after the end of the 2015 fiscal year. Except with respect to information specifically incorporated by reference in this Form 10-K, the Proxy Statement is not deemed to be filed as part hereof.</w:t>
      </w:r>
    </w:p>
    <w:p>
      <w:pPr>
        <w:sectPr>
          <w:pgSz w:w="11900" w:h="16838" w:orient="portrait"/>
          <w:cols w:equalWidth="0" w:num="1">
            <w:col w:w="11380"/>
          </w:cols>
          <w:pgMar w:left="240" w:top="91" w:right="2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gridSpan w:val="14"/>
          </w:tcPr>
          <w:p>
            <w:pPr>
              <w:jc w:val="center"/>
              <w:ind w:right="2360"/>
              <w:spacing w:after="0"/>
              <w:rPr>
                <w:sz w:val="20"/>
                <w:szCs w:val="20"/>
                <w:color w:val="auto"/>
              </w:rPr>
            </w:pPr>
            <w:r>
              <w:rPr>
                <w:rFonts w:ascii="Arial" w:cs="Arial" w:eastAsia="Arial" w:hAnsi="Arial"/>
                <w:sz w:val="18"/>
                <w:szCs w:val="18"/>
                <w:b w:val="1"/>
                <w:bCs w:val="1"/>
                <w:color w:val="auto"/>
              </w:rPr>
              <w:t>WESTERN DIGITAL CORPORATION</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0"/>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40" w:type="dxa"/>
            <w:vAlign w:val="bottom"/>
            <w:gridSpan w:val="16"/>
          </w:tcPr>
          <w:p>
            <w:pPr>
              <w:jc w:val="center"/>
              <w:ind w:right="2000"/>
              <w:spacing w:after="0"/>
              <w:rPr>
                <w:sz w:val="20"/>
                <w:szCs w:val="20"/>
                <w:color w:val="auto"/>
              </w:rPr>
            </w:pPr>
            <w:r>
              <w:rPr>
                <w:rFonts w:ascii="Arial" w:cs="Arial" w:eastAsia="Arial" w:hAnsi="Arial"/>
                <w:sz w:val="18"/>
                <w:szCs w:val="18"/>
                <w:b w:val="1"/>
                <w:bCs w:val="1"/>
                <w:color w:val="auto"/>
              </w:rPr>
              <w:t>INDEX TO ANNUAL REPORT ON FORM 10-K</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gridSpan w:val="14"/>
          </w:tcPr>
          <w:p>
            <w:pPr>
              <w:jc w:val="center"/>
              <w:ind w:right="2380"/>
              <w:spacing w:after="0"/>
              <w:rPr>
                <w:sz w:val="20"/>
                <w:szCs w:val="20"/>
                <w:color w:val="auto"/>
              </w:rPr>
            </w:pPr>
            <w:r>
              <w:rPr>
                <w:rFonts w:ascii="Arial" w:cs="Arial" w:eastAsia="Arial" w:hAnsi="Arial"/>
                <w:sz w:val="18"/>
                <w:szCs w:val="18"/>
                <w:b w:val="1"/>
                <w:bCs w:val="1"/>
                <w:color w:val="auto"/>
                <w:w w:val="91"/>
              </w:rPr>
              <w:t>For the Fiscal Year Ended July 3, 2015</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40" w:type="dxa"/>
            <w:vAlign w:val="bottom"/>
            <w:gridSpan w:val="10"/>
          </w:tcPr>
          <w:p>
            <w:pPr>
              <w:jc w:val="center"/>
              <w:ind w:right="416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Item 1. Business</w:t>
              </w:r>
            </w:hyperlink>
          </w:p>
        </w:tc>
        <w:tc>
          <w:tcPr>
            <w:tcW w:w="3900" w:type="dxa"/>
            <w:vAlign w:val="bottom"/>
            <w:gridSpan w:val="15"/>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160" w:type="dxa"/>
            <w:vAlign w:val="bottom"/>
            <w:gridSpan w:val="9"/>
          </w:tcPr>
          <w:p>
            <w:pPr>
              <w:spacing w:after="0"/>
              <w:rPr>
                <w:sz w:val="21"/>
                <w:szCs w:val="21"/>
                <w:color w:val="auto"/>
              </w:rPr>
            </w:pPr>
          </w:p>
        </w:tc>
        <w:tc>
          <w:tcPr>
            <w:tcW w:w="1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372"/>
        </w:trPr>
        <w:tc>
          <w:tcPr>
            <w:tcW w:w="9840" w:type="dxa"/>
            <w:vAlign w:val="bottom"/>
            <w:gridSpan w:val="2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1A. Risk Factors</w:t>
              </w:r>
            </w:hyperlink>
          </w:p>
        </w:tc>
        <w:tc>
          <w:tcPr>
            <w:tcW w:w="15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720" w:type="dxa"/>
            <w:vAlign w:val="bottom"/>
            <w:gridSpan w:val="1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1B. Unresolved Staff Comments</w:t>
              </w:r>
            </w:hyperlink>
          </w:p>
        </w:tc>
        <w:tc>
          <w:tcPr>
            <w:tcW w:w="7120" w:type="dxa"/>
            <w:vAlign w:val="bottom"/>
            <w:gridSpan w:val="17"/>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280" w:type="dxa"/>
            <w:vAlign w:val="bottom"/>
            <w:gridSpan w:val="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2. Properties</w:t>
              </w:r>
            </w:hyperlink>
          </w:p>
        </w:tc>
        <w:tc>
          <w:tcPr>
            <w:tcW w:w="1440" w:type="dxa"/>
            <w:vAlign w:val="bottom"/>
            <w:gridSpan w:val="7"/>
          </w:tcPr>
          <w:p>
            <w:pPr>
              <w:spacing w:after="0"/>
              <w:rPr>
                <w:sz w:val="24"/>
                <w:szCs w:val="24"/>
                <w:color w:val="auto"/>
              </w:rPr>
            </w:pPr>
          </w:p>
        </w:tc>
        <w:tc>
          <w:tcPr>
            <w:tcW w:w="7120" w:type="dxa"/>
            <w:vAlign w:val="bottom"/>
            <w:gridSpan w:val="17"/>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9840" w:type="dxa"/>
            <w:vAlign w:val="bottom"/>
            <w:gridSpan w:val="2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 Legal Proceedings</w:t>
              </w:r>
            </w:hyperlink>
          </w:p>
        </w:tc>
        <w:tc>
          <w:tcPr>
            <w:tcW w:w="1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984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 Mine Safety Disclosures</w:t>
              </w:r>
            </w:hyperlink>
          </w:p>
        </w:tc>
        <w:tc>
          <w:tcPr>
            <w:tcW w:w="1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37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412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8720" w:type="dxa"/>
            <w:vAlign w:val="bottom"/>
            <w:gridSpan w:val="26"/>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5. Market for Registrant’s Common Equity, Related Stockholder Matters, and Issuer Purchases of Equity Securities</w:t>
              </w:r>
            </w:hyperlink>
          </w:p>
        </w:tc>
        <w:tc>
          <w:tcPr>
            <w:tcW w:w="1120" w:type="dxa"/>
            <w:vAlign w:val="bottom"/>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260" w:type="dxa"/>
            <w:vAlign w:val="bottom"/>
            <w:gridSpan w:val="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6. Selected Financial Data</w:t>
              </w:r>
            </w:hyperlink>
          </w:p>
        </w:tc>
        <w:tc>
          <w:tcPr>
            <w:tcW w:w="6460" w:type="dxa"/>
            <w:vAlign w:val="bottom"/>
            <w:gridSpan w:val="19"/>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9840" w:type="dxa"/>
            <w:vAlign w:val="bottom"/>
            <w:gridSpan w:val="2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7. Management’s Discussion and Analysis of Financial Condition and Results of Operations</w:t>
              </w:r>
            </w:hyperlink>
          </w:p>
        </w:tc>
        <w:tc>
          <w:tcPr>
            <w:tcW w:w="15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5060" w:type="dxa"/>
            <w:vAlign w:val="bottom"/>
            <w:gridSpan w:val="16"/>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7A. Quantitative and Qualitative Disclosures About Market Risk</w:t>
              </w:r>
            </w:hyperlink>
          </w:p>
        </w:tc>
        <w:tc>
          <w:tcPr>
            <w:tcW w:w="1940" w:type="dxa"/>
            <w:vAlign w:val="bottom"/>
            <w:gridSpan w:val="7"/>
          </w:tcPr>
          <w:p>
            <w:pPr>
              <w:spacing w:after="0"/>
              <w:rPr>
                <w:sz w:val="24"/>
                <w:szCs w:val="24"/>
                <w:color w:val="auto"/>
              </w:rPr>
            </w:pPr>
          </w:p>
        </w:tc>
        <w:tc>
          <w:tcPr>
            <w:tcW w:w="2840" w:type="dxa"/>
            <w:vAlign w:val="bottom"/>
            <w:gridSpan w:val="4"/>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880" w:type="dxa"/>
            <w:vAlign w:val="bottom"/>
            <w:gridSpan w:val="13"/>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Item 8. Financial Statements and Supplementary Data</w:t>
              </w:r>
            </w:hyperlink>
          </w:p>
        </w:tc>
        <w:tc>
          <w:tcPr>
            <w:tcW w:w="1180" w:type="dxa"/>
            <w:vAlign w:val="bottom"/>
            <w:gridSpan w:val="3"/>
          </w:tcPr>
          <w:p>
            <w:pPr>
              <w:spacing w:after="0"/>
              <w:rPr>
                <w:sz w:val="24"/>
                <w:szCs w:val="24"/>
                <w:color w:val="auto"/>
              </w:rPr>
            </w:pPr>
          </w:p>
        </w:tc>
        <w:tc>
          <w:tcPr>
            <w:tcW w:w="4780" w:type="dxa"/>
            <w:vAlign w:val="bottom"/>
            <w:gridSpan w:val="11"/>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9840" w:type="dxa"/>
            <w:vAlign w:val="bottom"/>
            <w:gridSpan w:val="2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9. Changes in and Disagreements with Accountants on Accounting and Financial Disclosure</w:t>
              </w:r>
            </w:hyperlink>
          </w:p>
        </w:tc>
        <w:tc>
          <w:tcPr>
            <w:tcW w:w="152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440" w:type="dxa"/>
            <w:vAlign w:val="bottom"/>
            <w:gridSpan w:val="9"/>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Item 9A. Controls and Procedures</w:t>
              </w:r>
            </w:hyperlink>
          </w:p>
        </w:tc>
        <w:tc>
          <w:tcPr>
            <w:tcW w:w="4580" w:type="dxa"/>
            <w:vAlign w:val="bottom"/>
            <w:gridSpan w:val="15"/>
          </w:tcPr>
          <w:p>
            <w:pPr>
              <w:spacing w:after="0"/>
              <w:rPr>
                <w:sz w:val="24"/>
                <w:szCs w:val="24"/>
                <w:color w:val="auto"/>
              </w:rPr>
            </w:pPr>
          </w:p>
        </w:tc>
        <w:tc>
          <w:tcPr>
            <w:tcW w:w="2820" w:type="dxa"/>
            <w:vAlign w:val="bottom"/>
            <w:gridSpan w:val="3"/>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440" w:type="dxa"/>
            <w:vAlign w:val="bottom"/>
            <w:gridSpan w:val="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9B. Other Information</w:t>
              </w:r>
            </w:hyperlink>
          </w:p>
        </w:tc>
        <w:tc>
          <w:tcPr>
            <w:tcW w:w="7400" w:type="dxa"/>
            <w:vAlign w:val="bottom"/>
            <w:gridSpan w:val="18"/>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r>
      <w:tr>
        <w:trPr>
          <w:trHeight w:val="37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408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740" w:type="dxa"/>
            <w:vAlign w:val="bottom"/>
            <w:gridSpan w:val="14"/>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Item 10. Directors, Executive Officers and Corporate Governance</w:t>
              </w:r>
            </w:hyperlink>
          </w:p>
        </w:tc>
        <w:tc>
          <w:tcPr>
            <w:tcW w:w="5100" w:type="dxa"/>
            <w:vAlign w:val="bottom"/>
            <w:gridSpan w:val="13"/>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440" w:type="dxa"/>
            <w:vAlign w:val="bottom"/>
            <w:gridSpan w:val="9"/>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11. Executive Compensation</w:t>
              </w:r>
            </w:hyperlink>
          </w:p>
        </w:tc>
        <w:tc>
          <w:tcPr>
            <w:tcW w:w="2300" w:type="dxa"/>
            <w:vAlign w:val="bottom"/>
            <w:gridSpan w:val="5"/>
          </w:tcPr>
          <w:p>
            <w:pPr>
              <w:spacing w:after="0"/>
              <w:rPr>
                <w:sz w:val="24"/>
                <w:szCs w:val="24"/>
                <w:color w:val="auto"/>
              </w:rPr>
            </w:pPr>
          </w:p>
        </w:tc>
        <w:tc>
          <w:tcPr>
            <w:tcW w:w="5100" w:type="dxa"/>
            <w:vAlign w:val="bottom"/>
            <w:gridSpan w:val="13"/>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7940" w:type="dxa"/>
            <w:vAlign w:val="bottom"/>
            <w:gridSpan w:val="25"/>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Item 12. Security Ownership of Certain Beneficial Owners and Management and Related Stockholder Matters</w:t>
              </w:r>
            </w:hyperlink>
          </w:p>
        </w:tc>
        <w:tc>
          <w:tcPr>
            <w:tcW w:w="1900" w:type="dxa"/>
            <w:vAlign w:val="bottom"/>
            <w:gridSpan w:val="2"/>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6100" w:type="dxa"/>
            <w:vAlign w:val="bottom"/>
            <w:gridSpan w:val="22"/>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13. Certain Relationships and Related Transactions, and Director Independence</w:t>
              </w:r>
            </w:hyperlink>
          </w:p>
        </w:tc>
        <w:tc>
          <w:tcPr>
            <w:tcW w:w="1840" w:type="dxa"/>
            <w:vAlign w:val="bottom"/>
            <w:gridSpan w:val="3"/>
          </w:tcPr>
          <w:p>
            <w:pPr>
              <w:spacing w:after="0"/>
              <w:rPr>
                <w:sz w:val="24"/>
                <w:szCs w:val="24"/>
                <w:color w:val="auto"/>
              </w:rPr>
            </w:pPr>
          </w:p>
        </w:tc>
        <w:tc>
          <w:tcPr>
            <w:tcW w:w="1900" w:type="dxa"/>
            <w:vAlign w:val="bottom"/>
            <w:gridSpan w:val="2"/>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6100" w:type="dxa"/>
            <w:vAlign w:val="bottom"/>
            <w:gridSpan w:val="2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14. Principal Accountant Fees and Services</w:t>
              </w:r>
            </w:hyperlink>
          </w:p>
        </w:tc>
        <w:tc>
          <w:tcPr>
            <w:tcW w:w="3740" w:type="dxa"/>
            <w:vAlign w:val="bottom"/>
            <w:gridSpan w:val="5"/>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372"/>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11"/>
          </w:tcPr>
          <w:p>
            <w:pPr>
              <w:jc w:val="center"/>
              <w:ind w:right="4100"/>
              <w:spacing w:after="0"/>
              <w:rPr>
                <w:rFonts w:ascii="Arial" w:cs="Arial" w:eastAsia="Arial" w:hAnsi="Arial"/>
                <w:sz w:val="18"/>
                <w:szCs w:val="18"/>
                <w:b w:val="1"/>
                <w:bCs w:val="1"/>
                <w:color w:val="0000EE"/>
                <w:w w:val="95"/>
              </w:rPr>
            </w:pPr>
            <w:hyperlink w:anchor="page92">
              <w:r>
                <w:rPr>
                  <w:rFonts w:ascii="Arial" w:cs="Arial" w:eastAsia="Arial" w:hAnsi="Arial"/>
                  <w:sz w:val="18"/>
                  <w:szCs w:val="18"/>
                  <w:b w:val="1"/>
                  <w:bCs w:val="1"/>
                  <w:color w:val="0000EE"/>
                  <w:w w:val="95"/>
                </w:rPr>
                <w:t>PART IV</w:t>
              </w:r>
            </w:hyperlink>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3800" w:type="dxa"/>
            <w:vAlign w:val="bottom"/>
            <w:gridSpan w:val="12"/>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15. Exhibits and Financial Statement Schedules</w:t>
              </w:r>
            </w:hyperlink>
          </w:p>
        </w:tc>
        <w:tc>
          <w:tcPr>
            <w:tcW w:w="1260" w:type="dxa"/>
            <w:vAlign w:val="bottom"/>
            <w:gridSpan w:val="4"/>
          </w:tcPr>
          <w:p>
            <w:pPr>
              <w:spacing w:after="0"/>
              <w:rPr>
                <w:sz w:val="21"/>
                <w:szCs w:val="21"/>
                <w:color w:val="auto"/>
              </w:rPr>
            </w:pPr>
          </w:p>
        </w:tc>
        <w:tc>
          <w:tcPr>
            <w:tcW w:w="680" w:type="dxa"/>
            <w:vAlign w:val="bottom"/>
            <w:tcBorders>
              <w:top w:val="single" w:sz="8" w:color="0000EE"/>
            </w:tcBorders>
            <w:gridSpan w:val="4"/>
          </w:tcPr>
          <w:p>
            <w:pPr>
              <w:spacing w:after="0"/>
              <w:rPr>
                <w:sz w:val="21"/>
                <w:szCs w:val="21"/>
                <w:color w:val="auto"/>
              </w:rPr>
            </w:pPr>
          </w:p>
        </w:tc>
        <w:tc>
          <w:tcPr>
            <w:tcW w:w="4100" w:type="dxa"/>
            <w:vAlign w:val="bottom"/>
            <w:gridSpan w:val="7"/>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shd w:val="clear" w:color="auto" w:fill="0000EE"/>
          </w:tcPr>
          <w:p>
            <w:pPr>
              <w:spacing w:after="0" w:line="20" w:lineRule="exact"/>
              <w:rPr>
                <w:sz w:val="1"/>
                <w:szCs w:val="1"/>
                <w:color w:val="auto"/>
              </w:rPr>
            </w:pPr>
          </w:p>
        </w:tc>
        <w:tc>
          <w:tcPr>
            <w:tcW w:w="6040" w:type="dxa"/>
            <w:vAlign w:val="bottom"/>
            <w:gridSpan w:val="15"/>
          </w:tcPr>
          <w:p>
            <w:pPr>
              <w:spacing w:after="0" w:line="20" w:lineRule="exact"/>
              <w:rPr>
                <w:sz w:val="1"/>
                <w:szCs w:val="1"/>
                <w:color w:val="auto"/>
              </w:rPr>
            </w:pPr>
          </w:p>
        </w:tc>
        <w:tc>
          <w:tcPr>
            <w:tcW w:w="14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EE"/>
                <w:w w:val="85"/>
              </w:rPr>
            </w:pPr>
            <w:hyperlink w:anchor="page94">
              <w:r>
                <w:rPr>
                  <w:rFonts w:ascii="Arial" w:cs="Arial" w:eastAsia="Arial" w:hAnsi="Arial"/>
                  <w:sz w:val="18"/>
                  <w:szCs w:val="18"/>
                  <w:color w:val="0000EE"/>
                  <w:w w:val="85"/>
                </w:rPr>
                <w:t>Signatures</w:t>
              </w:r>
            </w:hyperlink>
          </w:p>
        </w:tc>
        <w:tc>
          <w:tcPr>
            <w:tcW w:w="3040" w:type="dxa"/>
            <w:vAlign w:val="bottom"/>
            <w:gridSpan w:val="11"/>
          </w:tcPr>
          <w:p>
            <w:pPr>
              <w:spacing w:after="0"/>
              <w:rPr>
                <w:sz w:val="24"/>
                <w:szCs w:val="24"/>
                <w:color w:val="auto"/>
              </w:rPr>
            </w:pPr>
          </w:p>
        </w:tc>
        <w:tc>
          <w:tcPr>
            <w:tcW w:w="6040" w:type="dxa"/>
            <w:vAlign w:val="bottom"/>
            <w:gridSpan w:val="15"/>
          </w:tcPr>
          <w:p>
            <w:pPr>
              <w:spacing w:after="0"/>
              <w:rPr>
                <w:sz w:val="24"/>
                <w:szCs w:val="24"/>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ind w:firstLine="729"/>
        <w:spacing w:after="0" w:line="255"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six years, we report a 53-week fiscal year to align our fiscal year with the foregoing policy. Fiscal year 2015, which ended on July 3, 2015, was comprised of 53 weeks, with the first quarter consisting of 14 weeks and the second, third and fourth quarters consisting of 13 weeks each. Fiscal years 2014 and 2013, which ended on June 27, 2014 and June 28, 2013, respectively, were each comprised of 52 weeks. Fiscal year 2016 will be comprised of 52 weeks. 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WDC, a Delaware corporation, is the parent company of our data storage business, which operates under two independent subsidiaries – HGST and WD. Our principal executive offices are located at 3355 Michelson Drive, Suite 100, Irvine, California 92612. Our telephone number is (949) 672-7000 and our website is www.westerndigital.com. The information on our website is not incorporated in this Annual Report on Form 10-K.</w:t>
      </w:r>
    </w:p>
    <w:p>
      <w:pPr>
        <w:sectPr>
          <w:pgSz w:w="11900" w:h="16838" w:orient="portrait"/>
          <w:cols w:equalWidth="0" w:num="1">
            <w:col w:w="11400"/>
          </w:cols>
          <w:pgMar w:left="240" w:top="121"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Western Digital, WD, the WD logo, My Cloud and G-Technology are trademarks of Western Digital Technologies, Inc. and/or its affiliates. All other trademarks mentioned are the property of their respective owners.</w:t>
      </w:r>
    </w:p>
    <w:p>
      <w:pPr>
        <w:spacing w:after="0" w:line="1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121"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ind w:firstLine="729"/>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6" w:lineRule="exact"/>
        <w:rPr>
          <w:sz w:val="20"/>
          <w:szCs w:val="20"/>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concerning the anticipated benefits of our acquisitions;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demand for our products in the various markets and factors contributing to such demand;</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platform;</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position in the industry;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our belief regarding our ability to capitalize on the expansion in, and our expectations regarding the growth and demand of, digital data;</w:t>
      </w:r>
    </w:p>
    <w:p>
      <w:pPr>
        <w:spacing w:after="0" w:line="140" w:lineRule="exact"/>
        <w:rPr>
          <w:rFonts w:ascii="Arial" w:cs="Arial" w:eastAsia="Arial" w:hAnsi="Arial"/>
          <w:sz w:val="16"/>
          <w:szCs w:val="16"/>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continue to develop new products and expand into new storage markets and into emerging economic markets;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balancing of our hard drive business with investments in newer areas;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developing relationships with customers;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emergence of new storage markets for our products;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emergence of competing storage technologies;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quarterly cash dividend policy;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share repurchase plans;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stock price volatility;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 regarding our compliance with environmental laws and regulations;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external and internal supply base;</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 regarding component availability;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117" w:lineRule="exact"/>
        <w:rPr>
          <w:rFonts w:ascii="Arial" w:cs="Arial" w:eastAsia="Arial" w:hAnsi="Arial"/>
          <w:sz w:val="18"/>
          <w:szCs w:val="18"/>
          <w:i w:val="1"/>
          <w:iCs w:val="1"/>
          <w:color w:val="auto"/>
        </w:rPr>
      </w:pPr>
    </w:p>
    <w:p>
      <w:pPr>
        <w:ind w:left="1460" w:right="100" w:hanging="723"/>
        <w:spacing w:after="0" w:line="277" w:lineRule="auto"/>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 and</w:t>
      </w:r>
    </w:p>
    <w:p>
      <w:pPr>
        <w:spacing w:after="0" w:line="62" w:lineRule="exact"/>
        <w:rPr>
          <w:rFonts w:ascii="Arial" w:cs="Arial" w:eastAsia="Arial" w:hAnsi="Arial"/>
          <w:sz w:val="18"/>
          <w:szCs w:val="18"/>
          <w:i w:val="1"/>
          <w:iCs w:val="1"/>
          <w:color w:val="auto"/>
        </w:rPr>
      </w:pPr>
    </w:p>
    <w:p>
      <w:pPr>
        <w:ind w:left="1460" w:right="300" w:hanging="723"/>
        <w:spacing w:after="0" w:line="277" w:lineRule="auto"/>
        <w:tabs>
          <w:tab w:leader="none" w:pos="1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cash and cash equivalents to meet our working capital, capital expenditure and other cash needs.</w:t>
      </w:r>
    </w:p>
    <w:p>
      <w:pPr>
        <w:spacing w:after="0" w:line="170" w:lineRule="exact"/>
        <w:rPr>
          <w:sz w:val="20"/>
          <w:szCs w:val="20"/>
          <w:color w:val="auto"/>
        </w:rPr>
      </w:pPr>
    </w:p>
    <w:p>
      <w:pPr>
        <w:ind w:right="140" w:firstLine="729"/>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10-K, and any of those made in our other reports filed with the Securities and Exchange Commission (the “SEC”).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are a leading developer, manufacturer and provider of data storage solutions that enable consumers, businesses, governments and other organizations to create, manage, experience and preserve digital content. Our product portfolio includes hard disk drives (“HDDs”), solid-state drives ("SSDs"), direct attached storage solutions, personal cloud network attached storage solutions, and public and private cloud data center storage solutions. HDDs are our principal products and are today’s primary storage medium for the vast majority of digital content, with the use of solid-state storage products growing rapidly. Our products are marketed under the HGST, WD and G-Technology brand names.</w:t>
      </w:r>
    </w:p>
    <w:p>
      <w:pPr>
        <w:spacing w:after="0" w:line="173"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believe we are well positioned to capitalize on important long-term growth trends in the rapidly changing storage industry - the ongoing expansion in digital content and the growth in the amount of that content being stored. These trends are linked directly to consumers’ and commercial enterprises’ increasingly ubiquitous experience with data and the increasing value of that data. The confluence of data growth and the ability to expand the extraction of value from data is driving the need for the long-term retention of as much data as possible for legal and regulatory purposes and for potential future refinements in a wide range of fields, including advertising, aerospace, e-commerce, energy, medical, mining, and security surveillance. We believe the ways in which people and organizations are creating and using data are changing and that the amount of data considered useful to store is expanding. Increasingly, more and more digital content is being stored and managed on hard drives and solid state drives in the cloud environment and we believe we are strongly positioned to continue to play a role in this transition.</w:t>
      </w:r>
    </w:p>
    <w:p>
      <w:pPr>
        <w:spacing w:after="0" w:line="17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With a focus on innovation and value creation, our goal is to grow through continued strong execution and with targeted investments in datacenter infrastructure, mobility and the cloud.</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Due to regulatory requirements, we have operated our global business since March 2012 through two independent subsidiaries - HGST and WD, both long-time innovators in the storage industry. In March 2014, we submitted an application to the Ministry of Commerce of the People’s Republic of China (“MOFCOM”) to lift the condition it imposed on our Company to operate these businesses separately. At this time, we are awaiting MOFCOM’s response to our application.</w:t>
      </w:r>
    </w:p>
    <w:p>
      <w:pPr>
        <w:spacing w:after="0" w:line="13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headquarters are located in Irvine, California. WDC was founded in 1970 as a specialized semiconductor manufacturer and since entering the hard drive industry in 1988, its WD subsidiary has been a technology standard-setter in the industry’s highest volume markets. HGST, a provider of high-value storage in enterprise markets, was acquired by WDC in March 2012. HGST was founded in 2003 through the combination of the HDD businesses of International Business Machines Corporation, the inventor of the HDD, and Hitachi, Ltd. (“Hitachi”). As of July 3, 2015, WDC had approximately 9,700 engineers and one of the industry’s largest patent portfolios with more than 7,000 active patents worldwide.</w:t>
      </w:r>
    </w:p>
    <w:p>
      <w:pPr>
        <w:spacing w:after="0" w:line="119"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We have relationships with the full range of customers currently addressing storage opportunities. These include storage subsystem suppliers, major server original equipment manufacturers (“OEMs”), Internet and social media infrastructure players, and personal computer (“PC”) and Mac™ OEMs. We sell our products to OEMs, distributors, resellers, cloud infrastructure players, and consumers. We have a strong consumer brand heritage with our WD and G-Technology branded products businesses.</w:t>
      </w:r>
    </w:p>
    <w:p>
      <w:pPr>
        <w:spacing w:after="0" w:line="13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storage market in which we operate is rapidly changing and evolving. To address these dynamics, we regularly review opportunities to apply our knowledge of data storage technology to markets that we do not currently serve or in markets where we seek to broaden our participation and augment our resources and capabilities. Investments and acquisitions are a key part of our overall strategy to create long-term value within the storage ecosystem. For example, since the beginning of fiscal 2014 we have strengthened our enterprise SSD business with acquisitions of companies such as Virident Systems, Inc. ("Virident"), sTec, Inc. ("sTec") and VeloBit, Inc. ("VeloBit"). In March 2015, we acquired Amplidata, NV ("Amplidata"), a developer of object storage software for public and private cloud data centers, a key building block in a new systems business we have entered called active archive storage that is addressing a new greenfield opportunity in the object storage space. With this strategy, we are assembling the technology building blocks to increase our overall market participation and be a full-line data storage solutions supplier, balancing our core hard drive business with growing investments in newer areas that we believe will provide us with higher growth opportunities. Consistent with our measured and deliberate approach to new market entries in the past, our approach to additional new markets will be based on a careful assessment of the risks, rewards, requirements and profit potential of such actions.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growth and changes in the global ecosystem for digital content storage solutions are being driven by several factors including:</w:t>
      </w:r>
    </w:p>
    <w:p>
      <w:pPr>
        <w:spacing w:after="0" w:line="90" w:lineRule="exact"/>
        <w:rPr>
          <w:sz w:val="20"/>
          <w:szCs w:val="20"/>
          <w:color w:val="auto"/>
        </w:rPr>
      </w:pPr>
    </w:p>
    <w:p>
      <w:pPr>
        <w:ind w:left="900" w:right="420" w:hanging="487"/>
        <w:spacing w:after="0" w:line="33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Proliferation of data</w:t>
      </w:r>
      <w:r>
        <w:rPr>
          <w:rFonts w:ascii="Arial" w:cs="Arial" w:eastAsia="Arial" w:hAnsi="Arial"/>
          <w:sz w:val="16"/>
          <w:szCs w:val="16"/>
          <w:color w:val="auto"/>
        </w:rPr>
        <w:t>. The proliferation of consumer electronics ("CE"), computing devices, social media and cloud-related infrastructure is</w:t>
      </w:r>
      <w:r>
        <w:rPr>
          <w:rFonts w:ascii="Arial" w:cs="Arial" w:eastAsia="Arial" w:hAnsi="Arial"/>
          <w:sz w:val="16"/>
          <w:szCs w:val="16"/>
          <w:i w:val="1"/>
          <w:iCs w:val="1"/>
          <w:color w:val="auto"/>
        </w:rPr>
        <w:t xml:space="preserve"> </w:t>
      </w:r>
      <w:r>
        <w:rPr>
          <w:rFonts w:ascii="Arial" w:cs="Arial" w:eastAsia="Arial" w:hAnsi="Arial"/>
          <w:sz w:val="16"/>
          <w:szCs w:val="16"/>
          <w:color w:val="auto"/>
        </w:rPr>
        <w:t>driving rapid growth in the creation, sharing and retention of high definition video, high resolution images, e-mail and big data files.</w:t>
      </w:r>
    </w:p>
    <w:p>
      <w:pPr>
        <w:spacing w:after="0" w:line="1" w:lineRule="exact"/>
        <w:rPr>
          <w:rFonts w:ascii="Arial" w:cs="Arial" w:eastAsia="Arial" w:hAnsi="Arial"/>
          <w:sz w:val="16"/>
          <w:szCs w:val="16"/>
          <w:color w:val="auto"/>
        </w:rPr>
      </w:pPr>
    </w:p>
    <w:p>
      <w:pPr>
        <w:ind w:left="900" w:hanging="487"/>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Evolution in data access and distribution. </w:t>
      </w:r>
      <w:r>
        <w:rPr>
          <w:rFonts w:ascii="Arial" w:cs="Arial" w:eastAsia="Arial" w:hAnsi="Arial"/>
          <w:sz w:val="18"/>
          <w:szCs w:val="18"/>
          <w:color w:val="auto"/>
        </w:rPr>
        <w:t>Increasing demand for data access and distribution anytime and anywhere, facilitated by rapidly</w:t>
      </w:r>
      <w:r>
        <w:rPr>
          <w:rFonts w:ascii="Arial" w:cs="Arial" w:eastAsia="Arial" w:hAnsi="Arial"/>
          <w:sz w:val="18"/>
          <w:szCs w:val="18"/>
          <w:i w:val="1"/>
          <w:iCs w:val="1"/>
          <w:color w:val="auto"/>
        </w:rPr>
        <w:t xml:space="preserve"> </w:t>
      </w:r>
      <w:r>
        <w:rPr>
          <w:rFonts w:ascii="Arial" w:cs="Arial" w:eastAsia="Arial" w:hAnsi="Arial"/>
          <w:sz w:val="18"/>
          <w:szCs w:val="18"/>
          <w:color w:val="auto"/>
        </w:rPr>
        <w:t>improving network accessibility, big data analytics and higher bandwidth, is powering a dramatic increase in the need for data storage at both the local level and at the off-site, network-accessed or “cloud” levels.</w:t>
      </w:r>
    </w:p>
    <w:p>
      <w:pPr>
        <w:spacing w:after="0" w:line="46" w:lineRule="exact"/>
        <w:rPr>
          <w:rFonts w:ascii="Arial" w:cs="Arial" w:eastAsia="Arial" w:hAnsi="Arial"/>
          <w:sz w:val="18"/>
          <w:szCs w:val="18"/>
          <w:color w:val="auto"/>
        </w:rPr>
      </w:pPr>
    </w:p>
    <w:p>
      <w:pPr>
        <w:ind w:left="900" w:right="460" w:hanging="487"/>
        <w:spacing w:after="0" w:line="33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Advancements in storage devices</w:t>
      </w:r>
      <w:r>
        <w:rPr>
          <w:rFonts w:ascii="Arial" w:cs="Arial" w:eastAsia="Arial" w:hAnsi="Arial"/>
          <w:sz w:val="16"/>
          <w:szCs w:val="16"/>
          <w:color w:val="auto"/>
        </w:rPr>
        <w:t>. Technological improvements in the capacity, size, performance, connectivity and power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devices continue to meet the demand for higher density and higher performance storage in increasingly diverse applications.</w:t>
      </w:r>
    </w:p>
    <w:p>
      <w:pPr>
        <w:spacing w:after="0" w:line="1" w:lineRule="exact"/>
        <w:rPr>
          <w:rFonts w:ascii="Arial" w:cs="Arial" w:eastAsia="Arial" w:hAnsi="Arial"/>
          <w:sz w:val="16"/>
          <w:szCs w:val="16"/>
          <w:color w:val="auto"/>
        </w:rPr>
      </w:pPr>
    </w:p>
    <w:p>
      <w:pPr>
        <w:ind w:left="900" w:hanging="48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Growth in consumers’ use </w:t>
      </w:r>
      <w:r>
        <w:rPr>
          <w:rFonts w:ascii="Arial" w:cs="Arial" w:eastAsia="Arial" w:hAnsi="Arial"/>
          <w:sz w:val="18"/>
          <w:szCs w:val="18"/>
          <w:color w:val="auto"/>
        </w:rPr>
        <w:t>of mobile computing and storage and use of digital content in the home and small office.</w:t>
      </w:r>
    </w:p>
    <w:p>
      <w:pPr>
        <w:spacing w:after="0" w:line="90" w:lineRule="exact"/>
        <w:rPr>
          <w:rFonts w:ascii="Arial" w:cs="Arial" w:eastAsia="Arial" w:hAnsi="Arial"/>
          <w:sz w:val="18"/>
          <w:szCs w:val="18"/>
          <w:color w:val="auto"/>
        </w:rPr>
      </w:pPr>
    </w:p>
    <w:p>
      <w:pPr>
        <w:ind w:left="900" w:right="140" w:hanging="487"/>
        <w:spacing w:after="0" w:line="27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Adoption of tiered storage architectures</w:t>
      </w:r>
      <w:r>
        <w:rPr>
          <w:rFonts w:ascii="Arial" w:cs="Arial" w:eastAsia="Arial" w:hAnsi="Arial"/>
          <w:sz w:val="17"/>
          <w:szCs w:val="17"/>
          <w:color w:val="auto"/>
        </w:rPr>
        <w:t>. With the significant increase in data storage demand, enterprises and cloud infrastructure players have</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tiered storage architectures to improve storage performance and manage the costs of this growth as they cope with increasingly large, growing pools of digital content. Tiered storage architectures optimize data storage to the most appropriate storage device, driving increasing demand for high capacity and high performance HDDs and flash-based solid-state storage.</w:t>
      </w:r>
    </w:p>
    <w:p>
      <w:pPr>
        <w:spacing w:after="0" w:line="36" w:lineRule="exact"/>
        <w:rPr>
          <w:rFonts w:ascii="Arial" w:cs="Arial" w:eastAsia="Arial" w:hAnsi="Arial"/>
          <w:sz w:val="17"/>
          <w:szCs w:val="17"/>
          <w:color w:val="auto"/>
        </w:rPr>
      </w:pPr>
    </w:p>
    <w:p>
      <w:pPr>
        <w:ind w:left="900" w:hanging="48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The development of advanced storage solutions </w:t>
      </w:r>
      <w:r>
        <w:rPr>
          <w:rFonts w:ascii="Arial" w:cs="Arial" w:eastAsia="Arial" w:hAnsi="Arial"/>
          <w:sz w:val="18"/>
          <w:szCs w:val="18"/>
          <w:color w:val="auto"/>
        </w:rPr>
        <w:t>that bypass tiered architectures while delivering the same benefits.</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a market and customer driven company, focused on growth, innovation and value creation for our customers, employees and shareholders. We develop deep and collaborative relationships with customers aimed at making them more successful, an approach that is being manifested in our role as a trusted advisor and market maker in our served markets. We believe this approach is one of the key factors that will help us continue to achieve strong financial performance over the long term. We believe our platform is broad-based and powerful, with growth drivers and unique competitive advantages that will continue to provide us the opportunity to expand our value-creation model within an evolving, changing and growing storage ecosystem.</w:t>
      </w:r>
    </w:p>
    <w:p>
      <w:pPr>
        <w:spacing w:after="0" w:line="2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ability to store large amounts of data is an ongoing enabler of the large amount of digital content being created and utilized. We believe the growth in the number of computing users and connected mobile devices in the world continues unabated, creating more usage and more digital content to be stored. Cloud computing applications are especially noteworthy given that they create multiple copies of photos, videos and other content to ensure efficient distribution and security. We believe that petabytes shipped in the HDD industry were up 14% in fiscal 2015 from fiscal 2014, reflecting primarily the strength in demand for storage in enterprise cloud applications. In addition, we believe revenue in the SSD industry was up 24% in fiscal 2015 from fiscal 2014, reflecting strength in SSD enterprise markets.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Enterprise</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Enterprise storage devices consist of performance and capacity HDDs and SSDs. These devices are used in multiple types of enterprise datacenters that provide storage for a range of cloud and corporate applications. Within datacenters, these drives are typically used in servers and storage systems. There are also newer enterprise systems level products that address a category of data storage previously deemed inaccessible and too costly to access. We recently began shipping a new category of enterprise storage product called active archive, which is a fully enclosed rack system utilizing our helium hard drives and object storage software.</w:t>
      </w:r>
    </w:p>
    <w:p>
      <w:pPr>
        <w:spacing w:after="0" w:line="13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Performance and capacity HDDs and SSDs are essential to the operations of an enterprise and require the greatest capabilities and reliability. These drives are the most highly engineered product line in the storage industry. The infrastructure to support cloud computing storage is driving the demand for multi-platter high capacity HDDs as well as enterprise class SSDs in tiered storage architectures. Cloud computing delivers shared resources, software and information to users on demand on a multitude of devices, such as client PCs, tablets and smart phones. Most cloud computing models consist of services delivered through large datacenters with enterprise-class servers, also utilizing tiered architectures to address multiple levels of storage needs. We believe we have established a leading position in supplying performance HDDs, multi-platter high capacity HDDs and SSDs to address these needs.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1"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We believe petabyte shipments into the enterprise market of the storage industry were up 49% in fiscal 2015 from fiscal 2014. Future growth in the enterprise market is expected to occur based on public and private cloud-related projects to address the continued growth in data being created and the demand to store much of that data.</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Client: Desktop and Notebook PCs</w:t>
      </w:r>
    </w:p>
    <w:p>
      <w:pPr>
        <w:spacing w:after="0" w:line="17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Client storage devices consist of internal HDDs and SSDs for desktop and mobile PCs. Desktop PCs are intended for regular use at single locations in homes and businesses, as well as in multi-user educational and government networks. Mobile PCs, primarily notebook computers, are used both in and away from homes and businesses. The demand for hard drives in desktop and notebook PCs is in decline due to the slow-down in PC sales, the increased use of SSDs as replacements for HDDs in notebook PCs, and the growing shift of storage workloads to the cloud. Other HDD markets, such as cloud, traditional enterprise, branded products, gaming and other solutions have been expanding. We believe the units shipped in client hard drives were down 12% in fiscal 2015 from fiscal 2014. We believe that HDD unit shipments into client computer storage devices will be driven primarily by demand in emerging countries, corporate and consumer refreshes and the enduring nature of PCs as the most fully functional computing device.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Branded Products</w:t>
      </w:r>
    </w:p>
    <w:p>
      <w:pPr>
        <w:spacing w:after="0" w:line="90" w:lineRule="exact"/>
        <w:rPr>
          <w:sz w:val="20"/>
          <w:szCs w:val="20"/>
          <w:color w:val="auto"/>
        </w:rPr>
      </w:pPr>
    </w:p>
    <w:p>
      <w:pPr>
        <w:ind w:right="20" w:firstLine="432"/>
        <w:spacing w:after="0" w:line="235" w:lineRule="auto"/>
        <w:rPr>
          <w:sz w:val="20"/>
          <w:szCs w:val="20"/>
          <w:color w:val="auto"/>
        </w:rPr>
      </w:pPr>
      <w:r>
        <w:rPr>
          <w:rFonts w:ascii="Arial" w:cs="Arial" w:eastAsia="Arial" w:hAnsi="Arial"/>
          <w:sz w:val="18"/>
          <w:szCs w:val="18"/>
          <w:color w:val="auto"/>
        </w:rPr>
        <w:t>External storage devices supplement the storage space on PC systems for home and small office networks and, through wireless connections, the fastest growing category in this market, provide remote access to personal content. These drives, when directly attached to PCs, are ideally suited to back up the data already stored on PC internal drives because of their portability and security features. The growing availability of wireless connectivity is creating growth opportunities for external networked attached storage solutions such as our family of WD My Cloud</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We believe HDD unit shipments into the external storage market decreased 6% in fiscal 2015 from fiscal 2014.</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Consumer Electronics</w:t>
      </w:r>
    </w:p>
    <w:p>
      <w:pPr>
        <w:spacing w:after="0" w:line="9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HDDs for CE products are primarily used in digital video recorders (“DVRs”), game consoles and security video recording systems. We believe demand for greater storage capacity in these applications will continue to drive growth for higher capacity HDDs.</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DVRs offer greater consumer viewing flexibility and enhanced capabilities such as pausing live television, simplifying the process of recording and cataloging recorded television programs and quickly forwarding or returning to any section of a recorded television program. Game consoles enable users to save games, movies, music, pictures and other user generated content. Security surveillance hard drives provide 24/7 reliability and peace of mind for the installation of home or small to medium sized business (“SMB”) security systems. We believe HDD unit shipments into the CE market increased 3% in fiscal 2015 from fiscal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compete with manufacturers of HDDs for client compute, client non-compute and enterprise applications and manufacturers of SSDs. The HDD market consists of five principal brands: HGST, Samsung, Seagate, Toshiba and WD. In solid-state products, we compete with a wide range of manufacturers, from small startup companies to multinational corporations, including Intel, Micron, Samsung, SanDisk, Seagate and Toshiba.</w:t>
      </w:r>
    </w:p>
    <w:p>
      <w:pPr>
        <w:spacing w:after="0" w:line="125"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The storage industry is increasingly utilizing tiered architectures with HDDs and SSDs to address an expanding set of uses and applications. HDDs are highly substitutable due to industry standards that mandate the technical form, fit and function of HDDs, and we believe there are no substantial barriers for existing HDD competitors to offer competing products. HDD attributes include product quality and reliability, storage capacity, unit price, product performance, production volume capabilities, delivery capability, leadership in time-to-market, time-to-volume and time-to-quality, service and support and ease of doing business. The relative importance of these factors varies by customer, market and use, and we believe that we are generally competitive in all of these factors. Semiconductor media or solid-state technology provides high performance attributes in some enterprise-class applications and client notebook designs and attractive functionality in consumer handheld applications requiring smaller form factors, lower power and less storage capacity, such as smart phones and tablets. With advances in our own solid-state enterprise business, coupled with our actions to strengthen those resources through acquisitions and investments, we believe we are positioned to compete successfully in the enterprise-class solid-state space of this market. Advances in magnetic, optical or other data storage technologies could also result in competitive products for storing digital content with better performance or lower cost per unit of capacity than our products. We monitor the advantages, disadvantages and advances of the full array of storage technologies on an ongoing basis.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Our business strategy is to be an industry-leading developer, manufacturer and provider of innovative storage solutions that enable people to create, manage, experience and preserve digital content. We strive to achieve our business strategy through the following elements:</w:t>
      </w:r>
    </w:p>
    <w:p>
      <w:pPr>
        <w:spacing w:after="0" w:line="38" w:lineRule="exact"/>
        <w:rPr>
          <w:sz w:val="20"/>
          <w:szCs w:val="20"/>
          <w:color w:val="auto"/>
        </w:rPr>
      </w:pPr>
    </w:p>
    <w:p>
      <w:pPr>
        <w:ind w:left="900" w:hanging="48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relentless focus on operational excellence in all aspects of our business;</w:t>
      </w:r>
    </w:p>
    <w:p>
      <w:pPr>
        <w:spacing w:after="0" w:line="171" w:lineRule="exact"/>
        <w:rPr>
          <w:rFonts w:ascii="Arial" w:cs="Arial" w:eastAsia="Arial" w:hAnsi="Arial"/>
          <w:sz w:val="18"/>
          <w:szCs w:val="18"/>
          <w:color w:val="auto"/>
        </w:rPr>
      </w:pPr>
    </w:p>
    <w:p>
      <w:pPr>
        <w:ind w:left="900" w:right="420" w:hanging="48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full portfolio of compelling, high quality storage products with effective technology deployment, high efficiency, flexibility and speed;</w:t>
      </w:r>
    </w:p>
    <w:p>
      <w:pPr>
        <w:spacing w:after="0" w:line="62" w:lineRule="exact"/>
        <w:rPr>
          <w:rFonts w:ascii="Arial" w:cs="Arial" w:eastAsia="Arial" w:hAnsi="Arial"/>
          <w:sz w:val="18"/>
          <w:szCs w:val="18"/>
          <w:color w:val="auto"/>
        </w:rPr>
      </w:pPr>
    </w:p>
    <w:p>
      <w:pPr>
        <w:ind w:left="900" w:right="120" w:hanging="48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collaborative engineering relationships with customers that create value by solving their data management needs through innovative solutions; and</w:t>
      </w:r>
    </w:p>
    <w:p>
      <w:pPr>
        <w:spacing w:after="0" w:line="62" w:lineRule="exact"/>
        <w:rPr>
          <w:rFonts w:ascii="Arial" w:cs="Arial" w:eastAsia="Arial" w:hAnsi="Arial"/>
          <w:sz w:val="18"/>
          <w:szCs w:val="18"/>
          <w:color w:val="auto"/>
        </w:rPr>
      </w:pPr>
    </w:p>
    <w:p>
      <w:pPr>
        <w:ind w:left="900" w:right="460" w:hanging="48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strategically aligning our investments in profitable and growing markets beyond our core HDD business, to ensure future growth in storage businesses related to mobility, solid-state and cloud computing.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our strategy provides the following benefits, which distinguish us in the dynamic and competitive storage industry:</w:t>
      </w:r>
    </w:p>
    <w:p>
      <w:pPr>
        <w:spacing w:after="0" w:line="63" w:lineRule="exact"/>
        <w:rPr>
          <w:sz w:val="20"/>
          <w:szCs w:val="20"/>
          <w:color w:val="auto"/>
        </w:rPr>
      </w:pPr>
    </w:p>
    <w:p>
      <w:pPr>
        <w:ind w:left="900" w:hanging="48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enables continued diversification of our storage solutions portfolio and entry into additional growing adjacent markets;</w:t>
      </w:r>
    </w:p>
    <w:p>
      <w:pPr>
        <w:spacing w:after="0" w:line="63" w:lineRule="exact"/>
        <w:rPr>
          <w:rFonts w:ascii="Arial" w:cs="Arial" w:eastAsia="Arial" w:hAnsi="Arial"/>
          <w:sz w:val="18"/>
          <w:szCs w:val="18"/>
          <w:color w:val="auto"/>
        </w:rPr>
      </w:pPr>
    </w:p>
    <w:p>
      <w:pPr>
        <w:ind w:left="900" w:right="200" w:hanging="487"/>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allows us to achieve strong financial performance, including healthy returns on invested capital and cash generation, thereby enabling efficient allocation of capital to shareholders and strategic investments in innovation; and</w:t>
      </w:r>
    </w:p>
    <w:p>
      <w:pPr>
        <w:spacing w:after="0" w:line="8" w:lineRule="exact"/>
        <w:rPr>
          <w:rFonts w:ascii="Arial" w:cs="Arial" w:eastAsia="Arial" w:hAnsi="Arial"/>
          <w:sz w:val="18"/>
          <w:szCs w:val="18"/>
          <w:color w:val="auto"/>
        </w:rPr>
      </w:pPr>
    </w:p>
    <w:p>
      <w:pPr>
        <w:ind w:left="900" w:right="40" w:hanging="487"/>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creates compelling value for our customers and makes them more successful, while providing growth opportunities for our suppliers, employees, and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Storage Solutions</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offer a broad line of data storage solutions to meet the evolving storage needs of our end users. HGST’s HDD offerings include: high performance 10,000/15,000 revolutions per minute (“RPM”) drives targeting server and storage system OEMs, enterprise capacity drives for bulk storage applications for both hyperscale cloud customers and OEMs, the industry’s only helium sealed drives featuring capacities of up to 10 terabytes ("TB") to deliver unmatched total cost of ownership, mobile drives for the notebook, PC and gaming markets, a G-Technology line of branded products for professional content producers, enterprise storage software and a fully integrated active archive system. HGST also delivers a line of SSDs for servers and storage systems applications that includes 2.5” serial attached SCSI (Small Computer System Interface) (“SAS”) drives as well as peripheral component interconnect express (“PCIe”) NVMe SSDs and embedded flash solutions. Our WD subsidiary designs, manufacturers and provides hard drives for a wide range of digital storage uses, from PCs and data centers to video recording systems, home network storage devices, and video surveillance. WD also packages these hard drives into consumer appliances, which offer portable, desktop and personal cloud storage for accessibility from anywhere and sharing functionality.</w:t>
      </w:r>
    </w:p>
    <w:p>
      <w:pPr>
        <w:spacing w:after="0" w:line="59"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Enterprise Storage. </w:t>
      </w:r>
      <w:r>
        <w:rPr>
          <w:rFonts w:ascii="Arial" w:cs="Arial" w:eastAsia="Arial" w:hAnsi="Arial"/>
          <w:sz w:val="16"/>
          <w:szCs w:val="16"/>
          <w:color w:val="auto"/>
        </w:rPr>
        <w:t>Enterprise storage solutions consist of HDDs and SSDs for performance enterprise and capacity enterprise markets. Our enterprise</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offerings include performance HDDs which are optimized for performance applications providing a range of capacity and performance levels primarily for use in enterprise servers, supporting high volume on-line transactions, data analysis and other enterprise applications. Our enterprise storage devices also include capacity drives which provide enterprise class reliability at the lowest cost per gigabyte ("GB") and are primarily for use in data storage systems, in tiered storage models and where data must be stored reliably for years. We recently launched the world’s first 10TB drive, a helium sealed HDD designed for active archive applications where the highest possible capacity is required while maintaining enterprise level reliability. Lastly, our enterprise storage solutions include solid-state solutions which feature high read/write speeds and include high capacities.</w:t>
      </w:r>
    </w:p>
    <w:p>
      <w:pPr>
        <w:spacing w:after="0" w:line="5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2015, our HGST subsidiary continued its leadership as the first and only supplier of helium-filled HDDs. This advanced technology allows HGST to pack seven-platters in a standard 3.5" form factor providing up to 10TB capacity. This drives down total cost of ownership at the data center level by providing significant improvements in capacity, power, cooling and storage density. HGST reached an important milestone in March 2015, shipping its one millionth helium drive.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enterprise HDD unit shipments were 31 million, 30 million and 28 million for 2015, 2014 and 2013, respectively.</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Through the calendar 2014 extension of the joint development agreement with Intel Corporation for SAS SSDs, the calendar 2013 acquisitions of sTec, Virident and Velobit, and the calendar 2014 acquisition of Skyera, our HGST subsidiary has strengthened its position in the fast growing market for enterprise class SSDs and SSD-based solutions. We now offer a broad range of SSDs for the enterprise applications based on the SAS and PCIe interfaces. HGST also delivers advanced software for caching, high-availability and clustering that accelerates traditional enterprise storage environments and enables significant server consolidation and improved total cost of ownership for cloud and hyperscale environments.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Storage Platforms and Systems. </w:t>
      </w:r>
      <w:r>
        <w:rPr>
          <w:rFonts w:ascii="Arial" w:cs="Arial" w:eastAsia="Arial" w:hAnsi="Arial"/>
          <w:sz w:val="18"/>
          <w:szCs w:val="18"/>
          <w:color w:val="auto"/>
        </w:rPr>
        <w:t>Supporting HGST’s strategy to bring higher value data storage platforms and systems to the market, HGST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its first vertically integrated solution - the HGST Active Archive system. The active archive system delivers a fully-configured S3-compliant, scale-out object storage system that utilizes HGST’s helium-filled HDDs for improved storage economics. Through vertical innovation and integration, the active archive system leverages HGST’s deep insight into storage systems resulting in an integrated, tuned and optimized solution that delivers improved total cost of ownership that can be more cost-effective than traditional cloud infrastructure.</w:t>
      </w:r>
    </w:p>
    <w:p>
      <w:pPr>
        <w:spacing w:after="0" w:line="8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color w:val="auto"/>
        </w:rPr>
        <w:t xml:space="preserve">Client: Desktop and Notebook PCs. </w:t>
      </w:r>
      <w:r>
        <w:rPr>
          <w:rFonts w:ascii="Arial" w:cs="Arial" w:eastAsia="Arial" w:hAnsi="Arial"/>
          <w:sz w:val="18"/>
          <w:szCs w:val="18"/>
          <w:color w:val="auto"/>
        </w:rPr>
        <w:t>Client compute solutions consist of HDDs for desktop and mobile PCs. Our client compute storage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HDDs designed for use in desktop PCs requiring high performance, reliability and capacity with various attributes such as low cost per GB, quiet acoustics, low power consumption and protection against shocks. In addition, we provide HDDs designed for use in mobile PCs and requiring high performance, reliability and capacity with various ranges of performance and attributes such as low power consumption for extended battery life and cooler operation, quiet acoustics and protection against shocks.</w:t>
      </w:r>
    </w:p>
    <w:p>
      <w:pPr>
        <w:spacing w:after="0" w:line="8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also offer Serial Advanced Technology Attachment ("SATA") HDDs specifically designed for home and small office network attached storage systems and optimized for energy efficiency and reliability, hard drives for video recording applications, including surveillance, as well as HDDs designed for advanced single-user computing systems such as professional systems for video editing and computer-aided design/computer-aided manufacturing ("CAD/CAM") applications and high-end desktop PC applications including gaming, which require high performance and high reliability. Our client compute HDD unit shipments were 136 million, 157 million and 162 million for 2015, 2014 and 2013, respectively.</w:t>
      </w:r>
    </w:p>
    <w:p>
      <w:pPr>
        <w:spacing w:after="0" w:line="6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i w:val="1"/>
          <w:iCs w:val="1"/>
          <w:color w:val="auto"/>
        </w:rPr>
        <w:t xml:space="preserve">Branded Products. </w:t>
      </w:r>
      <w:r>
        <w:rPr>
          <w:rFonts w:ascii="Arial" w:cs="Arial" w:eastAsia="Arial" w:hAnsi="Arial"/>
          <w:sz w:val="17"/>
          <w:szCs w:val="17"/>
          <w:color w:val="auto"/>
        </w:rPr>
        <w:t>Our branded product solutions consist of HDDs embedded into WD-, HGST- and G-Technology-branded external storage appliances</w:t>
      </w:r>
      <w:r>
        <w:rPr>
          <w:rFonts w:ascii="Arial" w:cs="Arial" w:eastAsia="Arial" w:hAnsi="Arial"/>
          <w:sz w:val="17"/>
          <w:szCs w:val="17"/>
          <w:i w:val="1"/>
          <w:iCs w:val="1"/>
          <w:color w:val="auto"/>
        </w:rPr>
        <w:t xml:space="preserve"> </w:t>
      </w:r>
      <w:r>
        <w:rPr>
          <w:rFonts w:ascii="Arial" w:cs="Arial" w:eastAsia="Arial" w:hAnsi="Arial"/>
          <w:sz w:val="17"/>
          <w:szCs w:val="17"/>
          <w:color w:val="auto"/>
        </w:rPr>
        <w:t>with capacities ranging from 500 GB to 24 TB and using interfaces such as USB 2.0, USB 3.0, FireWire</w:t>
      </w:r>
      <w:r>
        <w:rPr>
          <w:rFonts w:ascii="Arial" w:cs="Arial" w:eastAsia="Arial" w:hAnsi="Arial"/>
          <w:sz w:val="17"/>
          <w:szCs w:val="17"/>
          <w:color w:val="auto"/>
          <w:vertAlign w:val="superscript"/>
        </w:rPr>
        <w:t>TM</w:t>
      </w:r>
      <w:r>
        <w:rPr>
          <w:rFonts w:ascii="Arial" w:cs="Arial" w:eastAsia="Arial" w:hAnsi="Arial"/>
          <w:sz w:val="17"/>
          <w:szCs w:val="17"/>
          <w:color w:val="auto"/>
        </w:rPr>
        <w:t>, Thunderbolt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and Ethernet network connections. Within branded products, we offer HDDs that provide high quality, reliable storage for backup and capacity expansion in both mobile and desktop form factors that are designed to keep digital content secure while providing portable storage for desktops and notebooks. In addition, within branded products we offer solutions for SMBs, by offering complete network storage solutions designed to meet the needs of SMBs by providing centralized storage, backup, data protection and remote file access. We also provide external hard drives that connect to home or office networks, enabling consumers access from anywhere with an Internet connection and from smart phones, tablets and PCs via WD mobile apps and PC software. These My Cloud solutions offer the same functionality as public cloud storage services, yet offer consumers the peace of mind that ownership brings, with lower cost and greater capacity. Certain branded product solutions-such as our My Cloud products include software that assists customers with backup, remote access and management of digital content.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branded product hard drive unit shipments were 25 million in each of 2015, 2014 and 2013.</w:t>
      </w:r>
    </w:p>
    <w:p>
      <w:pPr>
        <w:spacing w:after="0" w:line="11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i w:val="1"/>
          <w:iCs w:val="1"/>
          <w:color w:val="auto"/>
        </w:rPr>
        <w:t xml:space="preserve">Consumer Electronics Solutions. </w:t>
      </w:r>
      <w:r>
        <w:rPr>
          <w:rFonts w:ascii="Arial" w:cs="Arial" w:eastAsia="Arial" w:hAnsi="Arial"/>
          <w:sz w:val="16"/>
          <w:szCs w:val="16"/>
          <w:color w:val="auto"/>
        </w:rPr>
        <w:t>CE solutions are used in DVRs, gaming consoles, security surveillance, systems, set top boxes, camcorders, multi-function printers and entertainment and automobile navigation systems. Our CE solutions include HDDs designed and optimized for video streaming and continuous digital video recording. These HDDs deliver quiet operation, low operating temperature, low power consumption, high reliability and optimized streaming capabilities. Our CE HDD unit shipments were 37 million, 37 million and 28 million for 2015,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Hard Disk Drives</w:t>
      </w:r>
    </w:p>
    <w:p>
      <w:pPr>
        <w:spacing w:after="0" w:line="90"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HDDs provide non-volatile data storage, which means that the data remains present when power is no longer applied to the device. The primary measures of hard drive performance include:</w:t>
      </w:r>
    </w:p>
    <w:p>
      <w:pPr>
        <w:spacing w:after="0" w:line="8" w:lineRule="exact"/>
        <w:rPr>
          <w:sz w:val="20"/>
          <w:szCs w:val="20"/>
          <w:color w:val="auto"/>
        </w:rPr>
      </w:pPr>
    </w:p>
    <w:p>
      <w:pPr>
        <w:ind w:left="900" w:right="140" w:hanging="487"/>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Acoustics — sound power emitted during hard drive operation, commonly expressed in decibels, and perceived loudness due to sound pressure, commonly expressed in sones;</w:t>
      </w:r>
    </w:p>
    <w:p>
      <w:pPr>
        <w:spacing w:after="0" w:line="62" w:lineRule="exact"/>
        <w:rPr>
          <w:rFonts w:ascii="Arial" w:cs="Arial" w:eastAsia="Arial" w:hAnsi="Arial"/>
          <w:sz w:val="18"/>
          <w:szCs w:val="18"/>
          <w:color w:val="auto"/>
        </w:rPr>
      </w:pPr>
    </w:p>
    <w:p>
      <w:pPr>
        <w:ind w:left="900" w:hanging="48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transfer rate — sustained rate of data transfer to and from the disk, commonly expressed in gigabits per second;</w:t>
      </w:r>
    </w:p>
    <w:p>
      <w:pPr>
        <w:spacing w:after="0" w:line="117" w:lineRule="exact"/>
        <w:rPr>
          <w:rFonts w:ascii="Arial" w:cs="Arial" w:eastAsia="Arial" w:hAnsi="Arial"/>
          <w:sz w:val="18"/>
          <w:szCs w:val="18"/>
          <w:color w:val="auto"/>
        </w:rPr>
      </w:pPr>
    </w:p>
    <w:p>
      <w:pPr>
        <w:ind w:left="900" w:hanging="48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consumption — which is the amount of electricity required to operate the drive, measured in watts;</w:t>
      </w:r>
    </w:p>
    <w:p>
      <w:pPr>
        <w:spacing w:after="0" w:line="117" w:lineRule="exact"/>
        <w:rPr>
          <w:rFonts w:ascii="Arial" w:cs="Arial" w:eastAsia="Arial" w:hAnsi="Arial"/>
          <w:sz w:val="18"/>
          <w:szCs w:val="18"/>
          <w:color w:val="auto"/>
        </w:rPr>
      </w:pPr>
    </w:p>
    <w:p>
      <w:pPr>
        <w:ind w:left="900" w:hanging="48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time — time needed to position the heads over a selected track on the disk surface, commonly expressed in milliseconds;</w:t>
      </w:r>
    </w:p>
    <w:p>
      <w:pPr>
        <w:spacing w:after="0" w:line="117" w:lineRule="exact"/>
        <w:rPr>
          <w:rFonts w:ascii="Arial" w:cs="Arial" w:eastAsia="Arial" w:hAnsi="Arial"/>
          <w:sz w:val="18"/>
          <w:szCs w:val="18"/>
          <w:color w:val="auto"/>
        </w:rPr>
      </w:pPr>
    </w:p>
    <w:p>
      <w:pPr>
        <w:ind w:left="900" w:right="360" w:hanging="487"/>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Spindle rotation speed — nominal rotation speed of the disks inside the hard drive, commonly expressed in RPM or latency. Spindle rotation speeds commonly stated as 5,400, 7,200, 10,000 and 15,000 RPM are sometimes approximations; and</w:t>
      </w:r>
    </w:p>
    <w:p>
      <w:pPr>
        <w:spacing w:after="0" w:line="62" w:lineRule="exact"/>
        <w:rPr>
          <w:rFonts w:ascii="Arial" w:cs="Arial" w:eastAsia="Arial" w:hAnsi="Arial"/>
          <w:sz w:val="18"/>
          <w:szCs w:val="18"/>
          <w:color w:val="auto"/>
        </w:rPr>
      </w:pPr>
    </w:p>
    <w:p>
      <w:pPr>
        <w:ind w:left="900" w:hanging="48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Storage capacity — which is the amount of data that can be stored on the hard drive, commonly expressed in GB or TB.</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storage capacity of a hard drive is determined by the number of disks and each disk’s areal density (track density multiplied by bit density), which is a measure of the amount of data that can be stored on the recording surface of the disk per unit area. Head and magnetic media technologies are two of the key technology components of hard drives affecting areal density. We develop and manufacture a substantial portion of the heads and magnetic media used in our hard drive products. As areal density increases, achieving a given drive capacity potentially reduces product costs over time through reduced component requirements. We also invest considerable resources in research and development, manufacturing infrastructure and capital equipment of head and magnetic media components in order to secure our competitive position and cost structure.</w:t>
      </w:r>
    </w:p>
    <w:p>
      <w:pPr>
        <w:spacing w:after="0" w:line="12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Industry-standard interfaces allow the drives to communicate with the host system. The primary interface for PCs is SATA and the primary interfaces for enterprise systems are Fibre Channel, SAS, SATA and PCIe.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Solid-State Drives</w:t>
      </w:r>
    </w:p>
    <w:p>
      <w:pPr>
        <w:spacing w:after="0" w:line="9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SSDs use semiconductor, non-volatile media, rather than magnetic media and magnetic heads, to store and allow fast access to data without any moving parts. The cost per bit of solid-state drives is more expensive than hard drives, but the higher input/output (“IO”) performance makes SSDs an attractive new tier of storage that fits between DRAM memory and hard drives. SSDs are finding growing usage in enterprise storage systems and servers in applications that demand the highest IO performance.</w:t>
      </w:r>
    </w:p>
    <w:p>
      <w:pPr>
        <w:spacing w:after="0" w:line="52"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non-volatile memory in use today for SSDs is NAND flash technology. While single-level cell flash provides the highest endurance and performance, the optimal balance of price and performance is usually achieved through the use of multi-level cell flash. Multiple NAND flash die are used on a single printed circuit board assembly ("PCBA") and connected in parallel through a controller to the host bus. Various performance classes of SSDs are created by varying the number of parallel NAND channels and the speed of controller logic and firmware. The controller contains hardware logic and firmware to buffer the data flow to and from the host, to the NAND flash, and to manage the reliability and performance of the NAND flash media.</w:t>
      </w:r>
    </w:p>
    <w:p>
      <w:pPr>
        <w:spacing w:after="0" w:line="10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typical host interfaces for SSDs include PCIe, SAS and SATA. PCIe products typically offer the highest performance and come on edge cards that plug into the PCIe bus. PCIe defines the hardware and electrical interface but the software protocols are still proprietary today. New standards such as NVMe and SCSI express are emerging to bring more standardized software protocols for communicating with PCIe SSDs. SAS and SATA products utilize standardized interfaces similar to hard drives and come in 2.5-inch form factors with differing package heights depending on the application and usage. The typical power consumption for the SAS and SATA interfaces is similar to hard drives, while the power consumption of PCIe form factor devices is typically higher.</w:t>
      </w:r>
    </w:p>
    <w:p>
      <w:pPr>
        <w:spacing w:after="0" w:line="13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 For a discussion of associated risks, see Part I, Item 1A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devote substantial resources to the development of new products and the improvement of existing products. We focus our engineering efforts on coordinating our product design and manufacturing processes to bring our products to market in a cost-effective and timely manner. Research and development expenses totaled $1.6 billion, $1.7 billion and $1.6 billion in 2015, 2014 and 2013, respectively. For a discussion of associated risks, see Part I, Item 1A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229"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We have more than 7,000 active patents and have many patent applications in process. We believe that although our active patents and patent applications have considerable value, the successful manufacturing and marketing of our products depends primarily upon the technical and managerial competence of our staff. Accordingly, the patents held and applied for do not ensure our future success.</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patent protection of certain intellectual property rights, we consider elements of our product designs and processes to be proprietary and confidential. We believe that our non-patented intellectual property, particularly some of our process technology, is an important factor in our success. We rely upon non-disclosure agreements and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United States ("U.S").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rely on certain technology that we license from other parties to manufacture and sell our products. We believe that we have adequate cross-licenses and other agreements in place in addition to our own intellectual property portfolio to compete successfully in the storage industry. For a discussion of associated risks, see Part I, Item 1A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believe that we have significant know-how, unique product manufacturing processes, test and tooling, execution skills and human resources to continue to be successful and to grow, as necessary, our manufacturing operations. We strive to maintain manufacturing flexibility, high manufacturing yields, reliable products, and high-quality components. The critical elements of our HDD production are high volume and utilization, low cost assembly and testing, strict adherence to quality metrics and maintaining close relationships with our strategic component suppliers to access best-in-class technology and manufacturing capacity.</w:t>
      </w:r>
    </w:p>
    <w:p>
      <w:pPr>
        <w:spacing w:after="0" w:line="13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HDD manufacturing is a complex process involving the production and assembly of precision components with narrow tolerances and thorough testing. The assembly process occurs in a “clean room” environment that demands skill in process engineering and efficient space utilization to control the operating costs of this manufacturing environment. Our clean room manufacturing process consists of modular production units, each of which contains a number of work cells.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For our non-HDD products, we leverage the efficiencies of contract manufacturers when strategically advantageous. For a discussion of associated risks, see Part I, Item 1A of this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main components of the hard drive are a head-disk-assembly (“HDA”) and a PCBA.</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HDA includes heads, magnetic media, head positioning mechanism (“actuator”) and spindle motor. A rigid base and top cover contain these components in a contamination-controlled environment. One or more disks positioned around a motor-driven spindle hub that rotates the disks comprise the disk-pack assembly. The disk is made up of a smooth substrate on which thin layers of magnetic materials are deposited. The head stack assembly (“HSA”) is comprised of a magnetic positioner and a pivot-arm module on which the head gimbal assemblies ("HGAs"), including suspension, are mounted. Each disk surface has a head suspended directly above it, which can read data from or write data to the spinning disk. Other key components of our hard drives are pre-amps and voice coil magnets.</w:t>
      </w:r>
    </w:p>
    <w:p>
      <w:pPr>
        <w:spacing w:after="0" w:line="13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PCBA includes both standard and custom integrated circuits, an interface connector to the host computer and a power connector. The integrated circuits on the printed circuit board typically include a power device that controls the motor and HSA positioner, and a system-on-chip (“SoC”) comprised of a drive interface, controller and recording channel. The drive interface receives instructions from the host computer, while the controller directs the flow of data to or from the disks and controls the heads. The location of data on each disk is logically maintained in concentric tracks divided into sectors. The host computer sends instructions to the controller to read data from or write data to the disks, based on logical track and sector locations. Guided by instructions from the controller, the HSA pivots in an arc across the disk until it reaches the selected track of a disk, where the data is recorded or retrieved.</w:t>
      </w:r>
    </w:p>
    <w:p>
      <w:pPr>
        <w:spacing w:after="0" w:line="16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design and manufacture a substantial portion of the heads and magnetic media required for our products. Consequently, we are more dependent upon our own development and execution efforts and less able to take advantage of head and magnetic media technologies developed by other manufacturers. We depend on an external supply base for all remaining components and materials for use in our HDD product design and manufacturing.</w:t>
      </w:r>
    </w:p>
    <w:p>
      <w:pPr>
        <w:spacing w:after="0" w:line="14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key components used in the manufacture of our SSDs are the NAND semiconductor media and SoC which are acquired from third party suppliers. The NAND flash products used in our SSDs are sourced from multiple tier-one NAND manufacturers. We have established deep relationships with these vendors to assure continuous supply of NAND, as well as sufficient technical depth of technology access to enable continuous cost and technology leadership of our SSD product portfolio offering. Additionally, we are exploring strategic options to further strengthen and deepen our collaboration with select NAND partners to support the future growth of our SSD business. Additionally, the key component in our media players, the controller, is acquired from third party suppliers.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believe that our sourcing strategy currently enables us to have the business flexibility needed to select high quality, low cost suppliers as product designs and technologies evolve. We generally retain multiple suppliers for each of our component requirements but in some instances use sole sources for business reasons. Currently, we believe that there are no major issues with component availability. For a discussion of associated risks, see Part I, Item 1A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79%, 80% and 78% of our net revenue for 2015, 2014 and 2013, respectively. Sales to international customers are subject to certain risks not normally encountered in domestic operations, including exposure to tariffs and various trade regulations. For a discussion regarding associated risks, see Part I, Item 1A of this Annual Report on Form 10-K.</w:t>
      </w:r>
    </w:p>
    <w:p>
      <w:pPr>
        <w:spacing w:after="0" w:line="9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perform our marketing and advertising functions internally and through outside firms utilizing both consumer media and trade publications targeting various reseller and end-user categories.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w:t>
      </w:r>
    </w:p>
    <w:p>
      <w:pPr>
        <w:spacing w:after="0" w:line="6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Original Equipment Manufacturers. </w:t>
      </w:r>
      <w:r>
        <w:rPr>
          <w:rFonts w:ascii="Arial" w:cs="Arial" w:eastAsia="Arial" w:hAnsi="Arial"/>
          <w:sz w:val="18"/>
          <w:szCs w:val="18"/>
          <w:color w:val="auto"/>
        </w:rPr>
        <w:t>OEMs, including large-scale datacenter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our products, either directly or through a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such as an original design manufacturer (“ODM”), and assemble them into the devices they build. OEMs typically seek to qualify two or more providers for each generation of products and generally will purchase products from those vendors for the life of that product. Many of our OEM customers utilize just-in-time inventory management processes. As a result, for certain OEMs, we maintain a base stock of finished goods inventory in facilities located near or adjacent to the OEM’s operations. In addition, we also sell directly to cloud infrastructure players, which we classify as OEMs for purposes of channel information.</w:t>
      </w:r>
    </w:p>
    <w:p>
      <w:pPr>
        <w:spacing w:after="0" w:line="13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Distributors. </w:t>
      </w:r>
      <w:r>
        <w:rPr>
          <w:rFonts w:ascii="Arial" w:cs="Arial" w:eastAsia="Arial" w:hAnsi="Arial"/>
          <w:sz w:val="18"/>
          <w:szCs w:val="18"/>
          <w:color w:val="auto"/>
        </w:rPr>
        <w:t>We use a broad group of distributors to sell our products to non-direct customers such as small computer and CE manufacturers, dealers,</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integrators, online retailers and other resellers. Distributors generally enter into non-exclusive agreements with us for the purchase and redistribution of our products in specific territories.</w:t>
      </w:r>
    </w:p>
    <w:p>
      <w:pPr>
        <w:spacing w:after="0" w:line="12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sell our branded products directly to a select group of major retailers such as computer superstores, warehouse clubs, online retailers,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electronics stores, and authorize sales through distributors to smaller retailers. The retail channel complements our other sales channels, while helping to build brand awareness for us and our products. We also sell our branded products through our websites.</w:t>
      </w:r>
    </w:p>
    <w:p>
      <w:pPr>
        <w:spacing w:after="0" w:line="11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For each of 2015 and 2014, sales to Hewlett Packard Company accounted for 11% of our net revenue. For 2013, no single customer accounted for 10% or more of our net revenue. For a discussion of associated risks, refer to Part I, Item 1A of this Annual Report on Form 10-K. For additional information regarding revenue recognition, sales by geographic region and major customers, see Part II, Item 8, Notes 1 and 6 of the Notes to Consolidated Financial Statements included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 substantial portion of our orders are generally for shipments within 60 days of the placement of the order. Customers’ purchase orders may be canceled with relatively short notice to us, with little or no cost to the customer, or modified by customers to provide for delivery at a later date. In addition, for many of our OEMs utilizing just-in-time inventory, we do not generally require firm order commitments and instead, receive a periodic forecast of requirements. Therefore, backlog information as of the end of a particular period is not necessarily indicative of future levels of our revenue and profit and may not be comparable to prior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have historically experienced seasonal fluctuations in our business with higher levels of demand in the first and second quarters of our fiscal year as a result of increased customer spending. Seasonality can also be impacted by the growth in emerging markets and macroeconomic conditions. For a discussion of associated risks, see Part I, Item 1A of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generally warrant our newly manufactured products against defects in materials and workmanship from one to five years from the date of manufacture depending on the type of product. Our warranty obligation is generally limited to repair or replacement. We have engaged third parties in various countries in multiple regions to provide various levels of testing, processing or recertification of returned products for our customers. For a further discussion of our service and warranty policy, see Part II, Item 8, Note 1 to the Notes to Consolidated Financial Statements included in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9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are subject to a variety of U.S. and foreign laws and regulations in connection with our operations and relating to the protection of the environment, including those governing discharges of pollutants into the air and water, the management and disposal of hazardous substances, and the cleanup of contaminated sites. Some of our operations require environmental permits and controls to prevent and reduce air and water pollution. These permits are subject to modification, renewal and revocation by issuing authorities. We believe that we have obtained or are in the process of obtaining all necessary environmental permits for our operations.</w:t>
      </w:r>
    </w:p>
    <w:p>
      <w:pPr>
        <w:spacing w:after="0" w:line="13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have established environmental management systems and continually update our environmental policies and standard operating procedures for our operations worldwide. We believe that our operations are in material compliance with applicable environmental laws, regulations and permits. We budget for operating and capital costs on an ongoing basis to comply with environmental laws.</w:t>
      </w:r>
    </w:p>
    <w:p>
      <w:pPr>
        <w:spacing w:after="0" w:line="12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Our properties have in some cases been operated for many years and may contain soil or groundwater contamination. In certain of our facilities we are undertaking voluntary monitoring of soil and groundwater. Based on available information, including our voluntary monitoring activities, we do not believe that we have a current affirmative legal obligation for any remedial action.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 discussion of associated risks, see Part I, Item 1A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of July 3, 2015, we employed a total of 76,449 employees worldwide, excluding temporary employees and contractors. Many of our employees are highly skilled, and our continued success depends in part upon our ability to attract and retain such employees. Accordingly, we offer employee benefit programs that we believe are, in the aggregate, competitive with those offered by our competitors.</w:t>
      </w:r>
    </w:p>
    <w:p>
      <w:pPr>
        <w:spacing w:after="0" w:line="127"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While the substantial majority of our employees are not party to a collective bargaining agreement, a majority of our employees in Japan and China are subject to a collective bargaining agreement. We consider our employee relations to be good. For a discussion of associated risks, see Part I, Item 1A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maintain an Internet website at www.westerndigital.com. Our Annual Report on Form 10-K, Quarterly Reports on Form 10-Q, Current Reports on Form 8-K and amendments to reports filed or furnished pursuant to Sections 13(a) and 15(d) of the Securities Exchange Act of 1934, as amended, are available on our website at www.westerndigital.com, free of charge, as soon as reasonably practicable after the electronic filing of these reports with, or furnishing of these reports to, the SEC. Any materials we file with the SEC are available at the SEC’s Public Reference Room at 100 F Street, NE, Washington, DC 20549. Additional information about the operation of the Public Reference Room can also be obtained by calling the SEC at 1-800-SEC-0330. In addition, the SEC maintains a website at www.sec.gov that contains reports, proxy and information statements, and other information regarding issuers that file electronically with the SEC, including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Listed below are all of our executive officers, followed by a brief account of their business experience during the past five years. Executive officers are normally appointed annually by the Board of Directors at a meeting of the directors immediately following the Annual Meeting of Stockholders. There are no family relationships among these officers nor any arrangements or understandings between any officer and any other person pursuant to which an officer was selected.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764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Stephen D. Milligan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James J. Murphy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President, WD Subsidiary</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D. Cordano</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HGST Subsidiary</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Olivier M. Leonetti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P. Long</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Strategy Officer</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Michael C. Ray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Senior Vice President, General Counsel, Secretary</w:t>
            </w:r>
          </w:p>
        </w:tc>
      </w:tr>
    </w:tbl>
    <w:p>
      <w:pPr>
        <w:spacing w:after="0" w:line="17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Mr. Milligan re-joined us in March 2012 to serve as our President following our acquisition of HGST and was appointed Chief Executive Officer in January 2013. Mr. Milligan has served on our Board of Directors since January 2013. He served as HGST’s President from March 2009 to December 2009 and as its President and Chief Executive Officer from December 2009 until our acquisition of HGST in March 2012. From September 2007 to October 2009, Mr. Milligan served as HGST’s Chief Financial Officer. From January 2004 to September 2007, Mr. Milligan served as Western Digital's Chief Financial Officer and from September 2002 to January 2004, Mr. Milligan served as Western Digital's Senior Vice President, Finance. From April 1997 to September 2002, Mr. Milligan held various financial and accounting roles of increasing responsibility at Dell Inc. Prior to joining Dell, Mr. Milligan was employed at Price Waterhouse for 12 years. Mr. Milligan has served on the board of directors of Ross Stores, Inc. since January 2015.</w:t>
      </w:r>
    </w:p>
    <w:p>
      <w:pPr>
        <w:spacing w:after="0" w:line="178"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Mr. Murphy was appointed as President of the WD subsidiary in November 2013. He previously served as our Executive Vice President, Storage Products and Worldwide Sales from December 2012 to November 2013. Prior to that, he served as our Executive Vice President, Worldwide Sales from August 2010 to December 2012, as Senior Vice President, Worldwide Sales and Sales Operations from 2007 to 2010, as Vice President, Worldwide Sales and Operations from 2005 to 2007, and as Vice President, Asia Pacific from 2003 to 2005. Prior to that, Mr. Murphy served in various roles at Read-Rite Corporation, including as the Executive Vice President, Customer Business Units, prior to our acquisition of Read-Rite Corporation’s assets in 2003.</w:t>
      </w:r>
    </w:p>
    <w:p>
      <w:pPr>
        <w:spacing w:after="0" w:line="104"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Mr. Cordano joined us in March 2012 in connection with our acquisition of HGST. Mr. Cordano was appointed President of our HGST subsidiary in July 2012. Prior to that, Mr. Cordano served as HGST’s Executive Vice President, Sales &amp; Marketing, and President, Branded Business, from April 2009 to March 2012. From February 2005 to April 2009, Mr. Cordano served as Chief Executive Officer and co-founder of Fabrik, Inc., which was acquired by HGST in April 2009. From 1994 to February 2005, Mr. Cordano served in various roles of increasing responsibility at Maxtor Corporation, including as the Executive Vice President of Worldwide Sales and Marketing from April 2001 until February 2005, where he formed and managed the Branded Products Business Unit.</w:t>
      </w:r>
    </w:p>
    <w:p>
      <w:pPr>
        <w:spacing w:after="0" w:line="13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Mr. Leonetti was appointed as our Executive Vice President and Chief Financial Officer in September 2014. Mr. Leonetti served as Vice President, Finance - Global Commercial Organization, at Amgen, Inc., a global pharmaceutical company, from April 2011 to September 2014, where he was responsible for implementing worldwide product development and commercial strategies and driving global restructuring programs. From July 1997 to April 2011,</w:t>
      </w:r>
    </w:p>
    <w:p>
      <w:pPr>
        <w:ind w:right="60"/>
        <w:spacing w:after="0" w:line="290" w:lineRule="auto"/>
        <w:rPr>
          <w:sz w:val="20"/>
          <w:szCs w:val="20"/>
          <w:color w:val="auto"/>
        </w:rPr>
      </w:pPr>
      <w:r>
        <w:rPr>
          <w:rFonts w:ascii="Arial" w:cs="Arial" w:eastAsia="Arial" w:hAnsi="Arial"/>
          <w:sz w:val="17"/>
          <w:szCs w:val="17"/>
          <w:color w:val="auto"/>
        </w:rPr>
        <w:t>Mr. Leonetti served in various senior finance capacities at Dell Inc., including most recently as Vice President, Finance, Worldwide Consumer Division. Prior to that, Mr. Leonetti served in various worldwide finance capacities with Lex Rac Service plc, Braun UK Ltd and Gillette Industries Limited.</w:t>
      </w:r>
    </w:p>
    <w:p>
      <w:pPr>
        <w:spacing w:after="0" w:line="10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Mr. Long was appointed as our Executive Vice President, Chief Strategy Officer, effective August 2015 and, prior to that, served as Executive Vice President, Strategy &amp; Corporate Development, since February 2013. Prior to that, from March 2012 to February 2013, he served in various consulting capacities for WDC. Prior to that, from July 2010 to March 2012, he served as senior vice president, strategy and corporate development at HGST, which was acquired by us in March 2012. From August 2005 to July 2010, he served as managing director of VisionPoint Capital, where he provided merger and acquisition and corporate finance services to a range of technology companies, including Fabrik, Inc., which was acquired by HGST in April 2009. Prior to that, Mr. Long served as a senior executive with both public and private venture-backed technology companies and was an investment banker with Credit Suisse First Boston and Deutsche Bank Securities. Among his duties as our Executive Vice President, Strategy &amp; Corporate Development, Mr. Long also leads Western Digital Capital, our wholly owned strategic investment fund.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Mr. Ray was appointed as our Senior Vice President, General Counsel and Secretary in April 2011. From October 2010 to April 2011, Mr. Ray served as our Vice President, General Counsel and Secretary. From September 2000 to October 2010, Mr. Ray served in a number of positions in our legal department, ranging from Senior Counsel to Vice President, Legal Services. From September 1998 to September 2000, Mr. Ray served as corporate counsel for Wynn’s International, Inc. Prior to that, he served as a judicial clerk to the U.S. District Court, Central District of California and practiced law at O’Melveny &amp; Myers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realize the anticipated benefits from our acquisition of HGST, our business and financial condition may be adversely affected.</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obtaining the regulatory approvals required to complete the acquisition of HGST, we agreed to certain conditions required by MOFCOM, including adopting measures to keep HGST as an independent competitor until MOFCOM agrees otherwise (with the minimum period being two years from the March 8, 2012 closing date of the acquisition). We worked closely with MOFCOM to finalize an operations plan that outlines in more detail the conditions of the competitive requirement. Compliance with these measures has adversely affected, and we believe will continue to adversely affect, our business and financial conditions in the following ways:</w:t>
      </w:r>
    </w:p>
    <w:p>
      <w:pPr>
        <w:spacing w:after="0" w:line="161" w:lineRule="exact"/>
        <w:rPr>
          <w:sz w:val="20"/>
          <w:szCs w:val="20"/>
          <w:color w:val="auto"/>
        </w:rPr>
      </w:pPr>
    </w:p>
    <w:p>
      <w:pPr>
        <w:ind w:left="1040" w:right="120" w:hanging="330"/>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limits our ability to integrate the businesses of our HGST and WD subsidiaries (and we do not expect to achieve significant operating expense synergies while the hold separate condition continues to exist);</w:t>
      </w:r>
    </w:p>
    <w:p>
      <w:pPr>
        <w:spacing w:after="0" w:line="143" w:lineRule="exact"/>
        <w:rPr>
          <w:rFonts w:ascii="Arial" w:cs="Arial" w:eastAsia="Arial" w:hAnsi="Arial"/>
          <w:sz w:val="18"/>
          <w:szCs w:val="18"/>
          <w:color w:val="auto"/>
        </w:rPr>
      </w:pPr>
    </w:p>
    <w:p>
      <w:pPr>
        <w:ind w:left="1040" w:right="800" w:hanging="330"/>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caused, and could cause further, difficulties in retaining key employees and delays or uncertainties in making decisions about the combined business;</w:t>
      </w:r>
    </w:p>
    <w:p>
      <w:pPr>
        <w:spacing w:after="0" w:line="359" w:lineRule="exact"/>
        <w:rPr>
          <w:rFonts w:ascii="Arial" w:cs="Arial" w:eastAsia="Arial" w:hAnsi="Arial"/>
          <w:sz w:val="18"/>
          <w:szCs w:val="18"/>
          <w:color w:val="auto"/>
        </w:rPr>
      </w:pPr>
    </w:p>
    <w:p>
      <w:pPr>
        <w:ind w:left="1040" w:right="180" w:hanging="330"/>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resulted in, and could result in additional, significant costs (including higher capital expenditures relative to our competitors as a result of maintaining separate functions in several areas); and</w:t>
      </w:r>
    </w:p>
    <w:p>
      <w:pPr>
        <w:spacing w:after="0" w:line="359" w:lineRule="exact"/>
        <w:rPr>
          <w:rFonts w:ascii="Arial" w:cs="Arial" w:eastAsia="Arial" w:hAnsi="Arial"/>
          <w:sz w:val="18"/>
          <w:szCs w:val="18"/>
          <w:color w:val="auto"/>
        </w:rPr>
      </w:pPr>
    </w:p>
    <w:p>
      <w:pPr>
        <w:ind w:left="1040" w:hanging="330"/>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required, and could require additional, changes in business practices.</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March 2014, we submitted an application to MOFCOM requesting that the regulatory restrictions be lifted. In December 2014, we successfully resolved two non-compliance matters with MOFCOM, relating to: (1) the organization of a WDC department that included several former HGST employees, and (2) the realignment of the ownership structure of an indirect subsidiary of WDC. We cannot predict whether or when the regulatory restrictions will be wholly or partially lifted or whether we will be able to realize the anticipated benefits of our acquisition of HGST even if the restrictions are wholly or partially lifted.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Adverse global economic conditions and credit market uncertainty could harm our business, results of operations and financial condition.</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financial and real estate markets, cost increases and other macroeconomic factors. Some of the risks and uncertainties we face as a result of these conditions include the following: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160"/>
        <w:spacing w:after="0" w:line="251" w:lineRule="auto"/>
        <w:rPr>
          <w:sz w:val="20"/>
          <w:szCs w:val="20"/>
          <w:color w:val="auto"/>
        </w:rPr>
      </w:pPr>
      <w:r>
        <w:rPr>
          <w:rFonts w:ascii="Arial" w:cs="Arial" w:eastAsia="Arial" w:hAnsi="Arial"/>
          <w:sz w:val="18"/>
          <w:szCs w:val="18"/>
          <w:i w:val="1"/>
          <w:iCs w:val="1"/>
          <w:color w:val="auto"/>
        </w:rPr>
        <w:t xml:space="preserve">Volatile Demand. </w:t>
      </w:r>
      <w:r>
        <w:rPr>
          <w:rFonts w:ascii="Arial" w:cs="Arial" w:eastAsia="Arial" w:hAnsi="Arial"/>
          <w:sz w:val="18"/>
          <w:szCs w:val="18"/>
          <w:color w:val="auto"/>
        </w:rPr>
        <w:t>Our direct and indirect customers may delay or reduce their purchases of our products and systems containing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200" w:lineRule="exact"/>
        <w:rPr>
          <w:sz w:val="20"/>
          <w:szCs w:val="20"/>
          <w:color w:val="auto"/>
        </w:rPr>
      </w:pPr>
    </w:p>
    <w:p>
      <w:pPr>
        <w:spacing w:after="0" w:line="267" w:lineRule="exact"/>
        <w:rPr>
          <w:sz w:val="20"/>
          <w:szCs w:val="20"/>
          <w:color w:val="auto"/>
        </w:rPr>
      </w:pPr>
    </w:p>
    <w:p>
      <w:pPr>
        <w:ind w:left="1040" w:right="900" w:hanging="330"/>
        <w:spacing w:after="0" w:line="219" w:lineRule="auto"/>
        <w:tabs>
          <w:tab w:leader="none" w:pos="1040" w:val="left"/>
        </w:tabs>
        <w:numPr>
          <w:ilvl w:val="0"/>
          <w:numId w:val="9"/>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Restructuring Activities. </w:t>
      </w:r>
      <w:r>
        <w:rPr>
          <w:rFonts w:ascii="Arial" w:cs="Arial" w:eastAsia="Arial" w:hAnsi="Arial"/>
          <w:sz w:val="16"/>
          <w:szCs w:val="16"/>
          <w:color w:val="auto"/>
        </w:rPr>
        <w:t>If demand for our products slows as a result of a deterioration in economic conditions, we may undertake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activities to realign our cost structure with softening demand. The occurrence of restructuring activities could result in impairment charges and other expenses, which could adversely impact our results of operations or financial condition.</w:t>
      </w:r>
    </w:p>
    <w:p>
      <w:pPr>
        <w:spacing w:after="0" w:line="200" w:lineRule="exact"/>
        <w:rPr>
          <w:sz w:val="20"/>
          <w:szCs w:val="20"/>
          <w:color w:val="auto"/>
        </w:rPr>
      </w:pPr>
    </w:p>
    <w:p>
      <w:pPr>
        <w:spacing w:after="0" w:line="24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160"/>
        <w:spacing w:after="0" w:line="268" w:lineRule="auto"/>
        <w:rPr>
          <w:sz w:val="20"/>
          <w:szCs w:val="20"/>
          <w:color w:val="auto"/>
        </w:rPr>
      </w:pPr>
      <w:r>
        <w:rPr>
          <w:rFonts w:ascii="Arial" w:cs="Arial" w:eastAsia="Arial" w:hAnsi="Arial"/>
          <w:sz w:val="17"/>
          <w:szCs w:val="17"/>
          <w:i w:val="1"/>
          <w:iCs w:val="1"/>
          <w:color w:val="auto"/>
        </w:rPr>
        <w:t xml:space="preserve">Credit Volatility and Loss of Receivables. </w:t>
      </w:r>
      <w:r>
        <w:rPr>
          <w:rFonts w:ascii="Arial" w:cs="Arial" w:eastAsia="Arial" w:hAnsi="Arial"/>
          <w:sz w:val="17"/>
          <w:szCs w:val="17"/>
          <w:color w:val="auto"/>
        </w:rPr>
        <w:t>We extend credit and payment terms to some of our customers. In addition to ongoing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and is unable to pay us. Additionally, negative or uncertain global economic conditions increase the risk that if a customer whose accounts receivable we have insured fails, the financial condition of the insurance carrier for such customer account may have also deteriorated such that it cannot cover our loss. A significant loss of an accounts receivable that we cannot recover through credit insurance would have a negative impact on our financial results.</w:t>
      </w:r>
    </w:p>
    <w:p>
      <w:pPr>
        <w:spacing w:after="0" w:line="200" w:lineRule="exact"/>
        <w:rPr>
          <w:sz w:val="20"/>
          <w:szCs w:val="20"/>
          <w:color w:val="auto"/>
        </w:rPr>
      </w:pPr>
    </w:p>
    <w:p>
      <w:pPr>
        <w:spacing w:after="0" w:line="253" w:lineRule="exact"/>
        <w:rPr>
          <w:sz w:val="20"/>
          <w:szCs w:val="20"/>
          <w:color w:val="auto"/>
        </w:rPr>
      </w:pPr>
    </w:p>
    <w:p>
      <w:pPr>
        <w:ind w:left="1040" w:right="140" w:hanging="330"/>
        <w:spacing w:after="0" w:line="232" w:lineRule="auto"/>
        <w:tabs>
          <w:tab w:leader="none" w:pos="1040" w:val="left"/>
        </w:tabs>
        <w:numPr>
          <w:ilvl w:val="0"/>
          <w:numId w:val="10"/>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Impairment Charges. </w:t>
      </w:r>
      <w:r>
        <w:rPr>
          <w:rFonts w:ascii="Arial" w:cs="Arial" w:eastAsia="Arial" w:hAnsi="Arial"/>
          <w:sz w:val="16"/>
          <w:szCs w:val="16"/>
          <w:color w:val="auto"/>
        </w:rPr>
        <w:t>Negative or uncertain global economic conditions could result in circumstances, such as a sustained decline in our stock</w:t>
      </w:r>
      <w:r>
        <w:rPr>
          <w:rFonts w:ascii="Arial" w:cs="Arial" w:eastAsia="Arial" w:hAnsi="Arial"/>
          <w:sz w:val="16"/>
          <w:szCs w:val="16"/>
          <w:i w:val="1"/>
          <w:iCs w:val="1"/>
          <w:color w:val="auto"/>
        </w:rPr>
        <w:t xml:space="preserve"> </w:t>
      </w:r>
      <w:r>
        <w:rPr>
          <w:rFonts w:ascii="Arial" w:cs="Arial" w:eastAsia="Arial" w:hAnsi="Arial"/>
          <w:sz w:val="16"/>
          <w:szCs w:val="16"/>
          <w:color w:val="auto"/>
        </w:rPr>
        <w:t>price and market capitalization or a decrease in our forecasted cash flows such that they are insufficient, indicating that the carrying value of our long-lived assets or goodwill may be impaired. If we are required to record a significant charge to earnings in our consolidated financial statements because an impairment of our long-lived assets or goodwill is determined, our results of operations will be adversely affected.</w:t>
      </w:r>
    </w:p>
    <w:p>
      <w:pPr>
        <w:spacing w:after="0" w:line="256"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i w:val="1"/>
          <w:iCs w:val="1"/>
          <w:color w:val="auto"/>
        </w:rPr>
        <w:t>We participate in a highly competitive industry that is subject to declining average selling prices ("ASPs"), volatile gross margins and significant shifts in market share, all of which could adversely affect our operating results.</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Demand for our devices, software and solutions that we offer to our customers,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As a result, the storage market has experienced periods of excess capacity, which can lead to liquidation of excess inventories and more intense price competition. If more intense price competition occurs, we may be forced to lower prices sooner and more than expected, which could adversely impact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In addition, rapid technological changes often reduce the volume and profitability of sales of existing products and increase the risk of inventory obsolescence. These factors, along with others, may result in significant shifts in market share among the industry’s major participants, including a substantial decrease in our market share.</w:t>
      </w:r>
    </w:p>
    <w:p>
      <w:pPr>
        <w:spacing w:after="0" w:line="126"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1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is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experience significant sales seasonality and cyclicality, which could cause our operating results to fluctuate.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of computer systems, storage subsystems, gaming consoles and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122" w:lineRule="exact"/>
        <w:rPr>
          <w:sz w:val="20"/>
          <w:szCs w:val="20"/>
          <w:color w:val="auto"/>
        </w:rPr>
      </w:pPr>
    </w:p>
    <w:p>
      <w:pPr>
        <w:ind w:left="500" w:right="220"/>
        <w:spacing w:after="0" w:line="264" w:lineRule="auto"/>
        <w:rPr>
          <w:sz w:val="20"/>
          <w:szCs w:val="20"/>
          <w:color w:val="auto"/>
        </w:rPr>
      </w:pPr>
      <w:r>
        <w:rPr>
          <w:rFonts w:ascii="Arial" w:cs="Arial" w:eastAsia="Arial" w:hAnsi="Arial"/>
          <w:sz w:val="18"/>
          <w:szCs w:val="18"/>
          <w:i w:val="1"/>
          <w:iCs w:val="1"/>
          <w:color w:val="auto"/>
        </w:rPr>
        <w:t>Our sales to the CE, cloud computing, network attached storage (NAS), surveillance and enterprise markets, which have accounted for and may continue accounting for an increasing percentage of our overall revenue, may grow at a slower rate than current estimates or not at all, which could materially adversely impact our operating results.</w:t>
      </w:r>
    </w:p>
    <w:p>
      <w:pPr>
        <w:spacing w:after="0" w:line="1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214" w:lineRule="exact"/>
        <w:rPr>
          <w:sz w:val="20"/>
          <w:szCs w:val="20"/>
          <w:color w:val="auto"/>
        </w:rPr>
      </w:pPr>
    </w:p>
    <w:p>
      <w:pPr>
        <w:ind w:left="1040" w:right="360" w:hanging="330"/>
        <w:spacing w:after="0" w:line="224" w:lineRule="auto"/>
        <w:tabs>
          <w:tab w:leader="none" w:pos="1040" w:val="left"/>
        </w:tabs>
        <w:numPr>
          <w:ilvl w:val="0"/>
          <w:numId w:val="11"/>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Mobile Devices. </w:t>
      </w:r>
      <w:r>
        <w:rPr>
          <w:rFonts w:ascii="Arial" w:cs="Arial" w:eastAsia="Arial" w:hAnsi="Arial"/>
          <w:sz w:val="17"/>
          <w:szCs w:val="17"/>
          <w:color w:val="auto"/>
        </w:rPr>
        <w:t>There has been and continues to be a rapid growth in devices that do not contain a hard drive such as tablet computers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demand for our products in these markets may decrease and our financial results could be materially adversely affected.</w:t>
      </w:r>
    </w:p>
    <w:p>
      <w:pPr>
        <w:spacing w:after="0" w:line="200" w:lineRule="exact"/>
        <w:rPr>
          <w:rFonts w:ascii="Arial" w:cs="Arial" w:eastAsia="Arial" w:hAnsi="Arial"/>
          <w:sz w:val="34"/>
          <w:szCs w:val="34"/>
          <w:color w:val="auto"/>
          <w:vertAlign w:val="superscript"/>
        </w:rPr>
      </w:pPr>
    </w:p>
    <w:p>
      <w:pPr>
        <w:spacing w:after="0" w:line="352" w:lineRule="exact"/>
        <w:rPr>
          <w:rFonts w:ascii="Arial" w:cs="Arial" w:eastAsia="Arial" w:hAnsi="Arial"/>
          <w:sz w:val="34"/>
          <w:szCs w:val="34"/>
          <w:color w:val="auto"/>
          <w:vertAlign w:val="superscript"/>
        </w:rPr>
      </w:pPr>
    </w:p>
    <w:p>
      <w:pPr>
        <w:ind w:left="1040" w:right="140" w:hanging="330"/>
        <w:spacing w:after="0"/>
        <w:tabs>
          <w:tab w:leader="none" w:pos="1040" w:val="left"/>
        </w:tabs>
        <w:numPr>
          <w:ilvl w:val="0"/>
          <w:numId w:val="11"/>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Cloud Computing. </w:t>
      </w:r>
      <w:r>
        <w:rPr>
          <w:rFonts w:ascii="Arial" w:cs="Arial" w:eastAsia="Arial" w:hAnsi="Arial"/>
          <w:sz w:val="17"/>
          <w:szCs w:val="17"/>
          <w:color w:val="auto"/>
        </w:rPr>
        <w:t>Consumers traditionally have stored their data on their PC, often supplemented with personal external storage devices.</w:t>
      </w:r>
      <w:r>
        <w:rPr>
          <w:rFonts w:ascii="Arial" w:cs="Arial" w:eastAsia="Arial" w:hAnsi="Arial"/>
          <w:sz w:val="17"/>
          <w:szCs w:val="17"/>
          <w:i w:val="1"/>
          <w:iCs w:val="1"/>
          <w:color w:val="auto"/>
        </w:rPr>
        <w:t xml:space="preserve"> </w:t>
      </w:r>
      <w:r>
        <w:rPr>
          <w:rFonts w:ascii="Arial" w:cs="Arial" w:eastAsia="Arial" w:hAnsi="Arial"/>
          <w:sz w:val="17"/>
          <w:szCs w:val="17"/>
          <w:color w:val="auto"/>
        </w:rPr>
        <w:t>Most businesses also include similar local storage as a primary or secondary storage location. This storage is typically provided by HDDs. With cloud computing, applications and data are hosted, accessed and processed through a third-party provider over a broadband Internet connection, potentially reducing or eliminating the need for, among other things, significant storage inside the accessing computer.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341" w:lineRule="exact"/>
        <w:rPr>
          <w:rFonts w:ascii="Arial" w:cs="Arial" w:eastAsia="Arial" w:hAnsi="Arial"/>
          <w:sz w:val="34"/>
          <w:szCs w:val="34"/>
          <w:color w:val="auto"/>
          <w:vertAlign w:val="superscript"/>
        </w:rPr>
      </w:pPr>
    </w:p>
    <w:p>
      <w:pPr>
        <w:ind w:left="1040" w:right="380" w:hanging="330"/>
        <w:spacing w:after="0" w:line="192" w:lineRule="auto"/>
        <w:tabs>
          <w:tab w:leader="none" w:pos="104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Obsolete Inventory. </w:t>
      </w:r>
      <w:r>
        <w:rPr>
          <w:rFonts w:ascii="Arial" w:cs="Arial" w:eastAsia="Arial" w:hAnsi="Arial"/>
          <w:sz w:val="18"/>
          <w:szCs w:val="18"/>
          <w:color w:val="auto"/>
        </w:rPr>
        <w:t>In some cases, products we manufacture for these markets are uniquely configured for a single customer’s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creating a risk of obsolete inventory if anticipated demand is not actually realized. In addition, rapid technological change in our industry increases the risk of inventory obsolescence.</w:t>
      </w:r>
    </w:p>
    <w:p>
      <w:pPr>
        <w:spacing w:after="0" w:line="200" w:lineRule="exact"/>
        <w:rPr>
          <w:rFonts w:ascii="Arial" w:cs="Arial" w:eastAsia="Arial" w:hAnsi="Arial"/>
          <w:sz w:val="36"/>
          <w:szCs w:val="36"/>
          <w:color w:val="auto"/>
          <w:vertAlign w:val="superscript"/>
        </w:rPr>
      </w:pPr>
    </w:p>
    <w:p>
      <w:pPr>
        <w:spacing w:after="0" w:line="353" w:lineRule="exact"/>
        <w:rPr>
          <w:rFonts w:ascii="Arial" w:cs="Arial" w:eastAsia="Arial" w:hAnsi="Arial"/>
          <w:sz w:val="36"/>
          <w:szCs w:val="36"/>
          <w:color w:val="auto"/>
          <w:vertAlign w:val="superscript"/>
        </w:rPr>
      </w:pPr>
    </w:p>
    <w:p>
      <w:pPr>
        <w:ind w:left="1040" w:right="200" w:hanging="330"/>
        <w:spacing w:after="0" w:line="203" w:lineRule="auto"/>
        <w:tabs>
          <w:tab w:leader="none" w:pos="104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Macroeconomic Conditions. </w:t>
      </w:r>
      <w:r>
        <w:rPr>
          <w:rFonts w:ascii="Arial" w:cs="Arial" w:eastAsia="Arial" w:hAnsi="Arial"/>
          <w:sz w:val="18"/>
          <w:szCs w:val="18"/>
          <w:color w:val="auto"/>
        </w:rPr>
        <w:t>Consumer spending has been, and may continue to be, adversely affected in many regions due to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conditions and high unemployment levels. Please see the risk factor entitled “</w:t>
      </w:r>
      <w:r>
        <w:rPr>
          <w:rFonts w:ascii="Arial" w:cs="Arial" w:eastAsia="Arial" w:hAnsi="Arial"/>
          <w:sz w:val="18"/>
          <w:szCs w:val="18"/>
          <w:i w:val="1"/>
          <w:iCs w:val="1"/>
          <w:color w:val="auto"/>
        </w:rPr>
        <w:t>Adverse global economic conditions and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market uncertainty could harm our business, results of operations and financial condition.” </w:t>
      </w:r>
      <w:r>
        <w:rPr>
          <w:rFonts w:ascii="Arial" w:cs="Arial" w:eastAsia="Arial" w:hAnsi="Arial"/>
          <w:sz w:val="18"/>
          <w:szCs w:val="18"/>
          <w:color w:val="auto"/>
        </w:rPr>
        <w:t>for more risks and uncertainties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conditions.</w:t>
      </w:r>
    </w:p>
    <w:p>
      <w:pPr>
        <w:spacing w:after="0" w:line="25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demand in these markets also could be negatively impacted by developments in the regulation and enforcement of digital rights management and the emergence of new technologies, such as data deduplication, compression and storage virtualization. If we are not able to respond appropriately, these factors could lead to our customers’ storage needs being satisfied at lower prices with lower capacity hard drives or solid-state storage products, thereby decreasing our revenue or</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Furthermore, our ability to accurately read and respond to market trends, such as trends relating to the Internet or big data, could harm our results.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Deterioration in the client compute market ("the PC market") has accelerated, which could cause our operating results to suffer.</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sales to non-PC markets are becoming a more significant source of revenue, sales to the PC market remain an important part of our business. The PC market, however, has been, and may continue to be, adversely affected by the growth of tablet computers, smart phones and similar devices that perform many of the same capabilities as PCs, the lengthening of product life cycles and macroeconomic conditions. We believe that the deterioration of the PC market has accelerated recently, and that this accelerated deterioration may continue or further accelerate, which could cause our operating results to suffer. Additionally, if demand in the PC market is worse than expected as a result of these or other conditions, demand for our products in the PC market may decrease at a faster rate and our operating results may be adversely affected.</w:t>
      </w:r>
    </w:p>
    <w:p>
      <w:pPr>
        <w:spacing w:after="0" w:line="11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w:t>
      </w:r>
      <w:r>
        <w:rPr>
          <w:rFonts w:ascii="Arial" w:cs="Arial" w:eastAsia="Arial" w:hAnsi="Arial"/>
          <w:sz w:val="17"/>
          <w:szCs w:val="17"/>
          <w:color w:val="auto"/>
          <w:vertAlign w:val="superscript"/>
        </w:rPr>
        <w:t>®</w:t>
      </w:r>
      <w:r>
        <w:rPr>
          <w:rFonts w:ascii="Arial" w:cs="Arial" w:eastAsia="Arial" w:hAnsi="Arial"/>
          <w:sz w:val="17"/>
          <w:szCs w:val="17"/>
          <w:color w:val="auto"/>
        </w:rPr>
        <w:t>, HGST™ or G-Technology™ brand products, our operating results may be adversely affected.</w:t>
      </w:r>
    </w:p>
    <w:p>
      <w:pPr>
        <w:spacing w:after="0" w:line="128"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1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Loss of market share with or by a key customer, or consolidation among our customer base, could harm our operating results.</w:t>
      </w:r>
    </w:p>
    <w:p>
      <w:pPr>
        <w:spacing w:after="0" w:line="17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During the quarter ended July 3, 2015, 44%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would likely be harmed.</w:t>
      </w:r>
    </w:p>
    <w:p>
      <w:pPr>
        <w:spacing w:after="0" w:line="1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could be harmed.</w:t>
      </w:r>
    </w:p>
    <w:p>
      <w:pPr>
        <w:spacing w:after="0" w:line="111" w:lineRule="exact"/>
        <w:rPr>
          <w:sz w:val="20"/>
          <w:szCs w:val="20"/>
          <w:color w:val="auto"/>
        </w:rPr>
      </w:pPr>
    </w:p>
    <w:p>
      <w:pPr>
        <w:jc w:val="both"/>
        <w:ind w:left="500" w:right="40"/>
        <w:spacing w:after="0" w:line="264" w:lineRule="auto"/>
        <w:rPr>
          <w:sz w:val="20"/>
          <w:szCs w:val="20"/>
          <w:color w:val="auto"/>
        </w:rPr>
      </w:pPr>
      <w:r>
        <w:rPr>
          <w:rFonts w:ascii="Arial" w:cs="Arial" w:eastAsia="Arial" w:hAnsi="Arial"/>
          <w:sz w:val="18"/>
          <w:szCs w:val="18"/>
          <w:i w:val="1"/>
          <w:iCs w:val="1"/>
          <w:color w:val="auto"/>
        </w:rPr>
        <w:t>Expansion into new markets may increase the complexity of our business, cause us to increase our research and development expenses to develop new products and technologies or cause our capital expenditures to increase, and if we are unable to successfully adapt our business processes and product offerings as required by these new markets, our ability to grow will be adversely affected.</w:t>
      </w:r>
    </w:p>
    <w:p>
      <w:pPr>
        <w:spacing w:after="0" w:line="12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 range of storage products to our customers. We currently offer a variety of 3.5-inch and 2.5-inch hard drives, solid state drives and systems and other products for the PC, enterprise, data center and other storage markets. As we expand our product lines to sell into new markets, such as our recent entry into active archive systems, the overall complexity of our business may increase at an accelerated rate and we may become subject to different market dynamics. These dynamics may include, among other things, different demand volume, seasonality, product requirements, sales channels, and warranty and return policies. In addition, expansion into other markets may result in increases in research and development expenses and substantial investments in manufacturing capability or technology enhancements. If we fail to successfully expand into new markets with products that we do not currently offer, we may lose business to our competitors or new entrants who offer these products.</w:t>
      </w:r>
    </w:p>
    <w:p>
      <w:pPr>
        <w:spacing w:after="0" w:line="125"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i w:val="1"/>
          <w:iCs w:val="1"/>
          <w:color w:val="auto"/>
        </w:rPr>
        <w:t>Our vertical integration of head and magnetic media manufacturing makes us dependent on our ability to timely and cost-effectively develop heads and magnetic media with leading technology and overall quality, increasing capital expenditure costs and asset utilization risks for our business.</w:t>
      </w:r>
    </w:p>
    <w:p>
      <w:pPr>
        <w:spacing w:after="0" w:line="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develop and manufacture a substantial portion of the heads and magnetic media used in the hard drive products we produce. Consequently, we are more dependent upon our own development and execution efforts and less able to take advantage of head and magnetic media technologies developed by other manufacturers. Technology transition for head and magnetic media designs is critical to increasing our volume production of heads and magnetic media. We may be unsuccessful in timely and cost-effectively developing and manufacturing heads or magnetic media for products using future technologies. We also may not effectively transition our head or magnetic media design and technology to achieve acceptable manufacturing yields using the technologies necessary to satisfy our customers’ product needs, or we may encounter quality problems with the heads or magnetic media we manufacture. If we are unable to timely and cost-effectively develop heads and magnetic media with leading technology and overall quality, our ability to sell our products may be significantly diminished, which could materially and adversely affect our business and financial results.</w:t>
      </w:r>
    </w:p>
    <w:p>
      <w:pPr>
        <w:spacing w:after="0" w:line="112" w:lineRule="exact"/>
        <w:rPr>
          <w:sz w:val="20"/>
          <w:szCs w:val="20"/>
          <w:color w:val="auto"/>
        </w:rPr>
      </w:pPr>
    </w:p>
    <w:p>
      <w:pPr>
        <w:jc w:val="both"/>
        <w:ind w:right="100" w:firstLine="648"/>
        <w:spacing w:after="0" w:line="271" w:lineRule="auto"/>
        <w:rPr>
          <w:sz w:val="20"/>
          <w:szCs w:val="20"/>
          <w:color w:val="auto"/>
        </w:rPr>
      </w:pPr>
      <w:r>
        <w:rPr>
          <w:rFonts w:ascii="Arial" w:cs="Arial" w:eastAsia="Arial" w:hAnsi="Arial"/>
          <w:sz w:val="17"/>
          <w:szCs w:val="17"/>
          <w:color w:val="auto"/>
        </w:rPr>
        <w:t>In addition, as a result of our vertical integration of head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head or magnetic media manufacturing operations, our ongoing operations could be disrupted, resulting in a decrease in our revenue or profit margins and negatively impacting our operating results.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00" w:right="40"/>
        <w:spacing w:after="0" w:line="342" w:lineRule="auto"/>
        <w:rPr>
          <w:sz w:val="20"/>
          <w:szCs w:val="20"/>
          <w:color w:val="auto"/>
        </w:rPr>
      </w:pPr>
      <w:r>
        <w:rPr>
          <w:rFonts w:ascii="Arial" w:cs="Arial" w:eastAsia="Arial" w:hAnsi="Arial"/>
          <w:sz w:val="16"/>
          <w:szCs w:val="16"/>
          <w:i w:val="1"/>
          <w:iCs w:val="1"/>
          <w:color w:val="auto"/>
        </w:rPr>
        <w:t>We make significant investments in research and development to improve our technology and develop new technologies, and unsuccessful investments or investments that are not cost effective could materially adversely affect our business, financial condition and results of operations.</w:t>
      </w:r>
    </w:p>
    <w:p>
      <w:pPr>
        <w:spacing w:after="0" w:line="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a leading supplier of hard drives and a major supplier of enterprise SSDs, we make significant investments to maintain our existing products and to lead innovation and development of new technologies. This strategy requires us to make significant investments in research and development and, in order to remain competitive, we may increase our capital expenditures and expenses above our historical run-rate model.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research and development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Consolidation within the data storage industry could provide competitive advantages to our competitors.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consolidations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12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of storage products, may, over extended periods of time, sell storage products at prices that we cannot profitably match.</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qualify our products with our customers, it may have a significant adverse impact on our sales and margins.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regularly engage in new product qualification with our customers.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w:t>
      </w:r>
    </w:p>
    <w:p>
      <w:pPr>
        <w:spacing w:after="0" w:line="111"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i w:val="1"/>
          <w:iCs w:val="1"/>
          <w:color w:val="auto"/>
        </w:rPr>
        <w:t>We are subject to risks related to product defects or the unintended use of our products, which could result in product recalls or epidemic failures and could subject us to warranty claims in excess of our warranty provisions or which are greater than anticipated.</w:t>
      </w:r>
    </w:p>
    <w:p>
      <w:pPr>
        <w:spacing w:after="0" w:line="11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1"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a product recall or epidemic failure may damage our reputation or customer relationships, and may cause us to lose market share with our customers, including our OEM and ODM customers.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84"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i w:val="1"/>
          <w:iCs w:val="1"/>
          <w:color w:val="auto"/>
        </w:rPr>
        <w:t>Because we are dependent on a 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depend on an external supply base for technologies, software (including firmware), components, equipment and materials for use in our product design and manufacturing. We also depend on service suppliers for providing technical support for our products. In addition, we use logistics partners to manage our just-in-time hubs, distribution centers and freight from suppliers to our factories and from our factories to our customers throughout the world. Many of these components and much of this equipment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Where we rely on a limited number of suppliers or a single supplier, the risk of supplier loss due to industry consolidation is enhanced.</w:t>
      </w:r>
    </w:p>
    <w:p>
      <w:pPr>
        <w:spacing w:after="0" w:line="11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Many of the risks that affect us also affect our supply base, including, but not limited to, having single site manufacturing locations based in high risk regions of the world, macro and local economic conditions, shortages of commodity materials, proper management of technology transitions, natural disasters, geo-political risks, compliance with legal requirements, financial instability and exposure to intellectual property and other litigation, including an injunction or other action that could delay shipping. If any of these risks were to affect our suppliers,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to develop new technologies and, as a result, we may become subject to litigation from our suppliers or third parties.</w:t>
      </w:r>
    </w:p>
    <w:p>
      <w:pPr>
        <w:spacing w:after="0" w:line="12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As PC demand declines, competition increases from NAND and other consumer devices, the total available market for HDDs decreases and costs increase, these suppliers may reevaluate their business models.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such as NAND flash. In the case of NAND suppliers, many of which are involved in developing storage products such as SSD that, in some cases, compete with our products. Our success in these new product areas may be dependent on our ability and their willingness to develop close relationships, with preferential agreements. Where this cannot be done, our business and operations may be adversely affected.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an external supply base, we also rely on an internal supply chain of heads, media and media substrate. Please see the risk factors entitled, “</w:t>
      </w:r>
      <w:r>
        <w:rPr>
          <w:rFonts w:ascii="Arial" w:cs="Arial" w:eastAsia="Arial" w:hAnsi="Arial"/>
          <w:sz w:val="18"/>
          <w:szCs w:val="18"/>
          <w:i w:val="1"/>
          <w:iCs w:val="1"/>
          <w:color w:val="auto"/>
        </w:rPr>
        <w:t>A fundamental change in storage technologies could result in significant increases in our costs and could put us at a competitive disadvantage,”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“If we do not properly manage technology transitions, our competitiveness and operating results may be negatively affected,” </w:t>
      </w:r>
      <w:r>
        <w:rPr>
          <w:rFonts w:ascii="Arial" w:cs="Arial" w:eastAsia="Arial" w:hAnsi="Arial"/>
          <w:sz w:val="18"/>
          <w:szCs w:val="18"/>
          <w:color w:val="auto"/>
        </w:rPr>
        <w:t>for a review of some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internal supply.</w:t>
      </w:r>
    </w:p>
    <w:p>
      <w:pPr>
        <w:spacing w:after="0" w:line="11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Price volatility, shortages of critical materials or components, or use by other industries of materials and components used in the storage industry, may negatively impact our operating results.</w:t>
      </w:r>
    </w:p>
    <w:p>
      <w:pPr>
        <w:spacing w:after="0" w:line="11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15"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 or may cause us to have inadequate or excess component inventory.</w:t>
      </w:r>
    </w:p>
    <w:p>
      <w:pPr>
        <w:spacing w:after="0" w:line="11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Changes in product life cycles could adversely affect our financial results.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research and development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A fundamental change in storage technologies could result in significant increases in our costs and could put us at a competitive disadvantage.</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Historically, when the industry experiences a fundamental change in storage technologies, any manufacturer that fails to successfully and timely adjust its designs and processes to accommodate the new technology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As a result of these technology shifts, we could incur substantial costs in developing new technologies, such as heads, magnetic media, and tools to remain competitive. If we fail to successfully implement these new technologies, or if we are significantly slower than our competitors at implementing new technologies, we may not be able to offer products with capacities that our customers desire, which could harm our operating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The difficulty of introducing hard drives with higher levels of areal density and the challenges of reducing other costs may impact our ability to achieve historical levels of cost reduction.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technology transitions, our competitiveness and operating results may be negatively affected.</w:t>
      </w:r>
    </w:p>
    <w:p>
      <w:pPr>
        <w:spacing w:after="0" w:line="17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which could harm our operating results.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new product development, our competitiveness and operating results may be negatively affected.</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advances in computer hardware and software are made, our customers have demanded a more diversified portfolio of products with new and additional features. In some cases, this demand results in investments in new products for a particular market that do not necessarily expand overall market opportunity, which may negatively affect our operating results.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52" w:lineRule="exact"/>
        <w:rPr>
          <w:sz w:val="20"/>
          <w:szCs w:val="20"/>
          <w:color w:val="auto"/>
        </w:rPr>
      </w:pPr>
    </w:p>
    <w:p>
      <w:pPr>
        <w:ind w:left="1040" w:hanging="330"/>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300" w:hanging="330"/>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 and</w:t>
      </w:r>
    </w:p>
    <w:p>
      <w:pPr>
        <w:spacing w:after="0" w:line="143" w:lineRule="exact"/>
        <w:rPr>
          <w:rFonts w:ascii="Arial" w:cs="Arial" w:eastAsia="Arial" w:hAnsi="Arial"/>
          <w:sz w:val="18"/>
          <w:szCs w:val="18"/>
          <w:color w:val="auto"/>
        </w:rPr>
      </w:pPr>
    </w:p>
    <w:p>
      <w:pPr>
        <w:ind w:left="1040" w:hanging="330"/>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133"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52525"/>
        </w:rPr>
        <w:t>have also seen, and anticipate continuing to see, an increase in customers requesting that we develop products, including software associated</w:t>
      </w:r>
      <w:r>
        <w:rPr>
          <w:rFonts w:ascii="Arial" w:cs="Arial" w:eastAsia="Arial" w:hAnsi="Arial"/>
          <w:sz w:val="16"/>
          <w:szCs w:val="16"/>
          <w:color w:val="auto"/>
        </w:rPr>
        <w:t xml:space="preserve"> </w:t>
      </w:r>
      <w:r>
        <w:rPr>
          <w:rFonts w:ascii="Arial" w:cs="Arial" w:eastAsia="Arial" w:hAnsi="Arial"/>
          <w:sz w:val="16"/>
          <w:szCs w:val="16"/>
          <w:color w:val="252525"/>
        </w:rPr>
        <w:t xml:space="preserve">with our products, that incorporate open source software elements and operate in an open source environment. Adapting to this demand may cause product delays, placing us at a competitive disadvantage. </w:t>
      </w:r>
      <w:r>
        <w:rPr>
          <w:rFonts w:ascii="Arial" w:cs="Arial" w:eastAsia="Arial" w:hAnsi="Arial"/>
          <w:sz w:val="16"/>
          <w:szCs w:val="16"/>
          <w:color w:val="000000"/>
        </w:rPr>
        <w:t>Open source products could also reduce our capability for product differentiation or innovation and our</w:t>
      </w:r>
      <w:r>
        <w:rPr>
          <w:rFonts w:ascii="Arial" w:cs="Arial" w:eastAsia="Arial" w:hAnsi="Arial"/>
          <w:sz w:val="16"/>
          <w:szCs w:val="16"/>
          <w:color w:val="252525"/>
        </w:rPr>
        <w:t xml:space="preserve"> </w:t>
      </w:r>
      <w:r>
        <w:rPr>
          <w:rFonts w:ascii="Arial" w:cs="Arial" w:eastAsia="Arial" w:hAnsi="Arial"/>
          <w:sz w:val="16"/>
          <w:szCs w:val="16"/>
          <w:color w:val="000000"/>
        </w:rPr>
        <w:t>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develop and introduce new products that are competitive against alternative storage technologies, our business may suffer.</w:t>
      </w:r>
    </w:p>
    <w:p>
      <w:pPr>
        <w:spacing w:after="0" w:line="17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Our success depends in part on our ability to develop and introduce new products in a timely manner in order to keep pace with technology advancements. Newer storage technologies have successfully served mobility markets for products that cannot be serviced using traditional storage technologies. Advances in semiconductor technology have resulted in other emerging technologies that can be competitive with traditional storage technologies. For example, SSDs have significantly increased their penetration in notebook PCs in recent years. We </w:t>
      </w:r>
      <w:r>
        <w:rPr>
          <w:rFonts w:ascii="Arial" w:cs="Arial" w:eastAsia="Arial" w:hAnsi="Arial"/>
          <w:sz w:val="16"/>
          <w:szCs w:val="16"/>
          <w:color w:val="252525"/>
        </w:rPr>
        <w:t>believe that SSDs will increasingly</w:t>
      </w:r>
      <w:r>
        <w:rPr>
          <w:rFonts w:ascii="Arial" w:cs="Arial" w:eastAsia="Arial" w:hAnsi="Arial"/>
          <w:sz w:val="16"/>
          <w:szCs w:val="16"/>
          <w:color w:val="auto"/>
        </w:rPr>
        <w:t xml:space="preserve"> </w:t>
      </w:r>
      <w:r>
        <w:rPr>
          <w:rFonts w:ascii="Arial" w:cs="Arial" w:eastAsia="Arial" w:hAnsi="Arial"/>
          <w:sz w:val="16"/>
          <w:szCs w:val="16"/>
          <w:color w:val="252525"/>
        </w:rPr>
        <w:t xml:space="preserve">replace HDDs in notebook and desktop PCs, and we currently do not offer client SSD solutions. We also expect that SSD penetration will increase in enterprise areas requiring </w:t>
      </w:r>
      <w:r>
        <w:rPr>
          <w:rFonts w:ascii="Arial" w:cs="Arial" w:eastAsia="Arial" w:hAnsi="Arial"/>
          <w:sz w:val="16"/>
          <w:szCs w:val="16"/>
          <w:color w:val="000000"/>
        </w:rPr>
        <w:t>high performance needs in advanced digital computing. We may be unsuccessful in anticipating and developing new and improved</w:t>
      </w:r>
      <w:r>
        <w:rPr>
          <w:rFonts w:ascii="Arial" w:cs="Arial" w:eastAsia="Arial" w:hAnsi="Arial"/>
          <w:sz w:val="16"/>
          <w:szCs w:val="16"/>
          <w:color w:val="252525"/>
        </w:rPr>
        <w:t xml:space="preserve"> </w:t>
      </w:r>
      <w:r>
        <w:rPr>
          <w:rFonts w:ascii="Arial" w:cs="Arial" w:eastAsia="Arial" w:hAnsi="Arial"/>
          <w:sz w:val="16"/>
          <w:szCs w:val="16"/>
          <w:color w:val="000000"/>
        </w:rPr>
        <w:t>products for the client, enterprise and other storage markets in response to competing technologies. If our hard drive and solid state products fail to offer a superior value proposition to alternative storage products, we will be at a competitive disadvantage and our business will suffer.</w:t>
      </w:r>
    </w:p>
    <w:p>
      <w:pPr>
        <w:spacing w:after="0" w:line="9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1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WD's internal slider capacity and 60% of WD's hard drive manufacturing capacity was in Thailand. As a result of the flooding in Thailand, WD's facilities were inundated and temporarily shut down. During that period, WD's ability to manufacture hard drives was significantly constrained, adversely affecting WD's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Manufacturing, marketing and selling our products globally subjects us to numerous risks.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subject to risks associated with our global manufacturing operations and global marketing and sales efforts, as well as risks associated with our utilization of and reliance on contract manufacturers, including:</w:t>
      </w:r>
    </w:p>
    <w:p>
      <w:pPr>
        <w:spacing w:after="0" w:line="197" w:lineRule="exact"/>
        <w:rPr>
          <w:sz w:val="20"/>
          <w:szCs w:val="20"/>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requisite governmental permits and approvals;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620" w:hanging="330"/>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transportation availability, delays, and extended time required for shipping, which risks may be compounded in periods of price declines;</w:t>
      </w:r>
    </w:p>
    <w:p>
      <w:pPr>
        <w:spacing w:after="0" w:line="359"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restrictions or higher tariffs;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labor and overhead costs; and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40" w:hanging="330"/>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Sudden disruptions to the availability of air transportation, or ocean or land freight lanes, could have an impact on our operations.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deliver our products.</w:t>
      </w:r>
    </w:p>
    <w:p>
      <w:pPr>
        <w:spacing w:after="0" w:line="187" w:lineRule="exact"/>
        <w:rPr>
          <w:sz w:val="20"/>
          <w:szCs w:val="20"/>
          <w:color w:val="auto"/>
        </w:rPr>
      </w:pPr>
    </w:p>
    <w:p>
      <w:pPr>
        <w:ind w:left="500" w:right="20"/>
        <w:spacing w:after="0" w:line="342" w:lineRule="auto"/>
        <w:rPr>
          <w:sz w:val="20"/>
          <w:szCs w:val="20"/>
          <w:color w:val="auto"/>
        </w:rPr>
      </w:pPr>
      <w:r>
        <w:rPr>
          <w:rFonts w:ascii="Arial" w:cs="Arial" w:eastAsia="Arial" w:hAnsi="Arial"/>
          <w:sz w:val="16"/>
          <w:szCs w:val="16"/>
          <w:i w:val="1"/>
          <w:iCs w:val="1"/>
          <w:color w:val="auto"/>
        </w:rPr>
        <w:t>If our technology infrastructure, systems or products are compromised, damaged or interrupted by cyber attacks, data security breaches, other security problems, security vulnerabilities, design defects, or sustain system failures, our operating results and financial condition could be adversely affected.</w:t>
      </w:r>
    </w:p>
    <w:p>
      <w:pPr>
        <w:spacing w:after="0" w:line="12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experience cyber attacks of varying degrees on our technology infrastructure and systems and, as a result, unauthorized parties have obtained in the past, and may in the future obtain, access to our computer systems and networks.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8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intellectual property, or sensitive or personal information. Breaches of our infrastructure, systems or products could also cause our customers and other affected third parties to suffer loss or misuse of proprietary or confidential information, intellectual property,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color w:val="auto"/>
        </w:rPr>
        <w:t>.</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parties with which we have commercial relations. Our possession and use of third-party data including personal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11"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1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For example, we completed the acquisitions of Amplidata in March 2015, Virident in October 2013, and sTec in September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1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Please also see the risk factor entitled “</w:t>
      </w:r>
      <w:r>
        <w:rPr>
          <w:rFonts w:ascii="Arial" w:cs="Arial" w:eastAsia="Arial" w:hAnsi="Arial"/>
          <w:sz w:val="18"/>
          <w:szCs w:val="18"/>
          <w:i w:val="1"/>
          <w:iCs w:val="1"/>
          <w:color w:val="auto"/>
        </w:rPr>
        <w:t>If we fail to realize the anticipated benefits from our acquisition of HGST on a timely basis, or at all,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financial condition may be adversely affected.”</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strategic relationships subject us to risks that could adversely affect our business, financial condition and results of operations.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entered into strategic relationships with various partners to reduce the risk associated with relying on external suppliers for technologies, components, equipment and materials for use in our product design and manufacturing. Please see the risk factor entitled “</w:t>
      </w:r>
      <w:r>
        <w:rPr>
          <w:rFonts w:ascii="Arial" w:cs="Arial" w:eastAsia="Arial" w:hAnsi="Arial"/>
          <w:sz w:val="16"/>
          <w:szCs w:val="16"/>
          <w:i w:val="1"/>
          <w:iCs w:val="1"/>
          <w:color w:val="auto"/>
        </w:rPr>
        <w:t>Because we are dependent on a</w:t>
      </w:r>
      <w:r>
        <w:rPr>
          <w:rFonts w:ascii="Arial" w:cs="Arial" w:eastAsia="Arial" w:hAnsi="Arial"/>
          <w:sz w:val="16"/>
          <w:szCs w:val="16"/>
          <w:color w:val="auto"/>
        </w:rPr>
        <w:t xml:space="preserve"> </w:t>
      </w:r>
      <w:r>
        <w:rPr>
          <w:rFonts w:ascii="Arial" w:cs="Arial" w:eastAsia="Arial" w:hAnsi="Arial"/>
          <w:sz w:val="16"/>
          <w:szCs w:val="16"/>
          <w:i w:val="1"/>
          <w:iCs w:val="1"/>
          <w:color w:val="auto"/>
        </w:rPr>
        <w:t>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 description of the risks associated with our reliance on external suppliers. These strategic relationships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various risks that could adversely affect the value of our investments and our results of operations. These risks include the following:</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600"/>
        <w:spacing w:after="0" w:line="259" w:lineRule="auto"/>
        <w:rPr>
          <w:sz w:val="20"/>
          <w:szCs w:val="20"/>
          <w:color w:val="auto"/>
        </w:rPr>
      </w:pPr>
      <w:r>
        <w:rPr>
          <w:rFonts w:ascii="Arial" w:cs="Arial" w:eastAsia="Arial" w:hAnsi="Arial"/>
          <w:sz w:val="18"/>
          <w:szCs w:val="18"/>
          <w:color w:val="auto"/>
        </w:rPr>
        <w:t>our interests could diverge from our partners’ interests or we may not be able to agree with co-venturers on ongoing activities, or on the amount, timing or nature of further investments in the relationship</w:t>
      </w:r>
    </w:p>
    <w:p>
      <w:pPr>
        <w:spacing w:after="0" w:line="3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we may experience difficulties and delays in ramping production at, and transferring technology to, such ventures;</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our control over the operations of our ventures is limited;</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480"/>
        <w:spacing w:after="0" w:line="259" w:lineRule="auto"/>
        <w:rPr>
          <w:sz w:val="20"/>
          <w:szCs w:val="20"/>
          <w:color w:val="auto"/>
        </w:rPr>
      </w:pPr>
      <w:r>
        <w:rPr>
          <w:rFonts w:ascii="Arial" w:cs="Arial" w:eastAsia="Arial" w:hAnsi="Arial"/>
          <w:sz w:val="18"/>
          <w:szCs w:val="18"/>
          <w:color w:val="auto"/>
        </w:rPr>
        <w:t>due to financial constraints, our co-venturers may be unable to meet their commitments to us or may pose credit risks for our transactions with them;</w:t>
      </w:r>
    </w:p>
    <w:p>
      <w:pPr>
        <w:spacing w:after="0" w:line="3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540"/>
        <w:spacing w:after="0" w:line="259" w:lineRule="auto"/>
        <w:rPr>
          <w:sz w:val="20"/>
          <w:szCs w:val="20"/>
          <w:color w:val="auto"/>
        </w:rPr>
      </w:pPr>
      <w:r>
        <w:rPr>
          <w:rFonts w:ascii="Arial" w:cs="Arial" w:eastAsia="Arial" w:hAnsi="Arial"/>
          <w:sz w:val="18"/>
          <w:szCs w:val="18"/>
          <w:color w:val="auto"/>
        </w:rPr>
        <w:t>due to differing business models or long-term business goals, our partners may decide not to join us in funding capital investment by our ventures, which may result in higher levels of cash expenditures by us;</w:t>
      </w:r>
    </w:p>
    <w:p>
      <w:pPr>
        <w:spacing w:after="0" w:line="375" w:lineRule="exact"/>
        <w:rPr>
          <w:sz w:val="20"/>
          <w:szCs w:val="20"/>
          <w:color w:val="auto"/>
        </w:rPr>
      </w:pPr>
    </w:p>
    <w:p>
      <w:pPr>
        <w:ind w:left="1040" w:right="180" w:hanging="330"/>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our partner is acquired by another company, files for bankruptcy or experiences financial or other losses;</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we may experience difficulties or delays in collecting amounts due to us from our co-venturers;</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the terms of our arrangements may turn out to be unfavorable; and</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adversely affected.</w:t>
      </w:r>
    </w:p>
    <w:p>
      <w:pPr>
        <w:spacing w:after="0" w:line="225"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19"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The nature of our industry and its reliance on intellectual property and other proprietary information subjects us and our suppliers and customers to the risk of significant litigation.</w:t>
      </w:r>
    </w:p>
    <w:p>
      <w:pPr>
        <w:spacing w:after="0" w:line="11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data storage industry has been characterized by significant litigation. This includes litigation relating to patent and other intellectual property rights, product liability claims and other types of litigation. Intellectual property risks increase when we enter into new markets where we have little or no intellectual property protection as a defense against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operating results. As disclosed in Part II, Item 8, Note 5 of the Notes to Condensed Consolidated Financial Statements included in this Annual Report on Form 10-K, in relation to our litigation matter with Seagate, on October 8, 2014, the Minnesota Supreme Court affirmed the decision of the Minnesota Court of Appeals, and as a result on October 14, 2014, we paid Seagate $773.4 million to satisfy the full amount of the final arbitration award plus interest accrued through October 13, 2014.</w:t>
      </w:r>
    </w:p>
    <w:p>
      <w:pPr>
        <w:spacing w:after="0" w:line="11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evaluate notices of alleged patent infringement and notices of patents from patent holders that we receive from time to time.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and customers are subject to similar risks of litigation, and a material, adverse ruling against a supplier or customer could negatively impact our business.</w:t>
      </w:r>
    </w:p>
    <w:p>
      <w:pPr>
        <w:spacing w:after="0" w:line="113"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i w:val="1"/>
          <w:iCs w:val="1"/>
          <w:color w:val="auto"/>
        </w:rPr>
        <w:t>Our reliance on intellectual property and other proprietary information subjects us to the risk that these key ingredients of our business could be copied by competitors.</w:t>
      </w:r>
    </w:p>
    <w:p>
      <w:pPr>
        <w:spacing w:after="0" w:line="11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success depends, in significant part, on the proprietary nature of our technology, including non-patentable intellectual property such as our process technology. If a competitor is able to reproduce or otherwise capitalize on our technology despite the safeguards we have in place, it may be difficult, expensive or impossible for us to obtain necessary legal protection. Also, the laws of some foreign countries may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provisions and a system of internal safeguards to protect our proprietary information. However, any of our registered or unregistered intellectual property rights may be challenged or exploited by others in the industry, which could harm our operating results.</w:t>
      </w:r>
    </w:p>
    <w:p>
      <w:pPr>
        <w:spacing w:after="0" w:line="103"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could cause an increase in our operating costs.</w:t>
      </w:r>
    </w:p>
    <w:p>
      <w:pPr>
        <w:spacing w:after="0" w:line="1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financial condition and operating results.</w:t>
      </w:r>
    </w:p>
    <w:p>
      <w:pPr>
        <w:spacing w:after="0" w:line="1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or operating results to suffer.</w:t>
      </w:r>
    </w:p>
    <w:p>
      <w:pPr>
        <w:spacing w:after="0" w:line="139"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i w:val="1"/>
          <w:iCs w:val="1"/>
          <w:color w:val="auto"/>
        </w:rPr>
        <w:t>Conflict minerals regulations may cause us to incur additional expenses and could limit the supply and increase the cost of certain components and metals contained in our products.</w:t>
      </w:r>
    </w:p>
    <w:p>
      <w:pPr>
        <w:spacing w:after="0" w:line="11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August 2012, the SEC adopted new rules establishing diligence and disclosure requirements regarding the use and source of gold, tantalum, tin and tungsten, commonly referred to as 3TG or conflict minerals, that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To the extent that proposed conflict minerals legislation is adopted by the European Commission or Canada, these risks could increase.</w:t>
      </w:r>
    </w:p>
    <w:p>
      <w:pPr>
        <w:spacing w:after="0" w:line="119" w:lineRule="exact"/>
        <w:rPr>
          <w:sz w:val="20"/>
          <w:szCs w:val="20"/>
          <w:color w:val="auto"/>
        </w:rPr>
      </w:pPr>
    </w:p>
    <w:p>
      <w:pPr>
        <w:ind w:left="500" w:right="620"/>
        <w:spacing w:after="0" w:line="277" w:lineRule="auto"/>
        <w:rPr>
          <w:sz w:val="20"/>
          <w:szCs w:val="20"/>
          <w:color w:val="auto"/>
        </w:rPr>
      </w:pPr>
      <w:r>
        <w:rPr>
          <w:rFonts w:ascii="Arial" w:cs="Arial" w:eastAsia="Arial" w:hAnsi="Arial"/>
          <w:sz w:val="18"/>
          <w:szCs w:val="18"/>
          <w:i w:val="1"/>
          <w:iCs w:val="1"/>
          <w:color w:val="auto"/>
        </w:rPr>
        <w:t>Violation of applicable laws, including labor or environmental laws, and certain other practices by our suppliers or customers could harm our business.</w:t>
      </w:r>
    </w:p>
    <w:p>
      <w:pPr>
        <w:spacing w:after="0" w:line="11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expect our suppliers and customers to operate in compliance with applicable laws and regulations, including labor and environmental laws, and to otherwise meet our required standards of conduct. While our internal operating guidelines promote ethical business practices, we do not control our suppliers or customers or their labor or environmental practices. The violation of labor, environmental or other laws by any of our suppliers or customers, or divergence of a supplier’s or customer’s business practices from those generally accepted as ethical, could harm our business by:</w:t>
      </w:r>
    </w:p>
    <w:p>
      <w:pPr>
        <w:spacing w:after="0" w:line="144" w:lineRule="exact"/>
        <w:rPr>
          <w:sz w:val="20"/>
          <w:szCs w:val="20"/>
          <w:color w:val="auto"/>
        </w:rPr>
      </w:pPr>
    </w:p>
    <w:p>
      <w:pPr>
        <w:ind w:left="1040" w:hanging="33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or customers’ wrongdoings.</w:t>
      </w:r>
    </w:p>
    <w:p>
      <w:pPr>
        <w:spacing w:after="0" w:line="185" w:lineRule="exact"/>
        <w:rPr>
          <w:sz w:val="20"/>
          <w:szCs w:val="20"/>
          <w:color w:val="auto"/>
        </w:rPr>
      </w:pPr>
    </w:p>
    <w:p>
      <w:pPr>
        <w:ind w:left="500" w:right="740"/>
        <w:spacing w:after="0" w:line="277" w:lineRule="auto"/>
        <w:rPr>
          <w:sz w:val="20"/>
          <w:szCs w:val="20"/>
          <w:color w:val="auto"/>
        </w:rPr>
      </w:pPr>
      <w:r>
        <w:rPr>
          <w:rFonts w:ascii="Arial" w:cs="Arial" w:eastAsia="Arial" w:hAnsi="Arial"/>
          <w:sz w:val="18"/>
          <w:szCs w:val="18"/>
          <w:i w:val="1"/>
          <w:iCs w:val="1"/>
          <w:color w:val="auto"/>
        </w:rPr>
        <w:t>Any decisions to reduce or discontinue paying cash dividends to our shareholders or repurchase shares of our common stock pursuant to our previously announced stock repurchase program could cause the market price for our common stock to decline.</w:t>
      </w:r>
    </w:p>
    <w:p>
      <w:pPr>
        <w:spacing w:after="0" w:line="11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We may reduce or discontinue repurchases of our common stock as we deem appropriate and as market conditions allow. We may modify, suspend or cancel our cash dividend policy in any manner and at any time. Any reduction or discontinuance by us of the payment of quarterly cash dividends or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manufacture and sell our products abroad, our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If this occurs, it would have a negative impact on our operating results.</w:t>
      </w:r>
    </w:p>
    <w:p>
      <w:pPr>
        <w:spacing w:after="0" w:line="13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United States. Therefore, as a substantial portion of our sales are from countries outside the United States,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10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w:t>
      </w:r>
    </w:p>
    <w:p>
      <w:pPr>
        <w:spacing w:after="0" w:line="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Our acquisition of HGST has also resulted in an increase to our customer credit risk given that we service many of the same customers.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i w:val="1"/>
          <w:iCs w:val="1"/>
          <w:color w:val="auto"/>
        </w:rPr>
        <w:t>Our operating results fluctuate, sometimes significantly, from period to period due to many factors, which may result in a significant decline in our stock price.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198" w:lineRule="exact"/>
        <w:rPr>
          <w:sz w:val="20"/>
          <w:szCs w:val="20"/>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ASPs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customers of competing products in lieu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and other fluctuations in demand for systems that use storage devices often due to technological advances;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33"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214" w:lineRule="exact"/>
        <w:rPr>
          <w:sz w:val="20"/>
          <w:szCs w:val="20"/>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ectPr>
          <w:pgSz w:w="11900" w:h="16838" w:orient="portrait"/>
          <w:cols w:equalWidth="0" w:num="1">
            <w:col w:w="11360"/>
          </w:cols>
          <w:pgMar w:left="240" w:top="121" w:right="299" w:bottom="636"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60"/>
          </w:cols>
          <w:pgMar w:left="240" w:top="121" w:right="299" w:bottom="636"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17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97" w:lineRule="exact"/>
        <w:rPr>
          <w:sz w:val="20"/>
          <w:szCs w:val="20"/>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580" w:hanging="330"/>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359"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79"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periods of severe pricing pressures due to oversupply or price erosion resulting from competitive pressures or industry consolidation;</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320" w:hanging="330"/>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359"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conditions and trends in the hard drive, solid state storage, computer, data and content management, storage and communication industries;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1220" w:hanging="330"/>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meet analysts’ revenue or earnings estimates or changes in financial estimates or publication of research reports and recommendations by financial analysts relating specifically to us or the storage industry in general; and</w:t>
      </w:r>
    </w:p>
    <w:p>
      <w:pPr>
        <w:spacing w:after="0" w:line="335" w:lineRule="exact"/>
        <w:rPr>
          <w:rFonts w:ascii="Arial" w:cs="Arial" w:eastAsia="Arial" w:hAnsi="Arial"/>
          <w:sz w:val="17"/>
          <w:szCs w:val="17"/>
          <w:color w:val="auto"/>
        </w:rPr>
      </w:pPr>
    </w:p>
    <w:p>
      <w:pPr>
        <w:ind w:left="1040" w:hanging="330"/>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1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13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2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The resale of shares of common stock issued to Hitachi, Ltd. ("Hitachi") in connection with our acquisition of HGST could adversely affect the market price of our common stock.</w:t>
      </w:r>
    </w:p>
    <w:p>
      <w:pPr>
        <w:spacing w:after="0" w:line="116"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cash balances and investment portfolio are subject to various risks, any of which could adversely impact our financial position.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192"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In addition, i</w:t>
      </w:r>
      <w:r>
        <w:rPr>
          <w:rFonts w:ascii="Arial" w:cs="Arial" w:eastAsia="Arial" w:hAnsi="Arial"/>
          <w:sz w:val="16"/>
          <w:szCs w:val="16"/>
          <w:color w:val="252525"/>
        </w:rPr>
        <w:t>f we are unable to generate sufficient cash flows from operations to fund acquisitions, pay dividends, or repurchase shares of our</w:t>
      </w:r>
      <w:r>
        <w:rPr>
          <w:rFonts w:ascii="Arial" w:cs="Arial" w:eastAsia="Arial" w:hAnsi="Arial"/>
          <w:sz w:val="16"/>
          <w:szCs w:val="16"/>
          <w:color w:val="auto"/>
        </w:rPr>
        <w:t xml:space="preserve"> </w:t>
      </w:r>
      <w:r>
        <w:rPr>
          <w:rFonts w:ascii="Arial" w:cs="Arial" w:eastAsia="Arial" w:hAnsi="Arial"/>
          <w:sz w:val="16"/>
          <w:szCs w:val="16"/>
          <w:color w:val="252525"/>
        </w:rPr>
        <w:t>common stock, we may choose or be required to increase our borrowings, if available, or to repatriate funds to the United States at a substantial tax cost.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our internal controls are found to be ineffective, our stock price may be adversely affected.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most recent evaluation resulted in our conclusion that as of July 3, 2015,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which may adversely affect our stock price.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Restrictive covenants in our credit agreement could restrict current and future operations or limit our flexibility to take certain actions.</w:t>
      </w:r>
    </w:p>
    <w:p>
      <w:pPr>
        <w:spacing w:after="0" w:line="17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credit agreement includes covenants relating to our financial performance and financial position. In addition, our credit agreement restricts our ability to take other actions with respect to our current and future operations, including our ability to incur certain additional indebtedness or consolidate, merge or sell assets. Our ability to meet these restrictive covenants may be affected by events that could be beyond our control, and a breach of these restrictive covenants could result in an event of default under the credit agreement, which, if not cured or waived, could result in the indebtedness becoming immediately due and payable and could result in material adverse consequences that negatively impact our business.</w:t>
      </w:r>
    </w:p>
    <w:p>
      <w:pPr>
        <w:spacing w:after="0" w:line="119" w:lineRule="exact"/>
        <w:rPr>
          <w:sz w:val="20"/>
          <w:szCs w:val="20"/>
          <w:color w:val="auto"/>
        </w:rPr>
      </w:pPr>
    </w:p>
    <w:p>
      <w:pPr>
        <w:ind w:left="500" w:right="540"/>
        <w:spacing w:after="0" w:line="277" w:lineRule="auto"/>
        <w:rPr>
          <w:sz w:val="20"/>
          <w:szCs w:val="20"/>
          <w:color w:val="auto"/>
        </w:rPr>
      </w:pPr>
      <w:r>
        <w:rPr>
          <w:rFonts w:ascii="Arial" w:cs="Arial" w:eastAsia="Arial" w:hAnsi="Arial"/>
          <w:sz w:val="18"/>
          <w:szCs w:val="18"/>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Notice of Proposed Adjustments seeking certain adjustments to income as disclosed in Part II, Item 8, Note 9 of the Notes to Consolidated Financial Statements included in this Annual Report on Form 10-K.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We are subject to risks associated with loss or non-renewal of favorable tax treatment under agreements or treaties with foreign tax authorities.</w:t>
      </w:r>
    </w:p>
    <w:p>
      <w:pPr>
        <w:spacing w:after="0" w:line="23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Portions of our operations are subject to a reduced tax rate or are free of tax under various tax holidays that expire in whole or in part from time to time. Many of these holidays may be extended when certain conditions are met, or terminated if certain conditions are not met.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Our principal executive offices are located in Irvine, California. Our leased facilities are occupied under leases that expire at various times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principal manufacturing, research and development, marketing and administrative facilities at July 3,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Building(s)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Approximate</w:t>
            </w:r>
          </w:p>
        </w:tc>
        <w:tc>
          <w:tcPr>
            <w:tcW w:w="6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Owned or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Square</w:t>
            </w:r>
          </w:p>
        </w:tc>
        <w:tc>
          <w:tcPr>
            <w:tcW w:w="61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Footage</w:t>
            </w:r>
          </w:p>
        </w:tc>
        <w:tc>
          <w:tcPr>
            <w:tcW w:w="100" w:type="dxa"/>
            <w:vAlign w:val="bottom"/>
            <w:tcBorders>
              <w:bottom w:val="single" w:sz="8" w:color="CCEEFF"/>
            </w:tcBorders>
          </w:tcPr>
          <w:p>
            <w:pPr>
              <w:spacing w:after="0"/>
              <w:rPr>
                <w:sz w:val="16"/>
                <w:szCs w:val="16"/>
                <w:color w:val="auto"/>
              </w:rPr>
            </w:pPr>
          </w:p>
        </w:tc>
        <w:tc>
          <w:tcPr>
            <w:tcW w:w="6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California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Fremont</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head wafers and research and development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Irvine</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467,000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Research and development, administrative, marketing and sales</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San Jose</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Owned and</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2,871,000</w:t>
            </w:r>
          </w:p>
        </w:tc>
        <w:tc>
          <w:tcPr>
            <w:tcW w:w="100" w:type="dxa"/>
            <w:vAlign w:val="bottom"/>
            <w:shd w:val="clear" w:color="auto" w:fill="CCEEFF"/>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Manufacturing of head wafers and head, media and product development; research</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development, administrative, marketing and sales</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Santa Ana</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Research &amp; development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Colorado</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Longmont</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Minnesota</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Rochester</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Asia</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China</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Shenzhen</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Owned and</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1,417,000</w:t>
            </w:r>
          </w:p>
        </w:tc>
        <w:tc>
          <w:tcPr>
            <w:tcW w:w="100" w:type="dxa"/>
            <w:vAlign w:val="bottom"/>
            <w:shd w:val="clear" w:color="auto" w:fill="CCEEFF"/>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of hard drives and, HGAs, media; administrative</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Japan</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Odawara</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head wafers and head development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Fujisawa</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654,000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Malaysia</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Johor</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271,000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of substrates</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Kuala Lumpur</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1,074,000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hard drives and research and development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Kuching</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479,000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and development of substrates</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Penang</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1,150,000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media, research and development and slider fabrication</w:t>
            </w:r>
          </w:p>
        </w:tc>
        <w:tc>
          <w:tcPr>
            <w:tcW w:w="0" w:type="dxa"/>
            <w:vAlign w:val="bottom"/>
          </w:tcPr>
          <w:p>
            <w:pPr>
              <w:spacing w:after="0"/>
              <w:rPr>
                <w:sz w:val="1"/>
                <w:szCs w:val="1"/>
                <w:color w:val="auto"/>
              </w:rPr>
            </w:pPr>
          </w:p>
        </w:tc>
      </w:tr>
      <w:tr>
        <w:trPr>
          <w:trHeight w:val="243"/>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Philippines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Laguna</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HGAs and slider fabrication</w:t>
            </w:r>
          </w:p>
        </w:tc>
        <w:tc>
          <w:tcPr>
            <w:tcW w:w="0" w:type="dxa"/>
            <w:vAlign w:val="bottom"/>
          </w:tcPr>
          <w:p>
            <w:pPr>
              <w:spacing w:after="0"/>
              <w:rPr>
                <w:sz w:val="1"/>
                <w:szCs w:val="1"/>
                <w:color w:val="auto"/>
              </w:rPr>
            </w:pPr>
          </w:p>
        </w:tc>
      </w:tr>
      <w:tr>
        <w:trPr>
          <w:trHeight w:val="229"/>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Singapore</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 and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802,000</w:t>
            </w:r>
          </w:p>
        </w:tc>
        <w:tc>
          <w:tcPr>
            <w:tcW w:w="10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of media and research and development; administrative</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Thailand</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Bang Pa-In</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1,665,000</w:t>
            </w:r>
          </w:p>
        </w:tc>
        <w:tc>
          <w:tcPr>
            <w:tcW w:w="10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Slider fabrication, manufacturing of hard drives and HGAs, and research and</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Navanakorn</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of HGAs</w:t>
            </w:r>
          </w:p>
        </w:tc>
        <w:tc>
          <w:tcPr>
            <w:tcW w:w="0" w:type="dxa"/>
            <w:vAlign w:val="bottom"/>
          </w:tcPr>
          <w:p>
            <w:pPr>
              <w:spacing w:after="0"/>
              <w:rPr>
                <w:sz w:val="1"/>
                <w:szCs w:val="1"/>
                <w:color w:val="auto"/>
              </w:rPr>
            </w:pPr>
          </w:p>
        </w:tc>
      </w:tr>
      <w:tr>
        <w:trPr>
          <w:trHeight w:val="243"/>
        </w:trPr>
        <w:tc>
          <w:tcPr>
            <w:tcW w:w="2760" w:type="dxa"/>
            <w:vAlign w:val="bottom"/>
            <w:gridSpan w:val="2"/>
          </w:tcPr>
          <w:p>
            <w:pPr>
              <w:ind w:left="720"/>
              <w:spacing w:after="0"/>
              <w:rPr>
                <w:sz w:val="20"/>
                <w:szCs w:val="20"/>
                <w:color w:val="auto"/>
              </w:rPr>
            </w:pPr>
            <w:r>
              <w:rPr>
                <w:rFonts w:ascii="Arial" w:cs="Arial" w:eastAsia="Arial" w:hAnsi="Arial"/>
                <w:sz w:val="18"/>
                <w:szCs w:val="18"/>
                <w:color w:val="auto"/>
              </w:rPr>
              <w:t>Prachinburi</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729,000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Manufacturing of hard drives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also lease office space in various other locations throughout the world primarily for research and development and sales and technical support.</w:t>
      </w:r>
    </w:p>
    <w:p>
      <w:pPr>
        <w:spacing w:after="0" w:line="194" w:lineRule="exact"/>
        <w:rPr>
          <w:sz w:val="20"/>
          <w:szCs w:val="20"/>
          <w:color w:val="auto"/>
        </w:rPr>
      </w:pPr>
    </w:p>
    <w:p>
      <w:pPr>
        <w:ind w:right="120" w:firstLine="729"/>
        <w:spacing w:after="0" w:line="264" w:lineRule="auto"/>
        <w:rPr>
          <w:sz w:val="20"/>
          <w:szCs w:val="20"/>
          <w:color w:val="auto"/>
        </w:rPr>
      </w:pPr>
      <w:r>
        <w:rPr>
          <w:rFonts w:ascii="Arial" w:cs="Arial" w:eastAsia="Arial" w:hAnsi="Arial"/>
          <w:sz w:val="18"/>
          <w:szCs w:val="18"/>
          <w:color w:val="auto"/>
        </w:rPr>
        <w:t>We believe our present facilities are adequate for our current needs, although we from time to time upgrade our facilities to meet anticipated future technological and market requirements. New manufacturing facilities, in general, can be developed and become operational within approximately nine to eighteen months should we require such additional facilities.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For a description of our legal proceedings, see Part II, Item 8, Note 5 of our Notes to Consolidated Financial Statements included in this Annual Report on Form 10-K, which is incorporated by reference in response to this item.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240" w:top="121"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ind w:right="2440"/>
        <w:spacing w:after="0" w:line="34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Market Information for Common Stock</w:t>
      </w:r>
    </w:p>
    <w:p>
      <w:pPr>
        <w:spacing w:after="0" w:line="1" w:lineRule="exact"/>
        <w:rPr>
          <w:sz w:val="20"/>
          <w:szCs w:val="20"/>
          <w:color w:val="auto"/>
        </w:rPr>
      </w:pPr>
    </w:p>
    <w:p>
      <w:pPr>
        <w:ind w:right="160" w:firstLine="729"/>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13, 2015 was 1,144.</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high and low sales prices of our common stock as reported by NASDAQ for each quarter of 2015 and 2014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0" w:type="dxa"/>
            <w:vAlign w:val="bottom"/>
            <w:gridSpan w:val="2"/>
          </w:tcPr>
          <w:p>
            <w:pPr>
              <w:ind w:left="580"/>
              <w:spacing w:after="0"/>
              <w:rPr>
                <w:sz w:val="20"/>
                <w:szCs w:val="20"/>
                <w:color w:val="auto"/>
              </w:rPr>
            </w:pPr>
            <w:r>
              <w:rPr>
                <w:rFonts w:ascii="Arial" w:cs="Arial" w:eastAsia="Arial" w:hAnsi="Arial"/>
                <w:sz w:val="14"/>
                <w:szCs w:val="14"/>
                <w:b w:val="1"/>
                <w:bCs w:val="1"/>
                <w:color w:val="auto"/>
              </w:rPr>
              <w:t>First</w:t>
            </w:r>
          </w:p>
        </w:tc>
        <w:tc>
          <w:tcPr>
            <w:tcW w:w="1600" w:type="dxa"/>
            <w:vAlign w:val="bottom"/>
            <w:gridSpan w:val="2"/>
          </w:tcPr>
          <w:p>
            <w:pPr>
              <w:ind w:left="520"/>
              <w:spacing w:after="0"/>
              <w:rPr>
                <w:sz w:val="20"/>
                <w:szCs w:val="20"/>
                <w:color w:val="auto"/>
              </w:rPr>
            </w:pPr>
            <w:r>
              <w:rPr>
                <w:rFonts w:ascii="Arial" w:cs="Arial" w:eastAsia="Arial" w:hAnsi="Arial"/>
                <w:sz w:val="14"/>
                <w:szCs w:val="14"/>
                <w:b w:val="1"/>
                <w:bCs w:val="1"/>
                <w:color w:val="auto"/>
              </w:rPr>
              <w:t>Second</w:t>
            </w:r>
          </w:p>
        </w:tc>
        <w:tc>
          <w:tcPr>
            <w:tcW w:w="1580" w:type="dxa"/>
            <w:vAlign w:val="bottom"/>
            <w:gridSpan w:val="2"/>
          </w:tcPr>
          <w:p>
            <w:pPr>
              <w:ind w:left="560"/>
              <w:spacing w:after="0"/>
              <w:rPr>
                <w:sz w:val="20"/>
                <w:szCs w:val="20"/>
                <w:color w:val="auto"/>
              </w:rPr>
            </w:pPr>
            <w:r>
              <w:rPr>
                <w:rFonts w:ascii="Arial" w:cs="Arial" w:eastAsia="Arial" w:hAnsi="Arial"/>
                <w:sz w:val="14"/>
                <w:szCs w:val="14"/>
                <w:b w:val="1"/>
                <w:bCs w:val="1"/>
                <w:color w:val="auto"/>
              </w:rPr>
              <w:t>Third</w:t>
            </w:r>
          </w:p>
        </w:tc>
        <w:tc>
          <w:tcPr>
            <w:tcW w:w="1480" w:type="dxa"/>
            <w:vAlign w:val="bottom"/>
          </w:tcPr>
          <w:p>
            <w:pPr>
              <w:ind w:left="520"/>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High</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$103.51</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$114.69</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$113.88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$102.07</w:t>
            </w: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Low</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$91.99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$89.82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$78.27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High</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$84.70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$91.10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Low</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$59.36</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$62.00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$80.84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$80.78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Equity Securities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provides information about repurchases by us of our common stock during the quarter ended July 3,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5"/>
              </w:rPr>
              <w:t>Total Number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average price paid per share)</w:t>
            </w:r>
          </w:p>
        </w:tc>
        <w:tc>
          <w:tcPr>
            <w:tcW w:w="120" w:type="dxa"/>
            <w:vAlign w:val="bottom"/>
            <w:vMerge w:val="restart"/>
          </w:tcPr>
          <w:p>
            <w:pPr>
              <w:spacing w:after="0"/>
              <w:rPr>
                <w:sz w:val="12"/>
                <w:szCs w:val="12"/>
                <w:color w:val="auto"/>
              </w:rPr>
            </w:pPr>
          </w:p>
        </w:tc>
        <w:tc>
          <w:tcPr>
            <w:tcW w:w="142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of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2"/>
              </w:rPr>
              <w:t>Purchased</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Program(1)</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4, 2015 — May 1, 2015</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May 2, 2015 — May 29, 2015</w:t>
            </w:r>
          </w:p>
        </w:tc>
        <w:tc>
          <w:tcPr>
            <w:tcW w:w="14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97.66</w:t>
            </w:r>
          </w:p>
        </w:tc>
        <w:tc>
          <w:tcPr>
            <w:tcW w:w="10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30, 2015 — July 3, 2015</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vMerge w:val="restart"/>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100" w:hanging="492"/>
        <w:spacing w:after="0" w:line="25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previously authorized $3.0 billion for the repurchase of our common stock. On February 3, 2015, our Board of Directors authorized an additional $2.0 billion for the repurchase of our common stock and approved the extension of our stock repurchase program to February 3, 2020. Repurchases under our stock repurchase program may be made in the open market or in privately negotiated transactions and may be made under a Rule 10b5-1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Shareholders</w:t>
      </w:r>
    </w:p>
    <w:p>
      <w:pPr>
        <w:spacing w:after="0" w:line="90" w:lineRule="exact"/>
        <w:rPr>
          <w:sz w:val="20"/>
          <w:szCs w:val="20"/>
          <w:color w:val="auto"/>
        </w:rPr>
      </w:pPr>
    </w:p>
    <w:p>
      <w:pPr>
        <w:ind w:right="100" w:firstLine="729"/>
        <w:spacing w:after="0" w:line="259" w:lineRule="auto"/>
        <w:rPr>
          <w:sz w:val="20"/>
          <w:szCs w:val="20"/>
          <w:color w:val="auto"/>
        </w:rPr>
      </w:pPr>
      <w:r>
        <w:rPr>
          <w:rFonts w:ascii="Arial" w:cs="Arial" w:eastAsia="Arial" w:hAnsi="Arial"/>
          <w:sz w:val="18"/>
          <w:szCs w:val="18"/>
          <w:color w:val="auto"/>
        </w:rPr>
        <w:t>On September 13, 2012, we announced that our Board of Directors had authorized the adoption of a quarterly cash dividend policy. Under the cash dividend policy, holders of our common stock receive dividends when and as declared by our Board of Directors. In 2015, we declared aggregate cash dividends of $1.80 per share of our common stock, totaling $418 million. We may modify, suspend or cancel our cash dividend policy in any manner and at any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quarterly dividends our Board of Directors declared in the last two fiscal years.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Dividend Per Share</w:t>
            </w: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 30, 2013</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 15,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Dec. 27, 2013</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 15,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0.30</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 28, 2014</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Apr. 15,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June 27, 2014</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15,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 3, 2014</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 15,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Jan. 2, 2015</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 15,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 3, 2015</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Apr. 16,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July 3, 2015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15,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0.50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120" w:firstLine="729"/>
        <w:spacing w:after="0" w:line="259"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July 3, 2015. The graph assumes that $100 was invested in our common stock at the close of market on July 2, 2010 and that all dividends were reinvested. Stockholder returns over the indicated period should not be considered indicative of future stockholder returns.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RETURN TO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$100 investment on 7/2/10)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5715</wp:posOffset>
            </wp:positionV>
            <wp:extent cx="4836795" cy="3053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3679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60" w:type="dxa"/>
            <w:vAlign w:val="bottom"/>
          </w:tcPr>
          <w:p>
            <w:pPr>
              <w:spacing w:after="0"/>
              <w:rPr>
                <w:sz w:val="17"/>
                <w:szCs w:val="17"/>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color w:val="auto"/>
              </w:rPr>
              <w:t>7/2/10</w:t>
            </w:r>
          </w:p>
        </w:tc>
        <w:tc>
          <w:tcPr>
            <w:tcW w:w="100" w:type="dxa"/>
            <w:vAlign w:val="bottom"/>
          </w:tcPr>
          <w:p>
            <w:pPr>
              <w:spacing w:after="0"/>
              <w:rPr>
                <w:sz w:val="17"/>
                <w:szCs w:val="17"/>
                <w:color w:val="auto"/>
              </w:rPr>
            </w:pPr>
          </w:p>
        </w:tc>
        <w:tc>
          <w:tcPr>
            <w:tcW w:w="920" w:type="dxa"/>
            <w:vAlign w:val="bottom"/>
          </w:tcPr>
          <w:p>
            <w:pPr>
              <w:jc w:val="right"/>
              <w:ind w:right="172"/>
              <w:spacing w:after="0"/>
              <w:rPr>
                <w:sz w:val="20"/>
                <w:szCs w:val="20"/>
                <w:color w:val="auto"/>
              </w:rPr>
            </w:pPr>
            <w:r>
              <w:rPr>
                <w:rFonts w:ascii="Arial" w:cs="Arial" w:eastAsia="Arial" w:hAnsi="Arial"/>
                <w:sz w:val="16"/>
                <w:szCs w:val="16"/>
                <w:color w:val="auto"/>
              </w:rPr>
              <w:t>7/1/11</w:t>
            </w:r>
          </w:p>
        </w:tc>
        <w:tc>
          <w:tcPr>
            <w:tcW w:w="100" w:type="dxa"/>
            <w:vAlign w:val="bottom"/>
          </w:tcPr>
          <w:p>
            <w:pPr>
              <w:spacing w:after="0"/>
              <w:rPr>
                <w:sz w:val="17"/>
                <w:szCs w:val="17"/>
                <w:color w:val="auto"/>
              </w:rPr>
            </w:pPr>
          </w:p>
        </w:tc>
        <w:tc>
          <w:tcPr>
            <w:tcW w:w="900" w:type="dxa"/>
            <w:vAlign w:val="bottom"/>
          </w:tcPr>
          <w:p>
            <w:pPr>
              <w:jc w:val="right"/>
              <w:ind w:right="112"/>
              <w:spacing w:after="0"/>
              <w:rPr>
                <w:sz w:val="20"/>
                <w:szCs w:val="20"/>
                <w:color w:val="auto"/>
              </w:rPr>
            </w:pPr>
            <w:r>
              <w:rPr>
                <w:rFonts w:ascii="Arial" w:cs="Arial" w:eastAsia="Arial" w:hAnsi="Arial"/>
                <w:sz w:val="16"/>
                <w:szCs w:val="16"/>
                <w:color w:val="auto"/>
              </w:rPr>
              <w:t>6/29/12</w:t>
            </w:r>
          </w:p>
        </w:tc>
        <w:tc>
          <w:tcPr>
            <w:tcW w:w="120" w:type="dxa"/>
            <w:vAlign w:val="bottom"/>
          </w:tcPr>
          <w:p>
            <w:pPr>
              <w:spacing w:after="0"/>
              <w:rPr>
                <w:sz w:val="17"/>
                <w:szCs w:val="17"/>
                <w:color w:val="auto"/>
              </w:rPr>
            </w:pPr>
          </w:p>
        </w:tc>
        <w:tc>
          <w:tcPr>
            <w:tcW w:w="900" w:type="dxa"/>
            <w:vAlign w:val="bottom"/>
          </w:tcPr>
          <w:p>
            <w:pPr>
              <w:jc w:val="right"/>
              <w:ind w:right="112"/>
              <w:spacing w:after="0"/>
              <w:rPr>
                <w:sz w:val="20"/>
                <w:szCs w:val="20"/>
                <w:color w:val="auto"/>
              </w:rPr>
            </w:pPr>
            <w:r>
              <w:rPr>
                <w:rFonts w:ascii="Arial" w:cs="Arial" w:eastAsia="Arial" w:hAnsi="Arial"/>
                <w:sz w:val="16"/>
                <w:szCs w:val="16"/>
                <w:color w:val="auto"/>
              </w:rPr>
              <w:t>6/28/13</w:t>
            </w:r>
          </w:p>
        </w:tc>
        <w:tc>
          <w:tcPr>
            <w:tcW w:w="100" w:type="dxa"/>
            <w:vAlign w:val="bottom"/>
          </w:tcPr>
          <w:p>
            <w:pPr>
              <w:spacing w:after="0"/>
              <w:rPr>
                <w:sz w:val="17"/>
                <w:szCs w:val="17"/>
                <w:color w:val="auto"/>
              </w:rPr>
            </w:pPr>
          </w:p>
        </w:tc>
        <w:tc>
          <w:tcPr>
            <w:tcW w:w="920" w:type="dxa"/>
            <w:vAlign w:val="bottom"/>
          </w:tcPr>
          <w:p>
            <w:pPr>
              <w:jc w:val="right"/>
              <w:ind w:right="132"/>
              <w:spacing w:after="0"/>
              <w:rPr>
                <w:sz w:val="20"/>
                <w:szCs w:val="20"/>
                <w:color w:val="auto"/>
              </w:rPr>
            </w:pPr>
            <w:r>
              <w:rPr>
                <w:rFonts w:ascii="Arial" w:cs="Arial" w:eastAsia="Arial" w:hAnsi="Arial"/>
                <w:sz w:val="16"/>
                <w:szCs w:val="16"/>
                <w:color w:val="auto"/>
              </w:rPr>
              <w:t>6/27/14</w:t>
            </w:r>
          </w:p>
        </w:tc>
        <w:tc>
          <w:tcPr>
            <w:tcW w:w="100" w:type="dxa"/>
            <w:vAlign w:val="bottom"/>
          </w:tcPr>
          <w:p>
            <w:pPr>
              <w:spacing w:after="0"/>
              <w:rPr>
                <w:sz w:val="17"/>
                <w:szCs w:val="17"/>
                <w:color w:val="auto"/>
              </w:rPr>
            </w:pPr>
          </w:p>
        </w:tc>
        <w:tc>
          <w:tcPr>
            <w:tcW w:w="900" w:type="dxa"/>
            <w:vAlign w:val="bottom"/>
          </w:tcPr>
          <w:p>
            <w:pPr>
              <w:jc w:val="right"/>
              <w:ind w:right="152"/>
              <w:spacing w:after="0"/>
              <w:rPr>
                <w:sz w:val="20"/>
                <w:szCs w:val="20"/>
                <w:color w:val="auto"/>
              </w:rPr>
            </w:pPr>
            <w:r>
              <w:rPr>
                <w:rFonts w:ascii="Arial" w:cs="Arial" w:eastAsia="Arial" w:hAnsi="Arial"/>
                <w:sz w:val="16"/>
                <w:szCs w:val="16"/>
                <w:color w:val="auto"/>
              </w:rPr>
              <w:t>7/3/15</w:t>
            </w:r>
          </w:p>
        </w:tc>
      </w:tr>
      <w:tr>
        <w:trPr>
          <w:trHeight w:val="33"/>
        </w:trPr>
        <w:tc>
          <w:tcPr>
            <w:tcW w:w="5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Corporation</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   100.00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  121.32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  100.93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  210.23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  319.38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  283.53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130.69</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137.81</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207.10</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222.47</w:t>
            </w:r>
          </w:p>
        </w:tc>
      </w:tr>
      <w:tr>
        <w:trPr>
          <w:trHeight w:val="27"/>
        </w:trPr>
        <w:tc>
          <w:tcPr>
            <w:tcW w:w="5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 Jones US Technology Hardware &amp; Equipment Index</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122.20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138.27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133.99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190.71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216.05</w:t>
            </w:r>
          </w:p>
        </w:tc>
      </w:tr>
      <w:tr>
        <w:trPr>
          <w:trHeight w:val="27"/>
        </w:trPr>
        <w:tc>
          <w:tcPr>
            <w:tcW w:w="5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firstLine="729"/>
        <w:spacing w:after="0" w:line="282"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121"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4" w:lineRule="exact"/>
        <w:rPr>
          <w:sz w:val="20"/>
          <w:szCs w:val="20"/>
          <w:color w:val="auto"/>
        </w:rPr>
      </w:pPr>
    </w:p>
    <w:p>
      <w:pPr>
        <w:ind w:right="320" w:firstLine="729"/>
        <w:spacing w:after="0" w:line="264" w:lineRule="auto"/>
        <w:rPr>
          <w:sz w:val="20"/>
          <w:szCs w:val="20"/>
          <w:color w:val="auto"/>
        </w:rPr>
      </w:pPr>
      <w:r>
        <w:rPr>
          <w:rFonts w:ascii="Arial" w:cs="Arial" w:eastAsia="Arial" w:hAnsi="Arial"/>
          <w:sz w:val="18"/>
          <w:szCs w:val="18"/>
          <w:color w:val="auto"/>
        </w:rPr>
        <w:t>This selected consolidated financial data should be read together with the Consolidated Financial Statements and related Notes contained in this Annual Report on Form 10-K and in the subsequent reports filed with the SEC, as well as the section of this Annual Report on Form 10-K and the other reports entitled “Management’s Discussion and Analysis of Financial Condition and Results of Operations.”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June 28,</w:t>
            </w:r>
          </w:p>
        </w:tc>
        <w:tc>
          <w:tcPr>
            <w:tcW w:w="28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June 29,</w:t>
            </w:r>
          </w:p>
        </w:tc>
        <w:tc>
          <w:tcPr>
            <w:tcW w:w="30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July 1,</w:t>
            </w:r>
          </w:p>
        </w:tc>
      </w:tr>
      <w:tr>
        <w:trPr>
          <w:trHeight w:val="192"/>
        </w:trPr>
        <w:tc>
          <w:tcPr>
            <w:tcW w:w="5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r>
      <w:tr>
        <w:trPr>
          <w:trHeight w:val="250"/>
        </w:trPr>
        <w:tc>
          <w:tcPr>
            <w:tcW w:w="58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w w:val="91"/>
              </w:rPr>
              <w:t>(in millions, except per share and employee data)</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4,360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3,638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1,791</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per common share: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6.68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3.09</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5,275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4,875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3,625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3,317</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15,499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2,313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8,842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7,669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Number of employees</w:t>
            </w:r>
          </w:p>
        </w:tc>
        <w:tc>
          <w:tcPr>
            <w:tcW w:w="2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76,449</w:t>
            </w:r>
          </w:p>
        </w:tc>
        <w:tc>
          <w:tcPr>
            <w:tcW w:w="22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84,072</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85,777</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103,111</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65,431</w:t>
            </w:r>
          </w:p>
        </w:tc>
      </w:tr>
    </w:tbl>
    <w:p>
      <w:pPr>
        <w:spacing w:after="0" w:line="175" w:lineRule="exact"/>
        <w:rPr>
          <w:sz w:val="20"/>
          <w:szCs w:val="20"/>
          <w:color w:val="auto"/>
        </w:rPr>
      </w:pPr>
    </w:p>
    <w:p>
      <w:pPr>
        <w:ind w:right="220" w:firstLine="729"/>
        <w:spacing w:after="0" w:line="264" w:lineRule="auto"/>
        <w:rPr>
          <w:sz w:val="20"/>
          <w:szCs w:val="20"/>
          <w:color w:val="auto"/>
        </w:rPr>
      </w:pPr>
      <w:r>
        <w:rPr>
          <w:rFonts w:ascii="Arial" w:cs="Arial" w:eastAsia="Arial" w:hAnsi="Arial"/>
          <w:sz w:val="18"/>
          <w:szCs w:val="18"/>
          <w:color w:val="auto"/>
        </w:rPr>
        <w:t>“Number of employees” excludes temporary employees and contractors. Results for Amplidata, Virident, sTec, VeloBit and HGST, which were acquired on March 9, 2015, October 17, 2013, September 12, 2013, July 9, 2013 and March 8, 2012, respectively, are included in our operating results only after the respective dates of acquisition.</w:t>
      </w:r>
    </w:p>
    <w:p>
      <w:pPr>
        <w:spacing w:after="0" w:line="258" w:lineRule="exact"/>
        <w:rPr>
          <w:sz w:val="20"/>
          <w:szCs w:val="20"/>
          <w:color w:val="auto"/>
        </w:rPr>
      </w:pPr>
    </w:p>
    <w:p>
      <w:pPr>
        <w:ind w:right="4140"/>
        <w:spacing w:after="0" w:line="34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Forward-Looking Statements</w:t>
      </w:r>
    </w:p>
    <w:p>
      <w:pPr>
        <w:spacing w:after="0" w:line="1" w:lineRule="exact"/>
        <w:rPr>
          <w:sz w:val="20"/>
          <w:szCs w:val="20"/>
          <w:color w:val="auto"/>
        </w:rPr>
      </w:pPr>
    </w:p>
    <w:p>
      <w:pPr>
        <w:ind w:right="160" w:firstLine="729"/>
        <w:spacing w:after="0" w:line="271" w:lineRule="auto"/>
        <w:rPr>
          <w:sz w:val="20"/>
          <w:szCs w:val="20"/>
          <w:color w:val="auto"/>
        </w:rPr>
      </w:pPr>
      <w:r>
        <w:rPr>
          <w:rFonts w:ascii="Arial" w:cs="Arial" w:eastAsia="Arial" w:hAnsi="Arial"/>
          <w:sz w:val="17"/>
          <w:szCs w:val="17"/>
          <w:i w:val="1"/>
          <w:iCs w:val="1"/>
          <w:color w:val="auto"/>
        </w:rPr>
        <w:t>The following discussion and analysis contains forward-looking statements within the meaning of the federal securities laws. You are urged to carefully review our description and examples of forward-looking statements included earlier in this Annual Report on Form 10-K immediately prior to Part I, under the heading “Forward-Looking Statements.” 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10-K, and any of those made in our other reports filed with the SEC. You are cautioned not to place undue reliance on the forward-looking statements included herein,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leading developer, manufacturer and provider of data storage solutions that enable consumers, businesses, governments and other organizations to create, manage, experience and preserve digital content. Our product portfolio includes HDDs, SSDs, direct attached storage solutions, personal cloud network attached storage solutions, and public and private cloud data center storage solutions. HDDs are our principal products and are today’s primary storage medium for the vast majority of digital content, with the use of solid-state storage products growing rapidly. Our products are marketed under the HGST, WD and G-Technology brand names.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Amplidata</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March 9, 2015, we acquired Amplidata, a developer of object storage software for public and private cloud data centers. The purchase price of the acquisition was approximately $267 million, consisting of $245 million funded with available cash at the time of the acquisition, $19 million related to the fair value of a previously-held cost method investment and $3 million related to the fair value of stock options assumed. The acquisition is expected to further HGST's strategy to expand into higher value data storage platforms and systems that address the growth in storage requirements in cloud data centers. The acquisition of Amplidata did not have a material impact on our consolidated financial statements for fiscal 2015.</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Virident</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On October 17, 2013, we acquired Virident, a provider of server-side flash storage solutions for virtualization, database, cloud computing and webscale applications. Virident was fully integrated into our HGST subsidiary and became our wholly owned indirect subsidiary. The purchase price of the acquisition was approximately $613 million, consisting of $598 million which was funded with available cash and $15 million related to the fair value of stock options assumed. The acquisition furthered HGST's strategy to address the rapidly changing needs of enterprise customers by delivering intelligent storage solutions that maximize application performance by leveraging the tightly coupled server, storage and network resources of today’s converged datacenter infrastructures.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sTec</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September 12, 2013, we acquired sTec, a provider of enterprise SSDs. The purchase price of the acquisition was approximately $336 million, consisting of $325 million which was funded with available cash and $11 million related to the fair value of stock options and restricted stock units ("RSUs") assumed. The acquisition augmented HGST's existing solid-state storage capabilities.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additional information on our acquisitions, see Part II, Item 8, Note 15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2015 Overview</w:t>
      </w:r>
    </w:p>
    <w:p>
      <w:pPr>
        <w:spacing w:after="0" w:line="90" w:lineRule="exact"/>
        <w:rPr>
          <w:sz w:val="20"/>
          <w:szCs w:val="20"/>
          <w:color w:val="auto"/>
        </w:rPr>
      </w:pPr>
    </w:p>
    <w:p>
      <w:pPr>
        <w:jc w:val="both"/>
        <w:ind w:right="300" w:firstLine="729"/>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(“U.S. GAAP”), operating results for Amplidata, Virident, and sTec, which were acquired on March 9, 2015, October 17, 2013, and September 12, 2013, respectively, are included in our operating results only after the respective dates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financial performance for fiscal 2015:</w:t>
      </w:r>
    </w:p>
    <w:p>
      <w:pPr>
        <w:spacing w:after="0" w:line="171" w:lineRule="exact"/>
        <w:rPr>
          <w:sz w:val="20"/>
          <w:szCs w:val="20"/>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2015, our net revenue decreased by 4% to $14.6 billion on HDD shipments of 229 million units as compared to $15 billion on shipments of 249 million units in 2014.</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revenue derived from enterprise SSDs was $811 million in 2015 as compared to $508 million in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HDD ASPs increased to $60 in 2015 from $58 in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profit as a percentage of net revenue increased to 29.0% in 2015 from 28.8% in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 decreased from $1.8 billion in 2014 to $1.6 billion in 2015.</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 in 2015 included $176 million of employee termination, asset impairment and other charges and $15 million of charges related to an arbitration award as compared to $95 million and $52 million, respectively, in 2014.</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in 2015 was $1.5 billion, or $6.18 per diluted share, compared to $1.6 billion, or $6.68 per diluted share, in 2014.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Comparison of 2015, 2014 and 2013</w:t>
      </w:r>
    </w:p>
    <w:p>
      <w:pPr>
        <w:spacing w:after="0" w:line="90" w:lineRule="exact"/>
        <w:rPr>
          <w:sz w:val="20"/>
          <w:szCs w:val="20"/>
          <w:color w:val="auto"/>
        </w:rPr>
      </w:pPr>
    </w:p>
    <w:p>
      <w:pPr>
        <w:ind w:right="120" w:firstLine="729"/>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income by dollars and percentage of net revenue (in millions, except percentages):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July 3, 2015</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27, 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28, 2013</w:t>
            </w:r>
          </w:p>
        </w:tc>
        <w:tc>
          <w:tcPr>
            <w:tcW w:w="720" w:type="dxa"/>
            <w:vAlign w:val="bottom"/>
            <w:tcBorders>
              <w:bottom w:val="single" w:sz="8" w:color="auto"/>
            </w:tcBorders>
          </w:tcPr>
          <w:p>
            <w:pPr>
              <w:spacing w:after="0"/>
              <w:rPr>
                <w:sz w:val="22"/>
                <w:szCs w:val="2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rPr>
              <w:t>14,572</w:t>
            </w: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100.0 %  $</w:t>
            </w:r>
          </w:p>
        </w:tc>
        <w:tc>
          <w:tcPr>
            <w:tcW w:w="14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rPr>
              <w:t>15,130</w:t>
            </w: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100.0 %  $</w:t>
            </w:r>
          </w:p>
        </w:tc>
        <w:tc>
          <w:tcPr>
            <w:tcW w:w="142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rPr>
              <w:t>15,351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400" w:type="dxa"/>
            <w:vAlign w:val="bottom"/>
          </w:tcPr>
          <w:p>
            <w:pPr>
              <w:jc w:val="right"/>
              <w:ind w:right="611"/>
              <w:spacing w:after="0"/>
              <w:rPr>
                <w:sz w:val="20"/>
                <w:szCs w:val="20"/>
                <w:color w:val="auto"/>
              </w:rPr>
            </w:pPr>
            <w:r>
              <w:rPr>
                <w:rFonts w:ascii="Arial" w:cs="Arial" w:eastAsia="Arial" w:hAnsi="Arial"/>
                <w:sz w:val="18"/>
                <w:szCs w:val="18"/>
                <w:color w:val="auto"/>
              </w:rPr>
              <w:t>4,221</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653"/>
              <w:spacing w:after="0"/>
              <w:rPr>
                <w:sz w:val="20"/>
                <w:szCs w:val="20"/>
                <w:color w:val="auto"/>
              </w:rPr>
            </w:pPr>
            <w:r>
              <w:rPr>
                <w:rFonts w:ascii="Arial" w:cs="Arial" w:eastAsia="Arial" w:hAnsi="Arial"/>
                <w:sz w:val="18"/>
                <w:szCs w:val="18"/>
                <w:color w:val="auto"/>
              </w:rPr>
              <w:t>4,360</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631"/>
              <w:spacing w:after="0"/>
              <w:rPr>
                <w:sz w:val="20"/>
                <w:szCs w:val="20"/>
                <w:color w:val="auto"/>
              </w:rPr>
            </w:pPr>
            <w:r>
              <w:rPr>
                <w:rFonts w:ascii="Arial" w:cs="Arial" w:eastAsia="Arial" w:hAnsi="Arial"/>
                <w:sz w:val="18"/>
                <w:szCs w:val="18"/>
                <w:color w:val="auto"/>
              </w:rPr>
              <w:t>4,363</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28.4</w:t>
            </w:r>
          </w:p>
        </w:tc>
      </w:tr>
      <w:tr>
        <w:trPr>
          <w:trHeight w:val="27"/>
        </w:trPr>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rPr>
              <w:t>1,646</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rPr>
              <w:t>1,661</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rPr>
              <w:t>1,572</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400" w:type="dxa"/>
            <w:vAlign w:val="bottom"/>
          </w:tcPr>
          <w:p>
            <w:pPr>
              <w:jc w:val="right"/>
              <w:ind w:right="611"/>
              <w:spacing w:after="0"/>
              <w:rPr>
                <w:sz w:val="20"/>
                <w:szCs w:val="20"/>
                <w:color w:val="auto"/>
              </w:rPr>
            </w:pPr>
            <w:r>
              <w:rPr>
                <w:rFonts w:ascii="Arial" w:cs="Arial" w:eastAsia="Arial" w:hAnsi="Arial"/>
                <w:sz w:val="18"/>
                <w:szCs w:val="18"/>
                <w:color w:val="auto"/>
              </w:rPr>
              <w:t>773</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653"/>
              <w:spacing w:after="0"/>
              <w:rPr>
                <w:sz w:val="20"/>
                <w:szCs w:val="20"/>
                <w:color w:val="auto"/>
              </w:rPr>
            </w:pPr>
            <w:r>
              <w:rPr>
                <w:rFonts w:ascii="Arial" w:cs="Arial" w:eastAsia="Arial" w:hAnsi="Arial"/>
                <w:sz w:val="18"/>
                <w:szCs w:val="18"/>
                <w:color w:val="auto"/>
              </w:rPr>
              <w:t>761</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631"/>
              <w:spacing w:after="0"/>
              <w:rPr>
                <w:sz w:val="20"/>
                <w:szCs w:val="20"/>
                <w:color w:val="auto"/>
              </w:rPr>
            </w:pPr>
            <w:r>
              <w:rPr>
                <w:rFonts w:ascii="Arial" w:cs="Arial" w:eastAsia="Arial" w:hAnsi="Arial"/>
                <w:sz w:val="18"/>
                <w:szCs w:val="18"/>
                <w:color w:val="auto"/>
              </w:rPr>
              <w:t>706</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4.6</w:t>
            </w:r>
          </w:p>
        </w:tc>
      </w:tr>
      <w:tr>
        <w:trPr>
          <w:trHeight w:val="27"/>
        </w:trPr>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arbitration award</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rPr>
              <w:t>15</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rPr>
              <w:t>52</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rPr>
              <w:t>681</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29"/>
        </w:trPr>
        <w:tc>
          <w:tcPr>
            <w:tcW w:w="3840" w:type="dxa"/>
            <w:vAlign w:val="bottom"/>
          </w:tcPr>
          <w:p>
            <w:pPr>
              <w:ind w:left="40"/>
              <w:spacing w:after="0"/>
              <w:rPr>
                <w:sz w:val="20"/>
                <w:szCs w:val="20"/>
                <w:color w:val="auto"/>
              </w:rPr>
            </w:pPr>
            <w:r>
              <w:rPr>
                <w:rFonts w:ascii="Arial" w:cs="Arial" w:eastAsia="Arial" w:hAnsi="Arial"/>
                <w:sz w:val="18"/>
                <w:szCs w:val="18"/>
                <w:color w:val="auto"/>
                <w:w w:val="93"/>
              </w:rPr>
              <w:t>Employee termination, asset impairment and other</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8"/>
                <w:szCs w:val="18"/>
                <w:color w:val="auto"/>
              </w:rPr>
              <w:t>charges</w:t>
            </w:r>
          </w:p>
        </w:tc>
        <w:tc>
          <w:tcPr>
            <w:tcW w:w="300" w:type="dxa"/>
            <w:vAlign w:val="bottom"/>
          </w:tcPr>
          <w:p>
            <w:pPr>
              <w:spacing w:after="0"/>
              <w:rPr>
                <w:sz w:val="20"/>
                <w:szCs w:val="20"/>
                <w:color w:val="auto"/>
              </w:rPr>
            </w:pPr>
          </w:p>
        </w:tc>
        <w:tc>
          <w:tcPr>
            <w:tcW w:w="1400" w:type="dxa"/>
            <w:vAlign w:val="bottom"/>
          </w:tcPr>
          <w:p>
            <w:pPr>
              <w:jc w:val="right"/>
              <w:ind w:right="611"/>
              <w:spacing w:after="0"/>
              <w:rPr>
                <w:sz w:val="20"/>
                <w:szCs w:val="20"/>
                <w:color w:val="auto"/>
              </w:rPr>
            </w:pPr>
            <w:r>
              <w:rPr>
                <w:rFonts w:ascii="Arial" w:cs="Arial" w:eastAsia="Arial" w:hAnsi="Arial"/>
                <w:sz w:val="18"/>
                <w:szCs w:val="18"/>
                <w:color w:val="auto"/>
              </w:rPr>
              <w:t>176</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53"/>
              <w:spacing w:after="0"/>
              <w:rPr>
                <w:sz w:val="20"/>
                <w:szCs w:val="20"/>
                <w:color w:val="auto"/>
              </w:rPr>
            </w:pPr>
            <w:r>
              <w:rPr>
                <w:rFonts w:ascii="Arial" w:cs="Arial" w:eastAsia="Arial" w:hAnsi="Arial"/>
                <w:sz w:val="18"/>
                <w:szCs w:val="18"/>
                <w:color w:val="auto"/>
              </w:rPr>
              <w:t>95</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Arial" w:cs="Arial" w:eastAsia="Arial" w:hAnsi="Arial"/>
                <w:sz w:val="18"/>
                <w:szCs w:val="18"/>
                <w:color w:val="auto"/>
              </w:rPr>
              <w:t>138</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rPr>
              <w:t>1,611</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rPr>
              <w:t>1,791</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rPr>
              <w:t>1,266</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400" w:type="dxa"/>
            <w:vAlign w:val="bottom"/>
          </w:tcPr>
          <w:p>
            <w:pPr>
              <w:jc w:val="right"/>
              <w:ind w:right="551"/>
              <w:spacing w:after="0"/>
              <w:rPr>
                <w:sz w:val="20"/>
                <w:szCs w:val="20"/>
                <w:color w:val="auto"/>
              </w:rPr>
            </w:pPr>
            <w:r>
              <w:rPr>
                <w:rFonts w:ascii="Arial" w:cs="Arial" w:eastAsia="Arial" w:hAnsi="Arial"/>
                <w:sz w:val="18"/>
                <w:szCs w:val="18"/>
                <w:color w:val="auto"/>
              </w:rPr>
              <w:t>(34)</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593"/>
              <w:spacing w:after="0"/>
              <w:rPr>
                <w:sz w:val="20"/>
                <w:szCs w:val="20"/>
                <w:color w:val="auto"/>
              </w:rPr>
            </w:pPr>
            <w:r>
              <w:rPr>
                <w:rFonts w:ascii="Arial" w:cs="Arial" w:eastAsia="Arial" w:hAnsi="Arial"/>
                <w:sz w:val="18"/>
                <w:szCs w:val="18"/>
                <w:color w:val="auto"/>
              </w:rPr>
              <w:t>(39)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571"/>
              <w:spacing w:after="0"/>
              <w:rPr>
                <w:sz w:val="20"/>
                <w:szCs w:val="20"/>
                <w:color w:val="auto"/>
              </w:rPr>
            </w:pPr>
            <w:r>
              <w:rPr>
                <w:rFonts w:ascii="Arial" w:cs="Arial" w:eastAsia="Arial" w:hAnsi="Arial"/>
                <w:sz w:val="18"/>
                <w:szCs w:val="18"/>
                <w:color w:val="auto"/>
              </w:rPr>
              <w:t>(44)</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rPr>
              <w:t>1,577</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rPr>
              <w:t>1,752</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rPr>
              <w:t>1,222</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400" w:type="dxa"/>
            <w:vAlign w:val="bottom"/>
          </w:tcPr>
          <w:p>
            <w:pPr>
              <w:jc w:val="right"/>
              <w:ind w:right="611"/>
              <w:spacing w:after="0"/>
              <w:rPr>
                <w:sz w:val="20"/>
                <w:szCs w:val="20"/>
                <w:color w:val="auto"/>
              </w:rPr>
            </w:pPr>
            <w:r>
              <w:rPr>
                <w:rFonts w:ascii="Arial" w:cs="Arial" w:eastAsia="Arial" w:hAnsi="Arial"/>
                <w:sz w:val="18"/>
                <w:szCs w:val="18"/>
                <w:color w:val="auto"/>
              </w:rPr>
              <w:t>112</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653"/>
              <w:spacing w:after="0"/>
              <w:rPr>
                <w:sz w:val="20"/>
                <w:szCs w:val="20"/>
                <w:color w:val="auto"/>
              </w:rPr>
            </w:pPr>
            <w:r>
              <w:rPr>
                <w:rFonts w:ascii="Arial" w:cs="Arial" w:eastAsia="Arial" w:hAnsi="Arial"/>
                <w:sz w:val="18"/>
                <w:szCs w:val="18"/>
                <w:color w:val="auto"/>
              </w:rPr>
              <w:t>135</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631"/>
              <w:spacing w:after="0"/>
              <w:rPr>
                <w:sz w:val="20"/>
                <w:szCs w:val="20"/>
                <w:color w:val="auto"/>
              </w:rPr>
            </w:pPr>
            <w:r>
              <w:rPr>
                <w:rFonts w:ascii="Arial" w:cs="Arial" w:eastAsia="Arial" w:hAnsi="Arial"/>
                <w:sz w:val="18"/>
                <w:szCs w:val="18"/>
                <w:color w:val="auto"/>
              </w:rPr>
              <w:t>242</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1,465</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1,617</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980</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r>
      <w:tr>
        <w:trPr>
          <w:trHeight w:val="27"/>
        </w:trPr>
        <w:tc>
          <w:tcPr>
            <w:tcW w:w="3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729"/>
        <w:spacing w:after="0" w:line="277" w:lineRule="auto"/>
        <w:rPr>
          <w:sz w:val="20"/>
          <w:szCs w:val="20"/>
          <w:color w:val="auto"/>
        </w:rPr>
      </w:pPr>
      <w:r>
        <w:rPr>
          <w:rFonts w:ascii="Arial" w:cs="Arial" w:eastAsia="Arial" w:hAnsi="Arial"/>
          <w:sz w:val="18"/>
          <w:szCs w:val="18"/>
          <w:color w:val="auto"/>
        </w:rPr>
        <w:t>The following table sets forth, for the periods presented, summary information regarding unit shipments, ASPs and net revenues by geography and channel (in millions, except percentages and ASPs):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 Ended</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3"/>
                <w:szCs w:val="13"/>
                <w:color w:val="auto"/>
              </w:rPr>
            </w:pPr>
          </w:p>
        </w:tc>
        <w:tc>
          <w:tcPr>
            <w:tcW w:w="14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24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240" w:type="dxa"/>
            <w:vAlign w:val="bottom"/>
            <w:tcBorders>
              <w:bottom w:val="single" w:sz="8" w:color="CCEEFF"/>
            </w:tcBorders>
          </w:tcPr>
          <w:p>
            <w:pPr>
              <w:spacing w:after="0"/>
              <w:rPr>
                <w:sz w:val="16"/>
                <w:szCs w:val="16"/>
                <w:color w:val="auto"/>
              </w:rPr>
            </w:pPr>
          </w:p>
        </w:tc>
        <w:tc>
          <w:tcPr>
            <w:tcW w:w="6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14,572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ASPs (per 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Geography (%)</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Americas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Europe, Middle East and Africa</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Asia</w:t>
            </w:r>
          </w:p>
        </w:tc>
        <w:tc>
          <w:tcPr>
            <w:tcW w:w="3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Channel (%)</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Original Equipment Manufacturers ("OEM")</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Retailers</w:t>
            </w:r>
          </w:p>
        </w:tc>
        <w:tc>
          <w:tcPr>
            <w:tcW w:w="3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Unit Shipments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6340" w:type="dxa"/>
            <w:vAlign w:val="bottom"/>
          </w:tcPr>
          <w:p>
            <w:pPr>
              <w:ind w:left="140"/>
              <w:spacing w:after="0"/>
              <w:rPr>
                <w:sz w:val="20"/>
                <w:szCs w:val="20"/>
                <w:color w:val="auto"/>
              </w:rPr>
            </w:pPr>
            <w:r>
              <w:rPr>
                <w:rFonts w:ascii="Arial" w:cs="Arial" w:eastAsia="Arial" w:hAnsi="Arial"/>
                <w:sz w:val="18"/>
                <w:szCs w:val="18"/>
                <w:color w:val="auto"/>
              </w:rPr>
              <w:t>PC</w:t>
            </w:r>
          </w:p>
        </w:tc>
        <w:tc>
          <w:tcPr>
            <w:tcW w:w="3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Borders>
              <w:bottom w:val="single" w:sz="8" w:color="CCEEFF"/>
            </w:tcBorders>
            <w:shd w:val="clear" w:color="auto" w:fill="CCEEFF"/>
          </w:tcPr>
          <w:p>
            <w:pPr>
              <w:spacing w:after="0"/>
              <w:rPr>
                <w:sz w:val="23"/>
                <w:szCs w:val="23"/>
                <w:color w:val="auto"/>
              </w:rPr>
            </w:pPr>
          </w:p>
        </w:tc>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Non-PC</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Total units shipped</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340" w:type="dxa"/>
            <w:vAlign w:val="bottom"/>
          </w:tcPr>
          <w:p>
            <w:pPr>
              <w:ind w:left="420"/>
              <w:spacing w:after="0"/>
              <w:rPr>
                <w:sz w:val="20"/>
                <w:szCs w:val="20"/>
                <w:color w:val="auto"/>
              </w:rPr>
            </w:pPr>
            <w:r>
              <w:rPr>
                <w:rFonts w:ascii="Arial" w:cs="Arial" w:eastAsia="Arial" w:hAnsi="Arial"/>
                <w:sz w:val="18"/>
                <w:szCs w:val="18"/>
                <w:color w:val="auto"/>
              </w:rPr>
              <w:t>Based on sales of HDD units only.</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 2015 Compared to Fiscal Year 2014</w:t>
      </w:r>
    </w:p>
    <w:p>
      <w:pPr>
        <w:spacing w:after="0" w:line="90" w:lineRule="exact"/>
        <w:rPr>
          <w:sz w:val="20"/>
          <w:szCs w:val="20"/>
          <w:color w:val="auto"/>
        </w:rPr>
      </w:pPr>
    </w:p>
    <w:p>
      <w:pPr>
        <w:ind w:right="40" w:firstLine="729"/>
        <w:spacing w:after="0" w:line="312" w:lineRule="auto"/>
        <w:rPr>
          <w:sz w:val="20"/>
          <w:szCs w:val="20"/>
          <w:color w:val="auto"/>
        </w:rPr>
      </w:pPr>
      <w:r>
        <w:rPr>
          <w:rFonts w:ascii="Arial" w:cs="Arial" w:eastAsia="Arial" w:hAnsi="Arial"/>
          <w:sz w:val="16"/>
          <w:szCs w:val="16"/>
          <w:i w:val="1"/>
          <w:iCs w:val="1"/>
          <w:color w:val="auto"/>
        </w:rPr>
        <w:t xml:space="preserve">Net Revenue. </w:t>
      </w:r>
      <w:r>
        <w:rPr>
          <w:rFonts w:ascii="Arial" w:cs="Arial" w:eastAsia="Arial" w:hAnsi="Arial"/>
          <w:sz w:val="16"/>
          <w:szCs w:val="16"/>
          <w:color w:val="auto"/>
        </w:rPr>
        <w:t>Net revenue was $14.6 billion for 2015, a decrease of 4% from 2014. The decrease was primarily due to a 8% decline in total HDD</w:t>
      </w:r>
      <w:r>
        <w:rPr>
          <w:rFonts w:ascii="Arial" w:cs="Arial" w:eastAsia="Arial" w:hAnsi="Arial"/>
          <w:sz w:val="16"/>
          <w:szCs w:val="16"/>
          <w:i w:val="1"/>
          <w:iCs w:val="1"/>
          <w:color w:val="auto"/>
        </w:rPr>
        <w:t xml:space="preserve"> </w:t>
      </w:r>
      <w:r>
        <w:rPr>
          <w:rFonts w:ascii="Arial" w:cs="Arial" w:eastAsia="Arial" w:hAnsi="Arial"/>
          <w:sz w:val="16"/>
          <w:szCs w:val="16"/>
          <w:color w:val="auto"/>
        </w:rPr>
        <w:t>shipments, partially offset by an increase in ASPs. Total HDD shipments in 2015 decreased to 229 million units as compared to 249 million units for the prior year primarily due to a decrease in client PC demand. ASPs were $60 for 2015, an increase of $2 from 2014, primarily due to a change in product mix.</w:t>
      </w:r>
    </w:p>
    <w:p>
      <w:pPr>
        <w:spacing w:after="0" w:line="9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Changes in net revenue by geography and channel generally reflect normal fluctuations in market demand and competitive dynamics.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firstLine="729"/>
        <w:spacing w:after="0" w:line="259"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For 2015 and 2014, these programs represented 10% and 8% of gross revenues, respectively. These amounts generally vary according to several factors including industry conditions, seasonal demand, competitor actions, channel mix and overall availability of products.</w:t>
      </w:r>
    </w:p>
    <w:p>
      <w:pPr>
        <w:spacing w:after="0" w:line="133" w:lineRule="exact"/>
        <w:rPr>
          <w:sz w:val="20"/>
          <w:szCs w:val="20"/>
          <w:color w:val="auto"/>
        </w:rPr>
      </w:pPr>
    </w:p>
    <w:p>
      <w:pPr>
        <w:ind w:right="540" w:firstLine="729"/>
        <w:spacing w:after="0" w:line="30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2015 was $4.2 billion, a decrease of $139 million from the prior year. The decrease was primarily due to lower</w:t>
      </w:r>
      <w:r>
        <w:rPr>
          <w:rFonts w:ascii="Arial" w:cs="Arial" w:eastAsia="Arial" w:hAnsi="Arial"/>
          <w:sz w:val="17"/>
          <w:szCs w:val="17"/>
          <w:i w:val="1"/>
          <w:iCs w:val="1"/>
          <w:color w:val="auto"/>
        </w:rPr>
        <w:t xml:space="preserve"> </w:t>
      </w:r>
      <w:r>
        <w:rPr>
          <w:rFonts w:ascii="Arial" w:cs="Arial" w:eastAsia="Arial" w:hAnsi="Arial"/>
          <w:sz w:val="17"/>
          <w:szCs w:val="17"/>
          <w:color w:val="auto"/>
        </w:rPr>
        <w:t>volume. Gross profit as a percentage of net revenue remained relatively flat at 29.0% in 2015 as compared to 28.8% in 2014.</w:t>
      </w:r>
    </w:p>
    <w:p>
      <w:pPr>
        <w:spacing w:after="0" w:line="93"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right="180" w:firstLine="729"/>
        <w:spacing w:after="0" w:line="342" w:lineRule="auto"/>
        <w:rPr>
          <w:sz w:val="20"/>
          <w:szCs w:val="20"/>
          <w:color w:val="auto"/>
        </w:rPr>
      </w:pPr>
      <w:r>
        <w:rPr>
          <w:rFonts w:ascii="Arial" w:cs="Arial" w:eastAsia="Arial" w:hAnsi="Arial"/>
          <w:sz w:val="16"/>
          <w:szCs w:val="16"/>
          <w:color w:val="auto"/>
        </w:rPr>
        <w:t>Research and development ("R&amp;D") expense was $1.6 billion in 2015, a decrease of $15 million, or 1%, over the prior year. This slight decrease was primarily due to lower incentive compensation, partially offset by an additional week in fiscal 2015 and additional expenses related to our acquisitions.</w:t>
      </w:r>
    </w:p>
    <w:p>
      <w:pPr>
        <w:spacing w:after="0" w:line="70" w:lineRule="exact"/>
        <w:rPr>
          <w:sz w:val="20"/>
          <w:szCs w:val="20"/>
          <w:color w:val="auto"/>
        </w:rPr>
      </w:pPr>
    </w:p>
    <w:p>
      <w:pPr>
        <w:ind w:right="320" w:firstLine="729"/>
        <w:spacing w:after="0" w:line="259" w:lineRule="auto"/>
        <w:rPr>
          <w:sz w:val="20"/>
          <w:szCs w:val="20"/>
          <w:color w:val="auto"/>
        </w:rPr>
      </w:pPr>
      <w:r>
        <w:rPr>
          <w:rFonts w:ascii="Arial" w:cs="Arial" w:eastAsia="Arial" w:hAnsi="Arial"/>
          <w:sz w:val="18"/>
          <w:szCs w:val="18"/>
          <w:color w:val="auto"/>
        </w:rPr>
        <w:t>Selling, general and administrative ("SG&amp;A") expense was $773 million in 2015, an increase of $12 million, or 2%, as compared to 2014. Adjusting for a $37 million flood-related insurance recovery in 2015 compared to a $65 million flood-related insurance recovery in 2014, SG&amp;A expense decreased $16 million, or 2% compared to 2014. This slight decrease was primarily due to lower incentive compensation, partially offset by an additional week in fiscal 2015 and additional expenses related to our acquisitions.</w:t>
      </w:r>
    </w:p>
    <w:p>
      <w:pPr>
        <w:spacing w:after="0" w:line="133" w:lineRule="exact"/>
        <w:rPr>
          <w:sz w:val="20"/>
          <w:szCs w:val="20"/>
          <w:color w:val="auto"/>
        </w:rPr>
      </w:pPr>
    </w:p>
    <w:p>
      <w:pPr>
        <w:ind w:right="40" w:firstLine="729"/>
        <w:spacing w:after="0" w:line="277" w:lineRule="auto"/>
        <w:rPr>
          <w:sz w:val="20"/>
          <w:szCs w:val="20"/>
          <w:color w:val="auto"/>
        </w:rPr>
      </w:pPr>
      <w:r>
        <w:rPr>
          <w:rFonts w:ascii="Arial" w:cs="Arial" w:eastAsia="Arial" w:hAnsi="Arial"/>
          <w:sz w:val="18"/>
          <w:szCs w:val="18"/>
          <w:color w:val="auto"/>
        </w:rPr>
        <w:t>During 2015 and 2014, we recorded $15 million and $52 million, respectively, for charges related to the Seagate matter. For further details see, Part II, Item 8, Note 5 of the Notes to Consolidated Financial Statements in this Annual Report on Form 10-K.</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During 2015, we recorded $176 million of employee termination, asset impairment and other charges. These charges consisted of $82 million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employee termination costs, $82 million of asset impairment charges and $12 million of contract termination and other charges. During 2014,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 million of employee termination, asset impairment and other charges. These charges consisted of $27 million of employee termination costs, $62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asset impairment charges and $6 million of contract termination and other charges.</w:t>
      </w:r>
    </w:p>
    <w:p>
      <w:pPr>
        <w:spacing w:after="0" w:line="157" w:lineRule="exact"/>
        <w:rPr>
          <w:sz w:val="20"/>
          <w:szCs w:val="20"/>
          <w:color w:val="auto"/>
        </w:rPr>
      </w:pPr>
    </w:p>
    <w:p>
      <w:pPr>
        <w:ind w:right="480" w:firstLine="729"/>
        <w:spacing w:after="0" w:line="286"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$34 million in 2015 compared to $39 million in 2014. Interest and other income decreased to $15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2015 from $17 million in 2014, primarily due a $3 million gain on the sale of our auction-rate securities in 2014. Interest and other expense decreased to $49 million in 2015, from $56 million in 2014, primarily due to a $4 million write-off of debt issuance costs in 2014.</w:t>
      </w:r>
    </w:p>
    <w:p>
      <w:pPr>
        <w:spacing w:after="0" w:line="111" w:lineRule="exact"/>
        <w:rPr>
          <w:sz w:val="20"/>
          <w:szCs w:val="20"/>
          <w:color w:val="auto"/>
        </w:rPr>
      </w:pPr>
    </w:p>
    <w:p>
      <w:pPr>
        <w:ind w:right="20" w:firstLine="729"/>
        <w:spacing w:after="0" w:line="276"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Income tax expense was $112 million in 2015 as compared to $135 million in 2014. Tax expense as a percentage of income</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taxes was 7.1% in 2015 compared to 7.7% in 2014. Our income tax provision for 2015 reflects a tax benefit of $27 million as a result of the retroactive extension of the U.S. Federal research and development tax credit (the "R&amp;D credit") that was signed into law on December 19, 2014. The differences between the effective tax rate and the U.S. Federal statutory rate are primarily due to tax holidays in Malaysia, the Philippines, Singapore and Thailand that expire at various dates from 2016 through 2025 and the current year generation of income tax credits.</w:t>
      </w:r>
    </w:p>
    <w:p>
      <w:pPr>
        <w:spacing w:after="0" w:line="119" w:lineRule="exact"/>
        <w:rPr>
          <w:sz w:val="20"/>
          <w:szCs w:val="20"/>
          <w:color w:val="auto"/>
        </w:rPr>
      </w:pPr>
    </w:p>
    <w:p>
      <w:pPr>
        <w:ind w:right="280" w:firstLine="729"/>
        <w:spacing w:after="0" w:line="277" w:lineRule="auto"/>
        <w:rPr>
          <w:sz w:val="20"/>
          <w:szCs w:val="20"/>
          <w:color w:val="auto"/>
        </w:rPr>
      </w:pPr>
      <w:r>
        <w:rPr>
          <w:rFonts w:ascii="Arial" w:cs="Arial" w:eastAsia="Arial" w:hAnsi="Arial"/>
          <w:sz w:val="18"/>
          <w:szCs w:val="18"/>
          <w:color w:val="auto"/>
        </w:rPr>
        <w:t>As of July 3, 2015, we had a recorded liability for unrecognized tax benefits of $350 million. We recognized a net increase of $50 million in our liability for unrecognized tax benefits during 2015. Interest and penalties recognized on such amounts were not material.</w:t>
      </w:r>
    </w:p>
    <w:p>
      <w:pPr>
        <w:spacing w:after="0" w:line="116" w:lineRule="exact"/>
        <w:rPr>
          <w:sz w:val="20"/>
          <w:szCs w:val="20"/>
          <w:color w:val="auto"/>
        </w:rPr>
      </w:pPr>
    </w:p>
    <w:p>
      <w:pPr>
        <w:ind w:firstLine="729"/>
        <w:spacing w:after="0" w:line="269" w:lineRule="auto"/>
        <w:rPr>
          <w:sz w:val="20"/>
          <w:szCs w:val="20"/>
          <w:color w:val="auto"/>
        </w:rPr>
      </w:pPr>
      <w:r>
        <w:rPr>
          <w:rFonts w:ascii="Arial" w:cs="Arial" w:eastAsia="Arial" w:hAnsi="Arial"/>
          <w:sz w:val="17"/>
          <w:szCs w:val="17"/>
          <w:color w:val="auto"/>
        </w:rPr>
        <w:t>The Internal Revenue Service (“IRS”) previously completed its field examination of our federal income tax returns for fiscal years 2006 and 2007, and we and the IRS reached agreement with respect to all matters except on the proposed adjustments to income before income taxes relating to intercompany payable balances. The proposed adjustments relating to intercompany payable balances for fiscal years 2006 and 2007 are addressed in conjunction with the IRS’s examination of our fiscal years 2008 and 2009, which commenced in January 2012. We received a Notice of Proposed Adjustment ("NOPA") from the IRS for fiscal year 2009 relating to intercompany payable balances and two NOPAs from the IRS for fiscal years 2008 and 2009 relating to transfer pricing with our foreign subsidiaries. The NOPAs relating to intercompany payable balances and transfer pricing with our foreign subsidiaries propose to increase our U.S. taxable income, which would result in additional federal tax expense of approximately $72 million and $723 million, respectively, subject to interest. We disagree with the proposed adjustments, believe that the tax positions are properly supported and will vigorously contest the position taken by the IRS. In January 2012, the IRS commenced an examination of the 2007 fiscal period ended September 5, 2007 of Komag, Incorporated, which we acquired on September 5, 2007. The IRS examined calendar years 2010 and 2011 of HGST, which was acquired by us on March 8, 2012, and completed the examination with no material adjustments.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firstLine="729"/>
        <w:spacing w:after="0" w:line="255" w:lineRule="auto"/>
        <w:rPr>
          <w:sz w:val="20"/>
          <w:szCs w:val="20"/>
          <w:color w:val="auto"/>
        </w:rPr>
      </w:pPr>
      <w:r>
        <w:rPr>
          <w:rFonts w:ascii="Arial" w:cs="Arial" w:eastAsia="Arial" w:hAnsi="Arial"/>
          <w:sz w:val="18"/>
          <w:szCs w:val="18"/>
          <w:color w:val="auto"/>
        </w:rPr>
        <w:t>We believe that adequate provision has been made for any adjustments that may result from tax examinations. However, the outcome of tax examinations cannot be predicted with certainty. If any issues addressed in our tax examinations are resolved in a manner not consistent with management's expectations, we could be required to adjust our provision for income taxes in the period such resolution occurs. As of July 3, 2015, it is not possible to estimate the amount of change, if any, in the unrecognized tax benefits that is reasonably possible within the next twelve months. Any significant change in the amount of our liability for unrecognized tax benefits would most likely result from additional information or settlements relating to the examination of our tax returns.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 2014 Compared to Fiscal Year 2013</w:t>
      </w:r>
    </w:p>
    <w:p>
      <w:pPr>
        <w:spacing w:after="0" w:line="90" w:lineRule="exact"/>
        <w:rPr>
          <w:sz w:val="20"/>
          <w:szCs w:val="20"/>
          <w:color w:val="auto"/>
        </w:rPr>
      </w:pPr>
    </w:p>
    <w:p>
      <w:pPr>
        <w:ind w:right="180" w:firstLine="729"/>
        <w:spacing w:after="0" w:line="259"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Net revenue was $15.1 billion for 2014, a decrease of 1% from 2013. ASPs were $58 for 2014, a decrease of $3 from 2013.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were primarily due to modest price declines and a change in product mix, partially offset by an increase in unit shipments. Total hard drive shipments in 2014 increased to 249 million units as compared to 242 million units for the prior year primarily due to strength in our CE solutions, including gaming consoles.</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Changes in net revenue by geography and channel generally reflect normal fluctuations in market demand and competitive dynamics.</w:t>
      </w:r>
    </w:p>
    <w:p>
      <w:pPr>
        <w:spacing w:after="0" w:line="171" w:lineRule="exact"/>
        <w:rPr>
          <w:sz w:val="20"/>
          <w:szCs w:val="20"/>
          <w:color w:val="auto"/>
        </w:rPr>
      </w:pPr>
    </w:p>
    <w:p>
      <w:pPr>
        <w:ind w:right="60" w:firstLine="729"/>
        <w:spacing w:after="0" w:line="259"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For each of 2014 and 2013, these programs represented 8% of gross revenues. These amounts generally vary according to several factors including industry conditions, seasonal demand, competitor actions, channel mix and overall availability of product.</w:t>
      </w:r>
    </w:p>
    <w:p>
      <w:pPr>
        <w:spacing w:after="0" w:line="133" w:lineRule="exact"/>
        <w:rPr>
          <w:sz w:val="20"/>
          <w:szCs w:val="20"/>
          <w:color w:val="auto"/>
        </w:rPr>
      </w:pPr>
    </w:p>
    <w:p>
      <w:pPr>
        <w:ind w:firstLine="729"/>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2014 was $4.4 billion, a decrease of $3 million from the prior year. Gross profit as a percentage of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to 28.8% in 2014 as compared to 28.4% in 2013. The increase in gross profit as a percentage of net revenue was primarily driven by higher volumes in 2014 as compared to 2013 as well as a continued focus on operational excellence.</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ind w:right="100" w:firstLine="729"/>
        <w:spacing w:after="0" w:line="264" w:lineRule="auto"/>
        <w:rPr>
          <w:sz w:val="20"/>
          <w:szCs w:val="20"/>
          <w:color w:val="auto"/>
        </w:rPr>
      </w:pPr>
      <w:r>
        <w:rPr>
          <w:rFonts w:ascii="Arial" w:cs="Arial" w:eastAsia="Arial" w:hAnsi="Arial"/>
          <w:sz w:val="18"/>
          <w:szCs w:val="18"/>
          <w:color w:val="auto"/>
        </w:rPr>
        <w:t>R&amp;D expense was $1.7 billion in 2014, an increase of $89 million, or 6%, over the prior year. This increase was primarily due to the inclusion of Virident and sTec's R&amp;D expenses from the dates of acquisition and the continued investment in product development. As a percentage of net revenue, R&amp;D expense increased to 11.0% in 2014 compared to 10.2% in 2013.</w:t>
      </w:r>
    </w:p>
    <w:p>
      <w:pPr>
        <w:spacing w:after="0" w:line="127" w:lineRule="exact"/>
        <w:rPr>
          <w:sz w:val="20"/>
          <w:szCs w:val="20"/>
          <w:color w:val="auto"/>
        </w:rPr>
      </w:pPr>
    </w:p>
    <w:p>
      <w:pPr>
        <w:ind w:right="160" w:firstLine="729"/>
        <w:spacing w:after="0" w:line="259" w:lineRule="auto"/>
        <w:rPr>
          <w:sz w:val="20"/>
          <w:szCs w:val="20"/>
          <w:color w:val="auto"/>
        </w:rPr>
      </w:pPr>
      <w:r>
        <w:rPr>
          <w:rFonts w:ascii="Arial" w:cs="Arial" w:eastAsia="Arial" w:hAnsi="Arial"/>
          <w:sz w:val="18"/>
          <w:szCs w:val="18"/>
          <w:color w:val="auto"/>
        </w:rPr>
        <w:t>SG&amp;A expense was $761 million in 2014, an increase of $55 million, or 8%, as compared to 2013. This increase in SG&amp;A expense was primarily due to the inclusion of Virident and sTec's SG&amp;A expenses from the dates of acquisition and the expansion of sales and marketing to support new products and growing markets, partially offset by a $65 million gain on flood-related insurance recovery. SG&amp;A expense as a percentage of net revenue increased to 5.0% in 2014 compared to 4.6% in 2013.</w:t>
      </w:r>
    </w:p>
    <w:p>
      <w:pPr>
        <w:spacing w:after="0" w:line="133" w:lineRule="exact"/>
        <w:rPr>
          <w:sz w:val="20"/>
          <w:szCs w:val="20"/>
          <w:color w:val="auto"/>
        </w:rPr>
      </w:pPr>
    </w:p>
    <w:p>
      <w:pPr>
        <w:ind w:right="40" w:firstLine="729"/>
        <w:spacing w:after="0" w:line="277" w:lineRule="auto"/>
        <w:rPr>
          <w:sz w:val="20"/>
          <w:szCs w:val="20"/>
          <w:color w:val="auto"/>
        </w:rPr>
      </w:pPr>
      <w:r>
        <w:rPr>
          <w:rFonts w:ascii="Arial" w:cs="Arial" w:eastAsia="Arial" w:hAnsi="Arial"/>
          <w:sz w:val="18"/>
          <w:szCs w:val="18"/>
          <w:color w:val="auto"/>
        </w:rPr>
        <w:t>During 2014 and 2013, we recorded $52 million and $681 million, respectively, for charges related to the Seagate matter. For further detail see, Part II, Item 8, Note 5 of the Notes to Consolidated Financial Statements included in this Annual Report on Form 10-K.</w:t>
      </w:r>
    </w:p>
    <w:p>
      <w:pPr>
        <w:spacing w:after="0" w:line="116" w:lineRule="exact"/>
        <w:rPr>
          <w:sz w:val="20"/>
          <w:szCs w:val="20"/>
          <w:color w:val="auto"/>
        </w:rPr>
      </w:pPr>
    </w:p>
    <w:p>
      <w:pPr>
        <w:ind w:right="260" w:firstLine="729"/>
        <w:spacing w:after="0" w:line="259" w:lineRule="auto"/>
        <w:rPr>
          <w:sz w:val="20"/>
          <w:szCs w:val="20"/>
          <w:color w:val="auto"/>
        </w:rPr>
      </w:pPr>
      <w:r>
        <w:rPr>
          <w:rFonts w:ascii="Arial" w:cs="Arial" w:eastAsia="Arial" w:hAnsi="Arial"/>
          <w:sz w:val="18"/>
          <w:szCs w:val="18"/>
          <w:color w:val="auto"/>
        </w:rPr>
        <w:t>During 2014, we recorded $95 million of employee termination, asset impairment and other charges. These charges consisted of $27 million of employee termination costs, $62 million of asset impairment charges and $6 million of other charges. During 2013, we recorded $138 million of employee termination, asset impairment and other charges. These charges consisted of $109 million of employee termination costs, $14 million of asset impairment charges and $15 million of other charges.</w:t>
      </w:r>
    </w:p>
    <w:p>
      <w:pPr>
        <w:spacing w:after="0" w:line="133" w:lineRule="exact"/>
        <w:rPr>
          <w:sz w:val="20"/>
          <w:szCs w:val="20"/>
          <w:color w:val="auto"/>
        </w:rPr>
      </w:pPr>
    </w:p>
    <w:p>
      <w:pPr>
        <w:ind w:right="60" w:firstLine="729"/>
        <w:spacing w:after="0" w:line="25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$39 million in 2014 compared to $44 million in 2013. Interest and other income increased from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2013 to $17 million in 2014 primarily due to a $3 million gain on the sale of our auction-rate securities in 2014 and a higher average daily invested cash balance for the period. Interest and other expense increased from $55 million in 2013 to $56 million in 2014, primarily due to a $4 million write-off of debt issuance costs associated with lenders that extinguished or reduced their participation in our new credit agreement, offset by lower variable interest rates on our average debt balance in 2014.</w:t>
      </w:r>
    </w:p>
    <w:p>
      <w:pPr>
        <w:spacing w:after="0" w:line="134" w:lineRule="exact"/>
        <w:rPr>
          <w:sz w:val="20"/>
          <w:szCs w:val="20"/>
          <w:color w:val="auto"/>
        </w:rPr>
      </w:pPr>
    </w:p>
    <w:p>
      <w:pPr>
        <w:ind w:right="120" w:firstLine="729"/>
        <w:spacing w:after="0" w:line="302"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Income tax expense was $135 million in 2014 as compared to $242 million in 2013. Tax expense as a percentage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taxes was 7.7% in 2014 compared to 19.8% in 2013. We recorded an $88 million charge to reduce our previously recognized California deferred tax assets in fiscal 2013 as a result of the enactment of California Proposition 39. California Proposition 39, which was approved by California voters on November 6, 2012, affects California state income tax apportionment for most multi-state taxpayers for tax years beginning on or after January 1, 2013.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proposition reduces our future income apportioned to California, making it less likely for us to realize certain California deferred tax assets. In addition, our income tax provision for 2013 also reflects a tax benefit of $37 million as a result of the retroactive extension of the R&amp;D credit. The R&amp;D credit, which had previously expired on December 31, 2011, was extended through December 31, 2013 as part of the American Taxpayer Relief Act of 2012. The differences between the effective tax rate and the U.S. Federal statutory rate are primarily due to tax holidays in Malaysia, the Philippines, Singapore and Thailand that expire at various dates from 2016 through 2025 and the current year generation of income tax credits.</w:t>
      </w:r>
    </w:p>
    <w:p>
      <w:pPr>
        <w:spacing w:after="0" w:line="11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As of June 27, 2014, we had a recorded liability for unrecognized tax benefits of $300 million. We recognized a net increase of $60 million in our liability for unrecognized tax benefits during 2014. Interest and penalties recognized on such amounts were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60" w:firstLine="729"/>
        <w:spacing w:after="0" w:line="277" w:lineRule="auto"/>
        <w:rPr>
          <w:sz w:val="20"/>
          <w:szCs w:val="20"/>
          <w:color w:val="auto"/>
        </w:rPr>
      </w:pPr>
      <w:r>
        <w:rPr>
          <w:rFonts w:ascii="Arial" w:cs="Arial" w:eastAsia="Arial" w:hAnsi="Arial"/>
          <w:sz w:val="18"/>
          <w:szCs w:val="18"/>
          <w:color w:val="auto"/>
        </w:rPr>
        <w:t>We ended 2015 with total cash and cash equivalents of $5.0 billion, an increase of $220 million from June 27, 2014. The following table summarizes our statements of cash flows for the three years ended July 3, 2015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27,</w:t>
            </w:r>
          </w:p>
        </w:tc>
        <w:tc>
          <w:tcPr>
            <w:tcW w:w="300" w:type="dxa"/>
            <w:vAlign w:val="bottom"/>
          </w:tcPr>
          <w:p>
            <w:pPr>
              <w:spacing w:after="0"/>
              <w:rPr>
                <w:sz w:val="13"/>
                <w:szCs w:val="13"/>
                <w:color w:val="auto"/>
              </w:rPr>
            </w:pPr>
          </w:p>
        </w:tc>
        <w:tc>
          <w:tcPr>
            <w:tcW w:w="118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3,119</w:t>
            </w: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firstLine="729"/>
        <w:spacing w:after="0" w:line="302" w:lineRule="auto"/>
        <w:rPr>
          <w:sz w:val="20"/>
          <w:szCs w:val="20"/>
          <w:color w:val="auto"/>
        </w:rPr>
      </w:pPr>
      <w:r>
        <w:rPr>
          <w:rFonts w:ascii="Arial" w:cs="Arial" w:eastAsia="Arial" w:hAnsi="Arial"/>
          <w:sz w:val="16"/>
          <w:szCs w:val="16"/>
          <w:color w:val="auto"/>
        </w:rPr>
        <w:t>Our investment policy is to manage our investment portfolio to preserve principal and liquidity while maximizing return through the full investment of available funds. We believe our current cash, cash equivalents and cash generated from operations as well as our available credit facilities will be sufficient to meet our working capital, debt, dividend, stock repurchase and capital expenditure needs for at least the next twelve months. Our ability to sustain our working capital position is subject to a number of risks that we discuss in Part I, Item 1A in this Annual Report on Form 10-K.</w:t>
      </w:r>
    </w:p>
    <w:p>
      <w:pPr>
        <w:spacing w:after="0" w:line="100" w:lineRule="exact"/>
        <w:rPr>
          <w:sz w:val="20"/>
          <w:szCs w:val="20"/>
          <w:color w:val="auto"/>
        </w:rPr>
      </w:pPr>
    </w:p>
    <w:p>
      <w:pPr>
        <w:ind w:right="20" w:firstLine="729"/>
        <w:spacing w:after="0" w:line="291" w:lineRule="auto"/>
        <w:rPr>
          <w:sz w:val="20"/>
          <w:szCs w:val="20"/>
          <w:color w:val="auto"/>
        </w:rPr>
      </w:pPr>
      <w:r>
        <w:rPr>
          <w:rFonts w:ascii="Arial" w:cs="Arial" w:eastAsia="Arial" w:hAnsi="Arial"/>
          <w:sz w:val="16"/>
          <w:szCs w:val="16"/>
          <w:color w:val="auto"/>
        </w:rPr>
        <w:t>A total of $4.3 billion and $3.5 billion of our cash and cash equivalents were held outside of the United States at July 3, 2015 and June 27, 2014, respectively. Substantially all of the amounts held outside of the United States are intended to be indefinitely reinvested in foreign operations. As described in Part II, Item 8, Note 5 of the Notes to Consolidated Financial Statements included in this Annual Report on Form 10-K, we paid $773 million to Seagate in 2015 from one of our foreign subsidiaries using cash and cash equivalents held outside of the United States. Our Board of Directors previously approved a capital allocation plan that includes repurchases of our common stock and the adoption of a quarterly cash dividend policy. Our current plans do not anticipate that we will need funds generated from foreign operations to fund our domestic operations or capital allocation plan. In the event funds from foreign operations are needed in the United States, any repatriation could result in the accrual and payment of additional U.S. income tax.</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60" w:firstLine="729"/>
        <w:spacing w:after="0" w:line="259" w:lineRule="auto"/>
        <w:rPr>
          <w:sz w:val="20"/>
          <w:szCs w:val="20"/>
          <w:color w:val="auto"/>
        </w:rPr>
      </w:pPr>
      <w:r>
        <w:rPr>
          <w:rFonts w:ascii="Arial" w:cs="Arial" w:eastAsia="Arial" w:hAnsi="Arial"/>
          <w:sz w:val="18"/>
          <w:szCs w:val="18"/>
          <w:color w:val="auto"/>
        </w:rPr>
        <w:t>Net cash provided by operating activities was $2.2 billion in 2015 as compared to $2.8 billion and $3.1 billion in 2014 and 2013, respectively. Cash flow from operating activities consists of net income, adjusted for non-cash charges, plus or minus working capital changes. This represents our principal source of cash. Net cash used in working capital changes was $593 million for 2015 as compared to net cash used in working capital changes of $234 million in 2014 and net cash provided by working capital changes of $715 million for 2013.</w:t>
      </w:r>
    </w:p>
    <w:p>
      <w:pPr>
        <w:spacing w:after="0" w:line="133"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Our working capital requirements primarily depend on the effective management of our cash conversion cycle, which measures how quickly we can convert our products into cash through sales. The cash conversion cycles for the three years ended 2015 were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40" w:type="dxa"/>
            <w:vAlign w:val="bottom"/>
          </w:tcPr>
          <w:p>
            <w:pPr>
              <w:ind w:left="520"/>
              <w:spacing w:after="0"/>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June 27,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28,</w:t>
            </w:r>
          </w:p>
        </w:tc>
      </w:tr>
      <w:tr>
        <w:trPr>
          <w:trHeight w:val="192"/>
        </w:trPr>
        <w:tc>
          <w:tcPr>
            <w:tcW w:w="7800" w:type="dxa"/>
            <w:vAlign w:val="bottom"/>
            <w:gridSpan w:val="2"/>
          </w:tcPr>
          <w:p>
            <w:pPr>
              <w:ind w:left="7360"/>
              <w:spacing w:after="0"/>
              <w:rPr>
                <w:sz w:val="20"/>
                <w:szCs w:val="20"/>
                <w:color w:val="auto"/>
              </w:rPr>
            </w:pPr>
            <w:r>
              <w:rPr>
                <w:rFonts w:ascii="Arial" w:cs="Arial" w:eastAsia="Arial" w:hAnsi="Arial"/>
                <w:sz w:val="14"/>
                <w:szCs w:val="14"/>
                <w:b w:val="1"/>
                <w:bCs w:val="1"/>
                <w:color w:val="auto"/>
              </w:rPr>
              <w:t>2015</w:t>
            </w:r>
          </w:p>
        </w:tc>
        <w:tc>
          <w:tcPr>
            <w:tcW w:w="16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Days in inventory</w:t>
            </w:r>
          </w:p>
        </w:tc>
        <w:tc>
          <w:tcPr>
            <w:tcW w:w="46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39</w:t>
            </w:r>
          </w:p>
        </w:tc>
      </w:tr>
      <w:tr>
        <w:trPr>
          <w:trHeight w:val="27"/>
        </w:trPr>
        <w:tc>
          <w:tcPr>
            <w:tcW w:w="6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payables outstanding</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Cash conversion cycle</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r>
      <w:tr>
        <w:trPr>
          <w:trHeight w:val="27"/>
        </w:trPr>
        <w:tc>
          <w:tcPr>
            <w:tcW w:w="6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729"/>
        <w:spacing w:after="0" w:line="272" w:lineRule="auto"/>
        <w:rPr>
          <w:sz w:val="20"/>
          <w:szCs w:val="20"/>
          <w:color w:val="auto"/>
        </w:rPr>
      </w:pPr>
      <w:r>
        <w:rPr>
          <w:rFonts w:ascii="Arial" w:cs="Arial" w:eastAsia="Arial" w:hAnsi="Arial"/>
          <w:sz w:val="17"/>
          <w:szCs w:val="17"/>
          <w:color w:val="auto"/>
        </w:rPr>
        <w:t>In 2015, our days sales outstanding (“DSOs”) decreased by 9 days, days in inventory (“DIOs”) increased by 8 days, and days payables outstanding (“DPOs”) remained flat compared to 2014. Changes in DSOs are generally related to the linearity of shipments. For 2015, the decrease in DSOs was due to both the linearity of shipments and the sale of trade receivables in connection with our factoring agreement. Changes in DIOs are generally related to the timing of inventory builds.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729"/>
        <w:spacing w:after="0" w:line="255" w:lineRule="auto"/>
        <w:rPr>
          <w:sz w:val="20"/>
          <w:szCs w:val="20"/>
          <w:color w:val="auto"/>
        </w:rPr>
      </w:pPr>
      <w:r>
        <w:rPr>
          <w:rFonts w:ascii="Arial" w:cs="Arial" w:eastAsia="Arial" w:hAnsi="Arial"/>
          <w:sz w:val="18"/>
          <w:szCs w:val="18"/>
          <w:color w:val="auto"/>
        </w:rPr>
        <w:t>Net cash used in investing activities in 2015 was $1.0 billion as compared to $1.9 billion for 2014 and $1.0 billion for 2013. During 2015, cash used in investing activities consisted primarily of $257 million related to acquisitions, net of cash acquired, $612 million of capital expenditures, $857 million related to the purchase of investments, offset by $5 million of other investing activities, net, and $768 million of proceeds from the sales and maturities of investments. In 2014, cash used in investing activities consisted primarily of $823 million related to acquisitions, net of cash acquired, $628 million of capital expenditures, $561 million related to the purchase of investments, offset by $4 million of other investing activities, net, and $72 million of proceeds from the sales and maturities of investments.</w:t>
      </w:r>
    </w:p>
    <w:p>
      <w:pPr>
        <w:spacing w:after="0" w:line="193" w:lineRule="exact"/>
        <w:rPr>
          <w:sz w:val="20"/>
          <w:szCs w:val="20"/>
          <w:color w:val="auto"/>
        </w:rPr>
      </w:pPr>
    </w:p>
    <w:p>
      <w:pPr>
        <w:ind w:right="180" w:firstLine="729"/>
        <w:spacing w:after="0" w:line="342" w:lineRule="auto"/>
        <w:rPr>
          <w:sz w:val="20"/>
          <w:szCs w:val="20"/>
          <w:color w:val="auto"/>
        </w:rPr>
      </w:pPr>
      <w:r>
        <w:rPr>
          <w:rFonts w:ascii="Arial" w:cs="Arial" w:eastAsia="Arial" w:hAnsi="Arial"/>
          <w:sz w:val="16"/>
          <w:szCs w:val="16"/>
          <w:color w:val="auto"/>
        </w:rPr>
        <w:t>Our cash equivalents are invested in highly liquid money market funds that are invested in U.S. Treasury securities and U.S. Government Agency securities. In addition, we invest directly in U.S. Treasury securities, U.S. Government Agency securities, commercial paper and certificates of deposit.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00" w:firstLine="729"/>
        <w:spacing w:after="0" w:line="293" w:lineRule="auto"/>
        <w:rPr>
          <w:sz w:val="20"/>
          <w:szCs w:val="20"/>
          <w:color w:val="auto"/>
        </w:rPr>
      </w:pPr>
      <w:r>
        <w:rPr>
          <w:rFonts w:ascii="Arial" w:cs="Arial" w:eastAsia="Arial" w:hAnsi="Arial"/>
          <w:sz w:val="16"/>
          <w:szCs w:val="16"/>
          <w:color w:val="auto"/>
        </w:rPr>
        <w:t>Net cash used in financing activities was $1.1 billion in 2015 as compared to $385 million and $1.0 billion for 2014 and 2013, respectively. Net cash used in financing activities in 2015 consisted of $125 million to repay debt, $970 million to repurchase shares of our common stock and $396 million to pay dividends on our common stock, offset by $255 million of proceeds related to our revolving credit facility and net $167 million provided by employee stock plans. Net cash used in financing activities in 2014 consisted of $2.5 billion of proceeds related to our term loan facility, net of issuance costs, $500 million of debt proceeds related to our revolving credit facility and a net $215 million provided by employee stock plans, offset by $2.5 billion used to repay our term loan facility, as well as $816 million used to repurchase shares of our common stock and $259 million used to pay dividends on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firstLine="729"/>
        <w:spacing w:after="0" w:line="257" w:lineRule="auto"/>
        <w:rPr>
          <w:sz w:val="20"/>
          <w:szCs w:val="20"/>
          <w:color w:val="auto"/>
        </w:rPr>
      </w:pPr>
      <w:r>
        <w:rPr>
          <w:rFonts w:ascii="Arial" w:cs="Arial" w:eastAsia="Arial" w:hAnsi="Arial"/>
          <w:sz w:val="18"/>
          <w:szCs w:val="18"/>
          <w:color w:val="auto"/>
        </w:rPr>
        <w:t>Other than facility lease commitments incurred in the normal course of business and certain indemnification provisions (see “Contractual Obligations and Commitments” below),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the consolidated financial statements. Additionally, we do not have an interest in, or relationships with, any special-purpose entities.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July 3, 2015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1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2,312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within our consolidated balance sheet</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ind w:right="80" w:firstLine="729"/>
        <w:spacing w:after="0" w:line="255" w:lineRule="auto"/>
        <w:rPr>
          <w:sz w:val="20"/>
          <w:szCs w:val="20"/>
          <w:color w:val="auto"/>
        </w:rPr>
      </w:pPr>
      <w:r>
        <w:rPr>
          <w:rFonts w:ascii="Arial" w:cs="Arial" w:eastAsia="Arial" w:hAnsi="Arial"/>
          <w:sz w:val="18"/>
          <w:szCs w:val="18"/>
          <w:color w:val="auto"/>
        </w:rPr>
        <w:t>As of July 3, 2015, we had $255 million outstanding on our revolving credit facility and $2.3 billion outstanding on our term loan facility. The revolving credit facility is classified within current liabilities on our consolidated balance sheet as of July 3, 2015 due to our intent to repay the borrowings in 2016. We are required to make quarterly principal payments on the term loan facility totaling $156 million in fiscal 2016, $219 million in fiscal 2017, $250 million in fiscal 2018 and the remaining balance of $1.7 billion in fiscal 2019. As of July 3, 2015, we were in compliance with all covenants under our credit agreement. For additional information, see Part II, Item 8, Note 3 in the Notes to Consolidated Financial Statements included in this Annual Report on Form 10-K.</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Orders</w:t>
      </w:r>
    </w:p>
    <w:p>
      <w:pPr>
        <w:spacing w:after="0" w:line="90" w:lineRule="exact"/>
        <w:rPr>
          <w:sz w:val="20"/>
          <w:szCs w:val="20"/>
          <w:color w:val="auto"/>
        </w:rPr>
      </w:pPr>
    </w:p>
    <w:p>
      <w:pPr>
        <w:ind w:firstLine="729"/>
        <w:spacing w:after="0" w:line="293"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purchase orders with suppliers for capital equipment that are recorded as a liability upon receipt of the equipment. Our ability to change or cancel a capital equipment purchase order without penalty depends on the nature of the equipment being ordered. In some cases, we may be obligated to pay for certain costs related to changes to, or cancellation of, a purchase order, such as costs incurred for raw materials or work in process of components or capital equipment.</w:t>
      </w:r>
    </w:p>
    <w:p>
      <w:pPr>
        <w:spacing w:after="0" w:line="111" w:lineRule="exact"/>
        <w:rPr>
          <w:sz w:val="20"/>
          <w:szCs w:val="20"/>
          <w:color w:val="auto"/>
        </w:rPr>
      </w:pPr>
    </w:p>
    <w:p>
      <w:pPr>
        <w:ind w:right="120" w:firstLine="729"/>
        <w:spacing w:after="0" w:line="255" w:lineRule="auto"/>
        <w:rPr>
          <w:sz w:val="20"/>
          <w:szCs w:val="20"/>
          <w:color w:val="auto"/>
        </w:rPr>
      </w:pPr>
      <w:r>
        <w:rPr>
          <w:rFonts w:ascii="Arial" w:cs="Arial" w:eastAsia="Arial" w:hAnsi="Arial"/>
          <w:sz w:val="18"/>
          <w:szCs w:val="18"/>
          <w:color w:val="auto"/>
        </w:rPr>
        <w:t>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The estimated related minimum purchase requirements are included in “Purchase obligations” in the table above. We have also entered into long-term purchase agreements with various component suppliers that carry fixed volumes and pricing which obligate us to make certain future purchases, contingent on certain conditions of performance, quality and technology of the vendor’s components. These arrangements are included under “Purchase obligations” in the table above.</w:t>
      </w:r>
    </w:p>
    <w:p>
      <w:pPr>
        <w:spacing w:after="0" w:line="139" w:lineRule="exact"/>
        <w:rPr>
          <w:sz w:val="20"/>
          <w:szCs w:val="20"/>
          <w:color w:val="auto"/>
        </w:rPr>
      </w:pPr>
    </w:p>
    <w:p>
      <w:pPr>
        <w:ind w:right="160" w:firstLine="729"/>
        <w:spacing w:after="0" w:line="279" w:lineRule="auto"/>
        <w:rPr>
          <w:sz w:val="20"/>
          <w:szCs w:val="20"/>
          <w:color w:val="auto"/>
        </w:rPr>
      </w:pPr>
      <w:r>
        <w:rPr>
          <w:rFonts w:ascii="Arial" w:cs="Arial" w:eastAsia="Arial" w:hAnsi="Arial"/>
          <w:sz w:val="17"/>
          <w:szCs w:val="17"/>
          <w:color w:val="auto"/>
        </w:rPr>
        <w:t>We enter into, from time to time,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 These arrangements are not included under “Purchase obligations” in the table above. Please see Part I, Item 1A of this Annual Report on Form 10-K for a discussion of risks related to commitments.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 Contracts</w:t>
      </w:r>
    </w:p>
    <w:p>
      <w:pPr>
        <w:spacing w:after="0" w:line="90" w:lineRule="exact"/>
        <w:rPr>
          <w:sz w:val="20"/>
          <w:szCs w:val="20"/>
          <w:color w:val="auto"/>
        </w:rPr>
      </w:pPr>
    </w:p>
    <w:p>
      <w:pPr>
        <w:ind w:right="40" w:firstLine="729"/>
        <w:spacing w:after="0" w:line="259" w:lineRule="auto"/>
        <w:rPr>
          <w:sz w:val="20"/>
          <w:szCs w:val="20"/>
          <w:color w:val="auto"/>
        </w:rPr>
      </w:pPr>
      <w:r>
        <w:rPr>
          <w:rFonts w:ascii="Arial" w:cs="Arial" w:eastAsia="Arial" w:hAnsi="Arial"/>
          <w:sz w:val="18"/>
          <w:szCs w:val="18"/>
          <w:color w:val="auto"/>
        </w:rPr>
        <w:t>We purchase short-term, foreign exchange contracts to hedge the impact of foreign currency fluctuations on certain underlying assets, liabilities and commitments for operating expenses and product costs denominated in foreign currencies. See Part II, Item 7A, under the heading “Disclosure About Foreign Currency Risk,” for a description of our current foreign exchange contract commitments and Part II, Item 8, Notes 1 and 12 of the Notes to Consolidated Financial Statements, included in this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ind w:right="100" w:firstLine="729"/>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39" w:lineRule="exact"/>
        <w:rPr>
          <w:sz w:val="20"/>
          <w:szCs w:val="20"/>
          <w:color w:val="auto"/>
        </w:rPr>
      </w:pPr>
    </w:p>
    <w:p>
      <w:pPr>
        <w:ind w:right="40" w:firstLine="729"/>
        <w:spacing w:after="0" w:line="286" w:lineRule="auto"/>
        <w:rPr>
          <w:sz w:val="20"/>
          <w:szCs w:val="20"/>
          <w:color w:val="auto"/>
        </w:rPr>
      </w:pPr>
      <w:r>
        <w:rPr>
          <w:rFonts w:ascii="Arial" w:cs="Arial" w:eastAsia="Arial" w:hAnsi="Arial"/>
          <w:sz w:val="17"/>
          <w:szCs w:val="17"/>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right="420" w:firstLine="729"/>
        <w:spacing w:after="0" w:line="264" w:lineRule="auto"/>
        <w:rPr>
          <w:sz w:val="20"/>
          <w:szCs w:val="20"/>
          <w:color w:val="auto"/>
        </w:rPr>
      </w:pPr>
      <w:r>
        <w:rPr>
          <w:rFonts w:ascii="Arial" w:cs="Arial" w:eastAsia="Arial" w:hAnsi="Arial"/>
          <w:sz w:val="18"/>
          <w:szCs w:val="18"/>
          <w:color w:val="auto"/>
        </w:rPr>
        <w:t>As of July 3, 2015, the amount of unrecognized tax benefits, including related accrued interest and penalties, was $350 million, of which $291 million could result in potential cash payments. We are not able to provide a reasonable estimate of the timing of future tax payments related to these obligations.</w:t>
      </w:r>
    </w:p>
    <w:p>
      <w:pPr>
        <w:spacing w:after="0" w:line="46" w:lineRule="exact"/>
        <w:rPr>
          <w:sz w:val="20"/>
          <w:szCs w:val="20"/>
          <w:color w:val="auto"/>
        </w:rPr>
      </w:pPr>
    </w:p>
    <w:p>
      <w:pPr>
        <w:ind w:right="640" w:firstLine="729"/>
        <w:spacing w:after="0" w:line="277" w:lineRule="auto"/>
        <w:rPr>
          <w:sz w:val="20"/>
          <w:szCs w:val="20"/>
          <w:color w:val="auto"/>
        </w:rPr>
      </w:pPr>
      <w:r>
        <w:rPr>
          <w:rFonts w:ascii="Arial" w:cs="Arial" w:eastAsia="Arial" w:hAnsi="Arial"/>
          <w:sz w:val="18"/>
          <w:szCs w:val="18"/>
          <w:color w:val="auto"/>
        </w:rPr>
        <w:t>See Part II, Item 8, Note 9 in the Notes to Consolidated Financial Statements included in this Annual Report on Form 10-K for information regarding our total tax liability for unrecognized tax benefits.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firstLine="729"/>
        <w:spacing w:after="0" w:line="291" w:lineRule="auto"/>
        <w:rPr>
          <w:sz w:val="20"/>
          <w:szCs w:val="20"/>
          <w:color w:val="auto"/>
        </w:rPr>
      </w:pPr>
      <w:r>
        <w:rPr>
          <w:rFonts w:ascii="Arial" w:cs="Arial" w:eastAsia="Arial" w:hAnsi="Arial"/>
          <w:sz w:val="16"/>
          <w:szCs w:val="16"/>
          <w:color w:val="auto"/>
        </w:rPr>
        <w:t>Our Board of Directors previously authorized $3.0 billion for the repurchase of our common stock. On February 3, 2015, our Board of Directors authorized an additional $2.0 billion for the repurchase of our common stock and approved the extension of our stock repurchase program to February 3, 2020. We repurchased 9.6 million shares of our common stock for a total cost of $970 million in 2015. The remaining amount available to be purchased under our stock repurchase program as of July 3, 2015 was $2.2 billion. Subsequent to July 3, 2015 and through August 13, 2015, we repurchased an additional 0.7 million shares of our common stock for a total cost of $60 million. We may continue to repurchase our common stock as we deem appropriate. Repurchases under our stock repurchase program may be made in the open market or in privately negotiated transactions and may be made under a Rule 10b5-1 plan. We expect stock repurchases to be funded principally by operating cash flows and borrowings under our credit agreement.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Dividend Policy</w:t>
      </w:r>
    </w:p>
    <w:p>
      <w:pPr>
        <w:spacing w:after="0" w:line="90" w:lineRule="exact"/>
        <w:rPr>
          <w:sz w:val="20"/>
          <w:szCs w:val="20"/>
          <w:color w:val="auto"/>
        </w:rPr>
      </w:pPr>
    </w:p>
    <w:p>
      <w:pPr>
        <w:ind w:right="20" w:firstLine="729"/>
        <w:spacing w:after="0" w:line="273" w:lineRule="auto"/>
        <w:rPr>
          <w:sz w:val="20"/>
          <w:szCs w:val="20"/>
          <w:color w:val="auto"/>
        </w:rPr>
      </w:pPr>
      <w:r>
        <w:rPr>
          <w:rFonts w:ascii="Arial" w:cs="Arial" w:eastAsia="Arial" w:hAnsi="Arial"/>
          <w:sz w:val="17"/>
          <w:szCs w:val="17"/>
          <w:color w:val="auto"/>
        </w:rPr>
        <w:t>On September 13, 2012, we announced that our Board of Directors had authorized the adoption of a quarterly cash dividend policy. Under the cash dividend policy, holders of our common stock receive dividends when and as declared by our Board of Directors. In 2015, we declared aggregate cash dividends of $1.80 per share of our common stock, totaling $418 million, of which $302 million was paid during 2015. We also paid $94 million of dividends in 2015 related to dividends accrued in 2014. On August 4, 2015, we declared a cash dividend of $0.50 per share of our common stock to shareholders of record as of October 2, 2015, which will be paid on October 15, 2015. We may modify, suspend or cancel our cash dividend policy in any manner and at any time. See Part II, Item 5 included in this Annual Report on Form 10-K for further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00" w:firstLine="729"/>
        <w:spacing w:after="0" w:line="257" w:lineRule="auto"/>
        <w:rPr>
          <w:sz w:val="20"/>
          <w:szCs w:val="20"/>
          <w:color w:val="auto"/>
        </w:rPr>
      </w:pPr>
      <w:r>
        <w:rPr>
          <w:rFonts w:ascii="Arial" w:cs="Arial" w:eastAsia="Arial" w:hAnsi="Arial"/>
          <w:sz w:val="18"/>
          <w:szCs w:val="18"/>
          <w:color w:val="auto"/>
        </w:rPr>
        <w:t>We have prepared the accompanying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We believe the following are our most critical accounting policies that affect significant areas and involve judgment and estimates made by us. If these estimates differ significantly from actual results, the impact to the consolidated financial statements may be material.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and Accounts Receivable</w:t>
      </w:r>
    </w:p>
    <w:p>
      <w:pPr>
        <w:spacing w:after="0" w:line="90" w:lineRule="exact"/>
        <w:rPr>
          <w:sz w:val="20"/>
          <w:szCs w:val="20"/>
          <w:color w:val="auto"/>
        </w:rPr>
      </w:pPr>
    </w:p>
    <w:p>
      <w:pPr>
        <w:ind w:right="60" w:firstLine="729"/>
        <w:spacing w:after="0" w:line="286" w:lineRule="auto"/>
        <w:rPr>
          <w:sz w:val="20"/>
          <w:szCs w:val="20"/>
          <w:color w:val="auto"/>
        </w:rPr>
      </w:pPr>
      <w:r>
        <w:rPr>
          <w:rFonts w:ascii="Arial" w:cs="Arial" w:eastAsia="Arial" w:hAnsi="Arial"/>
          <w:sz w:val="16"/>
          <w:szCs w:val="16"/>
          <w:color w:val="auto"/>
        </w:rPr>
        <w:t>In accordance with standard industry practice, we provide distributors and retailers (collectively referred to as “resellers”) with limited price protection for inventories held by resellers at the time of published list price reductions, and we provide resellers and OEMs with other sales incentive programs. At the time we recognize revenue to resellers and OEMs, we record a reduction of revenue for estimated price protection until the resellers sell such inventory to their customers and we also record a reduction of revenue for the other programs in effect. We base these adjustments on several factors including anticipated price decreases during the reseller holding period, resellers’ sell-through and inventory levels, estimated amounts to be reimbursed to qualifying customers, historical pricing information and customer claim processing. If customer demand for hard drives or market conditions differs from our expectations, our operating results could be materially affected. We also have programs under which we reimburse qualified distributors and retailers for certain marketing expenditures, which are recorded as a reduction of revenue. These amounts generally vary according to several factors including industry conditions, seasonal demand, competitor actions, channel mix and overall availability of product. Generally, total sales incentive and marketing programs range from 7% to 11% of gross revenues per quarter. For 2015, sales incentive and marketing programs were 10% of gross revenues. Changes in future customer demand and market conditions may require us to adjust our incentive programs as a percentage of gross revenue from the current range. Adjustments to revenues due to changes in accruals for these programs related to revenues reported in prior periods have averaged 0.7% of quarterly gross revenue since the first quarter of fiscal 2013. Customer sales incentive and marketing programs are recorded as a reduction of revenue.</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record an allowance for doubtful accounts by analyzing specific customer accounts and assessing the risk of loss based on insolvency, disputes or other collection issues. In addition, we routinely analyze the different receivable aging categories and establish reserves based on a combination of past due receivables and expected future losses based primarily on our historical levels of bad debt losses. If the financial condition of a significant customer deteriorates resulting in its inability to pay its accounts when due, or if our overall loss history changes significantly, an adjustment in our allowance for doubtful accounts would be required, which could materially affect operating results.</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establish provisions against revenue and cost of revenue for sales returns in the same period that the related revenue is recognized. We base these provisions on existing product return notifications. If actual sales returns exceed expectations, an increase in the sales return accrual would be required, which could materially affect operating results.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record an accrual for estimated warranty costs when revenue is recognized. We generally warrant our products for a period of one to five years. Our warranty provision considers estimated product failure rates and trends, estimated replacement costs, estimated repair costs which include scrap costs, and estimated costs for customer compensatory claims related to product quality issues, if any. We use a statistical warranty tracking model to help prepare our estimates and assist us in exercising judgment in determining the underlying estimates. Our statistical tracking model captures specific detail on hard drive reliability, such as factory test data, historical field return rates, and costs to repair by product type. Our judgment is subject to a greater degree of subjectivity with respect to newly introduced products because of limited field experience with those products upon which to base our warranty estimates. We review our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our estimates, our future results of operations could be materially affected. For a summary of historical changes in estimates related to pre-existing warranty provisions, refer to Part II, Item 8, Note 4 of the Notes to the Consolidated Financial Statements included in this Annual Report on Form 10-K.</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0" w:firstLine="729"/>
        <w:spacing w:after="0" w:line="272" w:lineRule="auto"/>
        <w:rPr>
          <w:sz w:val="20"/>
          <w:szCs w:val="20"/>
          <w:color w:val="auto"/>
        </w:rPr>
      </w:pPr>
      <w:r>
        <w:rPr>
          <w:rFonts w:ascii="Arial" w:cs="Arial" w:eastAsia="Arial" w:hAnsi="Arial"/>
          <w:sz w:val="17"/>
          <w:szCs w:val="17"/>
          <w:color w:val="auto"/>
        </w:rPr>
        <w:t>We value inventories at the lower of cost (first-in, first-out and weighted average methods) or net realizable value. We use the first-in, first-out (“FIFO”) method to value the cost of the majority of our inventories, while we use the weighted-average method to value precious metal inventories. Weighted-average cost is calculated based upon the cost of precious metals at the time they are received by us. We have determined that it is not practicable to assign specific costs to individual units of precious metals and, as such, we relieve our precious metals inventory based on the weighted-average cost of the inventory at the time the inventory is used in production. The weighted-average method of valuing precious metals does not materially differ from a FIFO method. We record inventory write-downs for the valuation of inventory at the lower of cost or net realizable value by analyzing market conditions and estimates of future sales prices as compared to inventory costs and inventory balances.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00" w:firstLine="729"/>
        <w:spacing w:after="0" w:line="259" w:lineRule="auto"/>
        <w:rPr>
          <w:sz w:val="20"/>
          <w:szCs w:val="20"/>
          <w:color w:val="auto"/>
        </w:rPr>
      </w:pPr>
      <w:r>
        <w:rPr>
          <w:rFonts w:ascii="Arial" w:cs="Arial" w:eastAsia="Arial" w:hAnsi="Arial"/>
          <w:sz w:val="18"/>
          <w:szCs w:val="18"/>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Litigation and Other Contingencies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When we become aware of a claim or potential claim, we assess the likelihood of any loss or exposure. We disclose information regarding each material claim where the likelihood of a loss contingency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judgments, estimates and inherent uncertainties. The actual outcome of such matters could differ materially from management’s estimates. Refer to Part II, Item 8, Note 5 in the Notes to Consolidated Financial Statements, included in this Annual Report on Form 10-K.</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80" w:firstLine="729"/>
        <w:spacing w:after="0" w:line="271" w:lineRule="auto"/>
        <w:rPr>
          <w:sz w:val="20"/>
          <w:szCs w:val="20"/>
          <w:color w:val="auto"/>
        </w:rPr>
      </w:pPr>
      <w:r>
        <w:rPr>
          <w:rFonts w:ascii="Arial" w:cs="Arial" w:eastAsia="Arial" w:hAnsi="Arial"/>
          <w:sz w:val="17"/>
          <w:szCs w:val="17"/>
          <w:color w:val="auto"/>
        </w:rPr>
        <w:t>We account for all stock-based compensation at fair value. Stock-based compensation cost is measured at the grant date based on the value of the award and is recognized as expense over the vesting period. The fair values of all stock options granted are estimated using a binomial model, and the fair values of all Employee Stock Purchase Plan purchase rights are estimated using the Black-Scholes-Merton option-pricing model. We account for stock appreciation rights (“SARs”) as liability awards based upon our intention to settle such awards in cash. The SARs liability is recognized for that portion of fair value for the service period rendered at the reporting date. The share-based liability is remeasured at each reporting date through the requisite service period. Both the binomial and the Black-Scholes-Merton models require the input of highly subjective assumptions. We are required to use judgment in estimating the amount of stock-based awards that are expected to be forfeited. If actual forfeitures differ significantly from the original estimate, stock-based compensation expense and our results of operations could be materially affected.</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fair value of assets acquired and liabilities assumed in a business acquisition are recognized at the acquisition date, with amounts exceeding the fair values being recognized as goodwill. Goodwill is not amortized. Instead, it is tested for impairment on an annual basis or more frequently whenever events or changes in circumstances indicate that goodwill may be impaired. We perform our annual impairment test as of the first day of our fiscal fourth quarter. We either use qualitative factors to determine whether goodwill is more likely than not impaired or we perform a two-step approach to quantify impairment. If we conclude from the qualitative assessment that goodwill is more likely than not impaired, we are required to follow a two-step approach to quantify the impairment. We are required to use judgment when applying the goodwill impairment test, including the identification of reporting units,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our assessment of the fair value and goodwill impairment for each reporting unit.</w:t>
      </w:r>
    </w:p>
    <w:p>
      <w:pPr>
        <w:spacing w:after="0" w:line="113" w:lineRule="exact"/>
        <w:rPr>
          <w:sz w:val="20"/>
          <w:szCs w:val="20"/>
          <w:color w:val="auto"/>
        </w:rPr>
      </w:pPr>
    </w:p>
    <w:p>
      <w:pPr>
        <w:ind w:right="80" w:firstLine="729"/>
        <w:spacing w:after="0" w:line="255" w:lineRule="auto"/>
        <w:rPr>
          <w:sz w:val="20"/>
          <w:szCs w:val="20"/>
          <w:color w:val="auto"/>
        </w:rPr>
      </w:pPr>
      <w:r>
        <w:rPr>
          <w:rFonts w:ascii="Arial" w:cs="Arial" w:eastAsia="Arial" w:hAnsi="Arial"/>
          <w:sz w:val="18"/>
          <w:szCs w:val="18"/>
          <w:color w:val="auto"/>
        </w:rPr>
        <w:t>Other intangible assets consist primarily of technology acquired in business combinations and in-process research and development. In-process research and development is not amortized until the point at which it reaches technological feasibility. Instead, it is tested for impairment on an annual basis or more frequently whenever events or changes in circumstances indicate that it may be impaired. Acquired intangibles are amortized on a straight-line basis over their respective estimated useful lives.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color w:val="auto"/>
        </w:rPr>
        <w:t>For a description of recently issued and adopted accounting pronouncements, including the respective dates of adoption and expected effects on our results of operations and financial condition, refer to Part II, Item 8, Note 1 of the Notes to Consolidated Financial Statements included in this Annual Report on Form 10-K, which is incorporated by reference in response to this item.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94" w:lineRule="exact"/>
        <w:rPr>
          <w:sz w:val="20"/>
          <w:szCs w:val="20"/>
          <w:color w:val="auto"/>
        </w:rPr>
      </w:pPr>
    </w:p>
    <w:p>
      <w:pPr>
        <w:ind w:right="180" w:firstLine="729"/>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trading purposes. See Part II, Item 8, Notes 1 and 12 in the Notes to Consolidated Financial Statements, included in this Annual Report on Form 10-K.</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1"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As of July 3, 2015, we had outstanding the following purchased foreign exchange contracts (in millions, except weighted average contract rate):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Contract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Contract Rate*</w:t>
            </w:r>
          </w:p>
        </w:tc>
        <w:tc>
          <w:tcPr>
            <w:tcW w:w="26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exchange contracts: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b w:val="1"/>
                <w:bCs w:val="1"/>
                <w:color w:val="auto"/>
              </w:rPr>
              <w:t>Cash flow hedges: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Malaysian Ringgit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Philippine Peso</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Singapore Dollar</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Thai Baht</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b w:val="1"/>
                <w:bCs w:val="1"/>
                <w:color w:val="auto"/>
              </w:rPr>
              <w:t>Fair value hedges: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British Pound Sterling</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Euro</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Philippine Peso</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Singapore Dollar</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Thai Baht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Expressed in units of foreign currency per U.S. dollar</w:t>
      </w:r>
    </w:p>
    <w:p>
      <w:pPr>
        <w:spacing w:after="0" w:line="157" w:lineRule="exact"/>
        <w:rPr>
          <w:sz w:val="20"/>
          <w:szCs w:val="20"/>
          <w:color w:val="auto"/>
        </w:rPr>
      </w:pPr>
    </w:p>
    <w:p>
      <w:pPr>
        <w:ind w:right="20" w:firstLine="729"/>
        <w:spacing w:after="0" w:line="277" w:lineRule="auto"/>
        <w:rPr>
          <w:sz w:val="20"/>
          <w:szCs w:val="20"/>
          <w:color w:val="auto"/>
        </w:rPr>
      </w:pPr>
      <w:r>
        <w:rPr>
          <w:rFonts w:ascii="Arial" w:cs="Arial" w:eastAsia="Arial" w:hAnsi="Arial"/>
          <w:sz w:val="18"/>
          <w:szCs w:val="18"/>
          <w:color w:val="auto"/>
        </w:rPr>
        <w:t>In 2015, 2014 and 2013, total net realized transaction and foreign exchange contract currency gains and losses were not material to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100" w:firstLine="729"/>
        <w:spacing w:after="0" w:line="271" w:lineRule="auto"/>
        <w:rPr>
          <w:sz w:val="20"/>
          <w:szCs w:val="20"/>
          <w:color w:val="auto"/>
        </w:rPr>
      </w:pPr>
      <w:r>
        <w:rPr>
          <w:rFonts w:ascii="Arial" w:cs="Arial" w:eastAsia="Arial" w:hAnsi="Arial"/>
          <w:sz w:val="17"/>
          <w:szCs w:val="17"/>
          <w:color w:val="auto"/>
        </w:rPr>
        <w:t>Borrowings under the Credit Agreement bear interest at a rate equal to, at the option of the applicable Borrower, either (a) a customary London interbank offered rate (a “Eurodollar Rate”) or (b) a customary base rate (a “Base Rate”), in each case plus an applicable margin. The applicable margins range from 1.25% to 2.00% with respect to Eurodollar Rate borrowings and 0.25% to 1.00% with respect to Base Rate borrowings. WDT, WDI and WD International are also required to pay a commitment fee for the unused portion of the revolving credit facility, which ranges from 0.175% to 0.300% per annum. The applicable margins for borrowings and the commitment fee ranges are determined based upon a leverage ratio of us and our subsidiaries calculated on a consolidated basis. A one percent increase in the variable rate of interest on the term loan and revolving credit facility would increase interest expense by approximately $26 million annually. For additional information, see Part II, Item 8, Note 3 of the Notes to Consolidated Financial Statements included in this Annual Report on Form 10-K.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365"/>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4300" w:type="dxa"/>
            <w:vAlign w:val="bottom"/>
            <w:gridSpan w:val="2"/>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Reports of Independent Registered Public Accounting Firm</w:t>
              </w:r>
            </w:hyperlink>
          </w:p>
        </w:tc>
        <w:tc>
          <w:tcPr>
            <w:tcW w:w="6180" w:type="dxa"/>
            <w:vAlign w:val="bottom"/>
            <w:gridSpan w:val="7"/>
          </w:tcPr>
          <w:p>
            <w:pPr>
              <w:spacing w:after="0"/>
              <w:rPr>
                <w:sz w:val="19"/>
                <w:szCs w:val="19"/>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Balance Sheets — July 3, 2015 and June 27, 2014</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Income — Three Years Ended July 3, 2015</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6320" w:type="dxa"/>
            <w:vAlign w:val="bottom"/>
            <w:gridSpan w:val="7"/>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Comprehensive Income — Three Years Ended July 3, 2015</w:t>
              </w:r>
            </w:hyperlink>
          </w:p>
        </w:tc>
        <w:tc>
          <w:tcPr>
            <w:tcW w:w="4160" w:type="dxa"/>
            <w:vAlign w:val="bottom"/>
            <w:gridSpan w:val="2"/>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632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 Three Years Ended July 3, 2015</w:t>
              </w:r>
            </w:hyperlink>
          </w:p>
        </w:tc>
        <w:tc>
          <w:tcPr>
            <w:tcW w:w="4160" w:type="dxa"/>
            <w:vAlign w:val="bottom"/>
            <w:gridSpan w:val="2"/>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Shareholders’ Equity — Three Years Ended July 3, 2015</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3160" w:type="dxa"/>
            <w:vAlign w:val="bottom"/>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Notes to Consolidated Financial Statements</w:t>
              </w:r>
            </w:hyperlink>
          </w:p>
        </w:tc>
        <w:tc>
          <w:tcPr>
            <w:tcW w:w="2960" w:type="dxa"/>
            <w:vAlign w:val="bottom"/>
            <w:gridSpan w:val="5"/>
          </w:tcPr>
          <w:p>
            <w:pPr>
              <w:spacing w:after="0"/>
              <w:rPr>
                <w:sz w:val="24"/>
                <w:szCs w:val="24"/>
                <w:color w:val="auto"/>
              </w:rPr>
            </w:pPr>
          </w:p>
        </w:tc>
        <w:tc>
          <w:tcPr>
            <w:tcW w:w="4360" w:type="dxa"/>
            <w:vAlign w:val="bottom"/>
            <w:gridSpan w:val="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82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 Schedule: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7260" w:type="dxa"/>
            <w:vAlign w:val="bottom"/>
            <w:gridSpan w:val="8"/>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Schedule II — Consolidated Valuation and Qualifying Accounts — Three Years Ended July 3, 2015</w:t>
              </w:r>
            </w:hyperlink>
          </w:p>
        </w:tc>
        <w:tc>
          <w:tcPr>
            <w:tcW w:w="3220" w:type="dxa"/>
            <w:vAlign w:val="bottom"/>
          </w:tcPr>
          <w:p>
            <w:pPr>
              <w:spacing w:after="0"/>
              <w:rPr>
                <w:sz w:val="19"/>
                <w:szCs w:val="19"/>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507"/>
        </w:trPr>
        <w:tc>
          <w:tcPr>
            <w:tcW w:w="340" w:type="dxa"/>
            <w:vAlign w:val="bottom"/>
          </w:tcPr>
          <w:p>
            <w:pPr>
              <w:spacing w:after="0"/>
              <w:rPr>
                <w:sz w:val="24"/>
                <w:szCs w:val="24"/>
                <w:color w:val="auto"/>
              </w:rPr>
            </w:pPr>
          </w:p>
        </w:tc>
        <w:tc>
          <w:tcPr>
            <w:tcW w:w="5440" w:type="dxa"/>
            <w:vAlign w:val="bottom"/>
            <w:tcBorders>
              <w:top w:val="single" w:sz="8" w:color="0000EE"/>
            </w:tcBorders>
            <w:gridSpan w:val="5"/>
          </w:tcPr>
          <w:p>
            <w:pPr>
              <w:ind w:left="5240"/>
              <w:spacing w:after="0"/>
              <w:rPr>
                <w:sz w:val="20"/>
                <w:szCs w:val="20"/>
                <w:color w:val="auto"/>
              </w:rPr>
            </w:pPr>
            <w:r>
              <w:rPr>
                <w:rFonts w:ascii="Arial" w:cs="Arial" w:eastAsia="Arial" w:hAnsi="Arial"/>
                <w:sz w:val="18"/>
                <w:szCs w:val="18"/>
                <w:color w:val="auto"/>
                <w:w w:val="89"/>
              </w:rPr>
              <w:t>51</w:t>
            </w: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76" w:lineRule="exact"/>
        <w:rPr>
          <w:sz w:val="20"/>
          <w:szCs w:val="20"/>
          <w:color w:val="auto"/>
        </w:rPr>
      </w:pPr>
    </w:p>
    <w:p>
      <w:pPr>
        <w:ind w:firstLine="729"/>
        <w:spacing w:after="0" w:line="276" w:lineRule="auto"/>
        <w:rPr>
          <w:sz w:val="20"/>
          <w:szCs w:val="20"/>
          <w:color w:val="auto"/>
        </w:rPr>
      </w:pPr>
      <w:r>
        <w:rPr>
          <w:rFonts w:ascii="Arial" w:cs="Arial" w:eastAsia="Arial" w:hAnsi="Arial"/>
          <w:sz w:val="17"/>
          <w:szCs w:val="17"/>
          <w:color w:val="auto"/>
        </w:rPr>
        <w:t>We have audited the accompanying consolidated balance sheets of Western Digital Corporation and subsidiaries as of July 3, 2015 and June 27, 2014, and the related consolidated statements of income, comprehensive income, shareholders’ equity, and cash flows for each of the years in the three-year period ended July 3, 2015. In connection with our audits of the consolidated financial statements, we have also audited the related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19" w:lineRule="exact"/>
        <w:rPr>
          <w:sz w:val="20"/>
          <w:szCs w:val="20"/>
          <w:color w:val="auto"/>
        </w:rPr>
      </w:pPr>
    </w:p>
    <w:p>
      <w:pPr>
        <w:ind w:right="80" w:firstLine="729"/>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100" w:firstLine="729"/>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Western Digital Corporation and subsidiaries as of July 3, 2015 and June 27, 2014, and the results of their operations and their cash flows for each of the years in the three-year period ended July 3,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34" w:lineRule="exact"/>
        <w:rPr>
          <w:sz w:val="20"/>
          <w:szCs w:val="20"/>
          <w:color w:val="auto"/>
        </w:rPr>
      </w:pPr>
    </w:p>
    <w:p>
      <w:pPr>
        <w:jc w:val="both"/>
        <w:ind w:right="420" w:firstLine="729"/>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Western Digital Corporation and subsidiaries’ internal control over financial reporting as of July 3, 2015,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(1992) </w:t>
      </w:r>
      <w:r>
        <w:rPr>
          <w:rFonts w:ascii="Arial" w:cs="Arial" w:eastAsia="Arial" w:hAnsi="Arial"/>
          <w:sz w:val="17"/>
          <w:szCs w:val="17"/>
          <w:color w:val="auto"/>
        </w:rPr>
        <w:t>issued by the Committee of Sponsoring Organizations of the Treadway Commission (COSO), and our report dated August 21, 2015,</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21, 2015</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1"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76" w:lineRule="exact"/>
        <w:rPr>
          <w:sz w:val="20"/>
          <w:szCs w:val="20"/>
          <w:color w:val="auto"/>
        </w:rPr>
      </w:pPr>
    </w:p>
    <w:p>
      <w:pPr>
        <w:ind w:right="160" w:firstLine="729"/>
        <w:spacing w:after="0" w:line="297" w:lineRule="auto"/>
        <w:rPr>
          <w:sz w:val="20"/>
          <w:szCs w:val="20"/>
          <w:color w:val="auto"/>
        </w:rPr>
      </w:pPr>
      <w:r>
        <w:rPr>
          <w:rFonts w:ascii="Arial" w:cs="Arial" w:eastAsia="Arial" w:hAnsi="Arial"/>
          <w:sz w:val="16"/>
          <w:szCs w:val="16"/>
          <w:color w:val="auto"/>
        </w:rPr>
        <w:t xml:space="preserve">We have audited Western Digital Corporation and subsidiaries’ internal control over financial reporting as of July 3, 2015,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an opinion on the Company’s internal control over financial reporting based on our audit.</w:t>
      </w:r>
    </w:p>
    <w:p>
      <w:pPr>
        <w:spacing w:after="0" w:line="104" w:lineRule="exact"/>
        <w:rPr>
          <w:sz w:val="20"/>
          <w:szCs w:val="20"/>
          <w:color w:val="auto"/>
        </w:rPr>
      </w:pPr>
    </w:p>
    <w:p>
      <w:pPr>
        <w:ind w:right="80" w:firstLine="729"/>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4" w:lineRule="exact"/>
        <w:rPr>
          <w:sz w:val="20"/>
          <w:szCs w:val="20"/>
          <w:color w:val="auto"/>
        </w:rPr>
      </w:pPr>
    </w:p>
    <w:p>
      <w:pPr>
        <w:ind w:firstLine="729"/>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120" w:firstLine="72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color w:val="auto"/>
        </w:rPr>
        <w:t xml:space="preserve">In our opinion, Western Digital Corporation and subsidiaries maintained, in all material respects, effective internal control over financial reporting as of July 3, 2015,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27" w:lineRule="exact"/>
        <w:rPr>
          <w:sz w:val="20"/>
          <w:szCs w:val="20"/>
          <w:color w:val="auto"/>
        </w:rPr>
      </w:pPr>
    </w:p>
    <w:p>
      <w:pPr>
        <w:ind w:right="420" w:firstLine="72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Western Digital Corporation and subsidiaries as of July 3, 2015 and June 27, 2014, the related consolidated statements of income, comprehensive income, shareholders’ equity, and cash flows for each of the years in the three-year period ended July 3, 2015, and the related financial statement schedule, and our report dated August 21, 2015, expressed an unqualified opinion on those consolidated financial statements and financial statement schedule.</w:t>
      </w:r>
    </w:p>
    <w:p>
      <w:pPr>
        <w:spacing w:after="0" w:line="13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21, 2015</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1"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4"/>
                <w:szCs w:val="14"/>
                <w:color w:val="auto"/>
              </w:rPr>
            </w:pPr>
          </w:p>
        </w:tc>
        <w:tc>
          <w:tcPr>
            <w:tcW w:w="118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arbitration award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warranty</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4 and 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$.01 par value; authorized — 5 shares; issued and outstanding — none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5"/>
              </w:rPr>
              <w:t>Common stock, $.01 par value; authorized — 450 shares; issued — 261 shares; outstanding — 230 and</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234 shares, respectively</w:t>
            </w:r>
          </w:p>
        </w:tc>
        <w:tc>
          <w:tcPr>
            <w:tcW w:w="32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stock — common shares at cost; 31 shares and 27 shares, respectively</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27,</w:t>
            </w:r>
          </w:p>
        </w:tc>
        <w:tc>
          <w:tcPr>
            <w:tcW w:w="300" w:type="dxa"/>
            <w:vAlign w:val="bottom"/>
          </w:tcPr>
          <w:p>
            <w:pPr>
              <w:spacing w:after="0"/>
              <w:rPr>
                <w:sz w:val="13"/>
                <w:szCs w:val="13"/>
                <w:color w:val="auto"/>
              </w:rPr>
            </w:pPr>
          </w:p>
        </w:tc>
        <w:tc>
          <w:tcPr>
            <w:tcW w:w="11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related to arbitration award</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 termination, asset impairment and other charges</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27,</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pension gain (loss)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Translation loss</w:t>
            </w:r>
          </w:p>
        </w:tc>
        <w:tc>
          <w:tcPr>
            <w:tcW w:w="9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 on foreign exchange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27,</w:t>
            </w:r>
          </w:p>
        </w:tc>
        <w:tc>
          <w:tcPr>
            <w:tcW w:w="300" w:type="dxa"/>
            <w:vAlign w:val="bottom"/>
          </w:tcPr>
          <w:p>
            <w:pPr>
              <w:spacing w:after="0"/>
              <w:rPr>
                <w:sz w:val="13"/>
                <w:szCs w:val="13"/>
                <w:color w:val="auto"/>
              </w:rPr>
            </w:pPr>
          </w:p>
        </w:tc>
        <w:tc>
          <w:tcPr>
            <w:tcW w:w="1180" w:type="dxa"/>
            <w:vAlign w:val="bottom"/>
          </w:tcPr>
          <w:p>
            <w:pPr>
              <w:jc w:val="right"/>
              <w:ind w:right="411"/>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from insurance recovery</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on disposal of assets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portion of employee termination, asset impairment and other charges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non-cash operating activities, net</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arbitration award</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Issuance of stock under employee stock plans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on vested stock awards under employee stock plans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benefits from employee stock plans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Dividends paid to shareholders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4,309</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of cash dividend declared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Total</w:t>
            </w:r>
          </w:p>
        </w:tc>
      </w:tr>
      <w:tr>
        <w:trPr>
          <w:trHeight w:val="276"/>
        </w:trPr>
        <w:tc>
          <w:tcPr>
            <w:tcW w:w="4280" w:type="dxa"/>
            <w:vAlign w:val="bottom"/>
          </w:tcPr>
          <w:p>
            <w:pPr>
              <w:spacing w:after="0"/>
              <w:rPr>
                <w:sz w:val="24"/>
                <w:szCs w:val="24"/>
                <w:color w:val="auto"/>
              </w:rPr>
            </w:pPr>
          </w:p>
        </w:tc>
        <w:tc>
          <w:tcPr>
            <w:tcW w:w="12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3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Shareholders’</w:t>
            </w:r>
          </w:p>
        </w:tc>
      </w:tr>
      <w:tr>
        <w:trPr>
          <w:trHeight w:val="264"/>
        </w:trPr>
        <w:tc>
          <w:tcPr>
            <w:tcW w:w="4280" w:type="dxa"/>
            <w:vAlign w:val="bottom"/>
          </w:tcPr>
          <w:p>
            <w:pPr>
              <w:spacing w:after="0"/>
              <w:rPr>
                <w:sz w:val="22"/>
                <w:szCs w:val="22"/>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800" w:type="dxa"/>
            <w:vAlign w:val="bottom"/>
          </w:tcPr>
          <w:p>
            <w:pPr>
              <w:jc w:val="center"/>
              <w:ind w:right="140"/>
              <w:spacing w:after="0"/>
              <w:rPr>
                <w:sz w:val="20"/>
                <w:szCs w:val="20"/>
                <w:color w:val="auto"/>
              </w:rPr>
            </w:pPr>
            <w:r>
              <w:rPr>
                <w:rFonts w:ascii="Arial" w:cs="Arial" w:eastAsia="Arial" w:hAnsi="Arial"/>
                <w:sz w:val="14"/>
                <w:szCs w:val="14"/>
                <w:b w:val="1"/>
                <w:bCs w:val="1"/>
                <w:color w:val="auto"/>
                <w:w w:val="98"/>
              </w:rPr>
              <w:t>Equity</w:t>
            </w:r>
          </w:p>
        </w:tc>
      </w:tr>
      <w:tr>
        <w:trPr>
          <w:trHeight w:val="236"/>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29, 2012</w:t>
            </w:r>
          </w:p>
        </w:tc>
        <w:tc>
          <w:tcPr>
            <w:tcW w:w="5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7,669</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Employee stock plans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160</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 based compensation</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w w:val="93"/>
              </w:rPr>
              <w:t>Increase in excess tax benefits from employee stock plans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45</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Dividends to shareholders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980</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Actuarial pension gain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gains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Unrealized loss on foreign exchange contracts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28, 2013</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(1,012)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7,893</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Employee stock plans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155</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 based compensation</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Stock awards assumed in acquisition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3"/>
              </w:rPr>
              <w:t>Increase in excess tax benefits from employee stock plans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to shareholders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1,617</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pension loss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Unrealized gain on foreign exchange contracts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51</w:t>
            </w:r>
          </w:p>
        </w:tc>
      </w:tr>
      <w:tr>
        <w:trPr>
          <w:trHeight w:val="33"/>
        </w:trPr>
        <w:tc>
          <w:tcPr>
            <w:tcW w:w="4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27, 2014</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(1,570)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8,842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Employee stock plans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148</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 based compensation</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Stock awards assumed in acquisition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3"/>
              </w:rPr>
              <w:t>Increase in excess tax benefits from employee stock plans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to shareholders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1,465</w:t>
            </w:r>
          </w:p>
        </w:tc>
      </w:tr>
      <w:tr>
        <w:trPr>
          <w:trHeight w:val="33"/>
        </w:trPr>
        <w:tc>
          <w:tcPr>
            <w:tcW w:w="4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pension loss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4280" w:type="dxa"/>
            <w:vAlign w:val="bottom"/>
          </w:tcPr>
          <w:p>
            <w:pPr>
              <w:ind w:left="380"/>
              <w:spacing w:after="0"/>
              <w:rPr>
                <w:sz w:val="20"/>
                <w:szCs w:val="20"/>
                <w:color w:val="auto"/>
              </w:rPr>
            </w:pPr>
            <w:r>
              <w:rPr>
                <w:rFonts w:ascii="Arial" w:cs="Arial" w:eastAsia="Arial" w:hAnsi="Arial"/>
                <w:sz w:val="16"/>
                <w:szCs w:val="16"/>
                <w:color w:val="auto"/>
              </w:rPr>
              <w:t>Unrealized loss on foreign exchange contracts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July 3, 2015</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9,219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80"/>
          </w:cols>
          <w:pgMar w:left="240" w:top="121" w:right="3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Western Digital Corporation (the “Company” or “Western Digital”) is a leading developer, manufacturer and provider of data storage solutions that enable consumers, businesses, governments and other organizations to create, manage, experience and preserve digital content. The Company's product portfolio includes hard disk drives (“HDDs”), solid-state drives ("SSDs"), direct attached storage solutions, personal cloud network attached storage solutions, and public and private cloud data center storage solutions. HDDs are the Company's principal products and are today’s primary storage medium for the vast majority of digital content, with the use of solid-state storage products growing rapidly. The Company's products are marketed under the HGST, WD and G-Technology brand names.</w:t>
      </w:r>
    </w:p>
    <w:p>
      <w:pPr>
        <w:spacing w:after="0" w:line="139"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Fiscal Year</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has a 53 or 52-week fiscal year. The 2015 fiscal year ended on July 3, 2015 and consisted of 53 weeks. The 2014 and 2013 fiscal years ended on June 27, 2014 and June 28, 2013, respectively, and both consisted of 52 weeks.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accounts and transactions have been eliminated in consolidation. In fiscal 2015, 2014, and 2013, the accounts for all foreign subsidiaries have been remeasured using the U.S. dollar as the functional currency. Gains or losses resulting from remeasurement of these accounts from local currencies into U.S. dollars were immaterial to the consolidated financial statements.</w:t>
      </w:r>
    </w:p>
    <w:p>
      <w:pPr>
        <w:spacing w:after="0" w:line="187" w:lineRule="exact"/>
        <w:rPr>
          <w:sz w:val="20"/>
          <w:szCs w:val="20"/>
          <w:color w:val="auto"/>
        </w:rPr>
      </w:pPr>
    </w:p>
    <w:p>
      <w:pPr>
        <w:jc w:val="both"/>
        <w:ind w:right="540" w:firstLine="405"/>
        <w:spacing w:after="0" w:line="259" w:lineRule="auto"/>
        <w:rPr>
          <w:sz w:val="20"/>
          <w:szCs w:val="20"/>
          <w:color w:val="auto"/>
        </w:rPr>
      </w:pPr>
      <w:r>
        <w:rPr>
          <w:rFonts w:ascii="Arial" w:cs="Arial" w:eastAsia="Arial" w:hAnsi="Arial"/>
          <w:sz w:val="18"/>
          <w:szCs w:val="18"/>
          <w:color w:val="auto"/>
        </w:rPr>
        <w:t>The Company acquired Amplidata NV ("Amplidata") on March 9, 2015, Virident Systems, Inc. ("Virident") on October 17, 2013, and sTec, Inc. (“sTec”) on September 12, 2013. In connection with the acquisitions, Amplidata, Virident, and sTec became indirect wholly-owned subsidiaries of the Company. The results of operations of Amplidata, Virident, and sTec since the respective dates of acquisition are included in the consolidated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cash equivalents represent highly liquid investments in money market funds, which are invested in U.S. Treasury securities and</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U.S. Government agency securities as well as direct investments in bank acceptances with original maturities when purchased of three months or less. Cash equivalents are carried at cost, which approximates fair value.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Company's investments in U.S. Treasury securities, U.S. Government agency securities, commercial paper and certificates of deposit with original maturities at purchase of more than three months. These investments are classified as available-for-sale securities and included within short-term investments and other non-current assets in the consolidated balance sheets. Available-for-sale securities are stated at fair value with unrealized gains and losses included in accumulated other comprehensive income (loss), which is a component of shareholders' equity. Gains and losses on available-for-sale securities are recorded based on the specific identification method. The Company evaluates the available-for sale securities in an unrealized loss position for other-than-temporary impairment. The amortized cost of available-for-sale securities is adjusted for amortization of premiums and accretion of discounts to maturity. Such amortization and accretion are included in total other expense, net in the consolidated statements of income. In addition, realized gains and losses are included in total other expense, net in the consolidated statements of income.</w:t>
      </w:r>
    </w:p>
    <w:p>
      <w:pPr>
        <w:spacing w:after="0" w:line="1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addition, the Company enters into certain strategic investments for the promotion of business and strategic objectives. These strategic investments are recorded at cost within other non-current assets in the consolidated balance sheets and were not material to the consolidated financial statements as of July 3, 2015. They are also periodically analyzed to determine whether or not there are indicators of impairment.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carrying amounts of cash equivalents, accounts receivable, investments, accounts payable and accrued expenses approximate fair value for all periods presented because of the short-term maturity of these assets and liabilities or, in the case of investments, these are recorded using appropriate market information. The carrying amount of debt approximates fair value because of its variable interest rate.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sells its products to computer manufacturers, resellers and retailers throughout the world. 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At July 3, 2015 and June 27, 2014, the Company had two customers that accounted for 30% and 29%, respectively, of the Company's net accounts receivable. At July 3, 2015 and June 27, 2014, the Company had reserves for potential credit losses of $7 million and $11 million, respectively, and net accounts receivable of $1.5 billion and $2.0 billion, respectively.</w:t>
      </w:r>
    </w:p>
    <w:p>
      <w:pPr>
        <w:spacing w:after="0" w:line="111"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Company values inventories at the lower of cost (first-in, first out and weighted average methods) or net realizable value. The first-in, first-out (“FIFO”) method is used to value the cost of the majority of the Company’s inventories, while the weighted-average method is used to value precious metal inventories. Weighted-average cost is calculated based upon the cost of precious metals at the time they are received by the Company. The Company has determined that it is not practicable to assign specific costs to individual units of precious metals and, as such, precious metals are relieved from inventory based on the weighted-average cost of the inventory at the time the inventory is used in production. The weighted average method of valuing precious metals does not materially differ from the FIFO method. As of July 3, 2015 and June 27, 2014, 96% and 92%, respectively, of the inventory was valued using the FIFO method with the remainder valued using the weighted average method. Inventory write-downs are recorded for the valuation of inventory at the lower of cost or net realizable value by analyzing market conditions and estimates of future sales prices as compared to inventory costs and inventory balances.</w:t>
      </w:r>
    </w:p>
    <w:p>
      <w:pPr>
        <w:spacing w:after="0" w:line="112"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cost of property, plant and equipment is depreciated over the estimated useful lives of the respective assets. The Company’s buildings are depreciated over periods ranging from fifteen to thirty years. The majority of the Company’s equipment is depreciated over periods of two to seven years. Depreciation is computed on a straight-line basis. Leasehold improvements are amortized over the lesser of the estimated useful lives of the assets or the related lease terms.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125" w:right="3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Other Long-Lived Assets</w:t>
      </w:r>
    </w:p>
    <w:p>
      <w:pPr>
        <w:spacing w:after="0" w:line="9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fair value of assets acquired and liabilities assumed in a business acquisition are recognized at the acquisition date, with amounts exceeding the fair values being recognized as goodwill. Goodwill is not amortized. Instead, it is tested for impairment on an annual basis or more frequently whenever events or changes in circumstances indicate that goodwill may be impaired. The Company performs its annual impairment test as of the first day of its fiscal fourth quarter. The Company either uses qualitative factors to determine whether goodwill is more likely than not impaired or performs a two-step approach to quantify impairment. If the Company concludes from the qualitative assessment that goodwill is more likely than not impaired, it is required to follow a two-step approach to quantify the impairment. The Company is required to use judgment when applying the goodwill impairment test, including the identification of reporting units,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the Company’s assessment of the fair value and goodwill impairment for each reporting unit. The Company did not record any impairment of goodwill during 2015, 2014, or 2013.</w:t>
      </w:r>
    </w:p>
    <w:p>
      <w:pPr>
        <w:spacing w:after="0" w:line="11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Other intangible assets consist primarily of technology acquired in business combinations and in-process research and development. In-process research and development is not amortized until the point at which it reaches technological feasibility. Instead, it is instead tested for impairment on an annual basis or more frequently whenever events or changes in circumstances indicate that it may be impaired. Acquired intangibles are amortized on a straight-line basis over their respective estimated useful lives.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Company recorded impairments to certain long-lived assets in 2015, 2014 and 2013. See Notes 13 and 17 below.</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and Accounts Receivable</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Revenue is recognized when the title and risk of loss have passed to the customer, there is persuasive evidence of an arrangement, delivery has occurred, or services have been rendered, the sales price is fixed or determinable and collectability is reasonably assured. The Company establishes provisions against revenue and cost of revenue for estimated sales returns in the same period that the related revenue is recognized based on existing product return notifications. If actual sales returns exceed expectations, an increase in the sales return accrual would be required, which could materially affect operating results.</w:t>
      </w:r>
    </w:p>
    <w:p>
      <w:pPr>
        <w:spacing w:after="0" w:line="134"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accordance with standard industry practice, the Company provides distributors and retailers (collectively referred to as “resellers”) with limited price protection for inventories held by resellers at the time of published list price reductions, and the Company provides resellers and original equipment manufacturers ("OEMs") with other sales incentive programs. At the time the Company recognizes revenue to resellers and OEMs, a reduction of revenue is recorded for estimated price protection until the resellers sell such inventory to their customers and the Company also records a reduction of revenue for the other programs in effect. The Company bases these adjustments on several factors including anticipated price decreases during the reseller holding period, reseller’s sell-through and inventory levels, estimated amounts to be reimbursed to qualifying customers, historical pricing information and customer claim processing. If customer demand for the Company's products or market conditions differ from the Company’s expectations, the Company’s operating results could be materially affected. The Company also has programs under which it reimburses qualified distributors and retailers for certain marketing expenditures, which are recorded as a reduction of revenue. Customer sales incentive and marketing programs are recorded as a reduction of revenue.</w:t>
      </w:r>
    </w:p>
    <w:p>
      <w:pPr>
        <w:spacing w:after="0" w:line="113"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Company records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its historical levels of bad debt losses. If the financial condition of a significant customer deteriorates resulting in its inability to pay its accounts when due, or if the Company’s overall loss history changes significantly, an adjustment in the Company’s allowance for doubtful accounts would be required, which could materially affect operating results.</w:t>
      </w:r>
    </w:p>
    <w:p>
      <w:pPr>
        <w:spacing w:after="0" w:line="10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From time to time, in connection with a factoring agreement, the Company sells trade accounts receivable without recourse to a third party purchaser in exchange for cash. The Company sold trade accounts receivable and received cash proceeds of $269 million, $187 million and $148 million during 2015, 2014 and 2013, respectively. The discounts on the sales of trade accounts receivables were not material and were recorded within interest and other expense in the consolidated statements of income.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The warranty provision considers estimated product failure rates and trends, estimated replacement costs, estimated repair costs which include scrap costs, and estimated costs for customer compensatory claims related to product quality issues, if any. A statistical warranty tracking model is used to help prepare estimates and assist the Company in exercising judgment in determining the underlying estimates. The statistical tracking model captures specific detail on hard drive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estimates, future results of operations could be materially affected.</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Litigation and Other Contingencies</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5 below.</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Advertising Expense</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Advertising costs are expensed as incurred. Selling, general and administrative expenses of the Company included advertising costs of $71 million, $60 million and $61 million in 2015, 2014 and 2013,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period,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w:t>
      </w:r>
    </w:p>
    <w:p>
      <w:pPr>
        <w:spacing w:after="0" w:line="10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per Common Share</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common shares include certain dilutive outstanding employee stock options, rights to purchase shares of common stock under the Company’s Employee Stock Purchase Plan (“ESPP”) and restricted stock unit awards (“RSUs”).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computation of basic and diluted income per common share (in millions,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June 27,</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Employee stock options and other</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per common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vMerge w:val="continue"/>
          </w:tcPr>
          <w:p>
            <w:pPr>
              <w:spacing w:after="0"/>
              <w:rPr>
                <w:sz w:val="19"/>
                <w:szCs w:val="19"/>
                <w:color w:val="auto"/>
              </w:rPr>
            </w:pP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7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Anti-dilutive potential common shares excluded*</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_______________</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40" w:hanging="652"/>
        <w:spacing w:after="0" w:line="259"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Company accounts for all stock-based compensation at fair value. Stock-based compensation cost is measured at the grant date based on the value of the award and is recognized as expense over the vesting period. The fair values of all stock options granted are estimated using a binomial option-pricing model, and the fair values of all ESPP purchase rights are estimated using the Black-Scholes-Merton option-pricing model. The Company accounts for stock appreciation rights ("SARs") as liability awards based upon management’s intention to settle such awards in cash. The SARs liability is recognized for that portion of fair value for the service period rendered at the reporting date. The share-based liability is remeasured at each reporting date through the requisite service period. Both the binomial and the Black-Scholes-Merton option-pricing models require the input of highly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materially affected.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2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Other comprehensive income (loss) refers to revenue, expenses, gains and losses that are recorded as an element of shareholders’ equity but are excluded from net income. The Company’s other comprehensive income (loss) is comprised of unrealized gains and losses on foreign exchange contracts, foreign currency translation gains and losses, and actuarial gains and losses related to pensions. The income tax impact on components of other comprehensive income is immaterial for all periods presented.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 illustrates the changes in the balances of each component of accumulated comprehensive income for 2015, 2014 and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2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96"/>
              </w:rPr>
              <w:t>Actuarial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2"/>
                <w:szCs w:val="12"/>
                <w:color w:val="auto"/>
              </w:rPr>
            </w:pPr>
          </w:p>
        </w:tc>
        <w:tc>
          <w:tcPr>
            <w:tcW w:w="12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(Losses)</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20" w:type="dxa"/>
            <w:vAlign w:val="bottom"/>
          </w:tcPr>
          <w:p>
            <w:pPr>
              <w:jc w:val="center"/>
              <w:ind w:left="279"/>
              <w:spacing w:after="0" w:line="149" w:lineRule="exact"/>
              <w:rPr>
                <w:sz w:val="20"/>
                <w:szCs w:val="20"/>
                <w:color w:val="auto"/>
              </w:rPr>
            </w:pPr>
            <w:r>
              <w:rPr>
                <w:rFonts w:ascii="Arial" w:cs="Arial" w:eastAsia="Arial" w:hAnsi="Arial"/>
                <w:sz w:val="14"/>
                <w:szCs w:val="14"/>
                <w:b w:val="1"/>
                <w:bCs w:val="1"/>
                <w:color w:val="auto"/>
                <w:w w:val="88"/>
              </w:rPr>
              <w:t>Pension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on Foreign</w:t>
            </w:r>
          </w:p>
        </w:tc>
        <w:tc>
          <w:tcPr>
            <w:tcW w:w="200" w:type="dxa"/>
            <w:vAlign w:val="bottom"/>
          </w:tcPr>
          <w:p>
            <w:pPr>
              <w:spacing w:after="0"/>
              <w:rPr>
                <w:sz w:val="12"/>
                <w:szCs w:val="12"/>
                <w:color w:val="auto"/>
              </w:rPr>
            </w:pPr>
          </w:p>
        </w:tc>
        <w:tc>
          <w:tcPr>
            <w:tcW w:w="12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20" w:type="dxa"/>
            <w:vAlign w:val="bottom"/>
          </w:tcPr>
          <w:p>
            <w:pPr>
              <w:jc w:val="center"/>
              <w:ind w:left="279"/>
              <w:spacing w:after="0" w:line="149" w:lineRule="exact"/>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200" w:type="dxa"/>
            <w:vAlign w:val="bottom"/>
          </w:tcPr>
          <w:p>
            <w:pPr>
              <w:spacing w:after="0"/>
              <w:rPr>
                <w:sz w:val="12"/>
                <w:szCs w:val="12"/>
                <w:color w:val="auto"/>
              </w:rPr>
            </w:pPr>
          </w:p>
        </w:tc>
        <w:tc>
          <w:tcPr>
            <w:tcW w:w="12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20" w:type="dxa"/>
            <w:vAlign w:val="bottom"/>
          </w:tcPr>
          <w:p>
            <w:pPr>
              <w:jc w:val="center"/>
              <w:ind w:left="299"/>
              <w:spacing w:after="0"/>
              <w:rPr>
                <w:sz w:val="20"/>
                <w:szCs w:val="20"/>
                <w:color w:val="auto"/>
              </w:rPr>
            </w:pPr>
            <w:r>
              <w:rPr>
                <w:rFonts w:ascii="Arial" w:cs="Arial" w:eastAsia="Arial" w:hAnsi="Arial"/>
                <w:sz w:val="14"/>
                <w:szCs w:val="14"/>
                <w:b w:val="1"/>
                <w:bCs w:val="1"/>
                <w:color w:val="auto"/>
                <w:w w:val="86"/>
              </w:rPr>
              <w:t>(Losses)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29, 2012</w:t>
            </w:r>
          </w:p>
        </w:tc>
        <w:tc>
          <w:tcPr>
            <w:tcW w:w="112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1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28, 2013</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1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27, 2014</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1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 2015</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 Contracts</w:t>
      </w:r>
    </w:p>
    <w:p>
      <w:pPr>
        <w:spacing w:after="0" w:line="90" w:lineRule="exact"/>
        <w:rPr>
          <w:sz w:val="20"/>
          <w:szCs w:val="20"/>
          <w:color w:val="auto"/>
        </w:rPr>
      </w:pPr>
    </w:p>
    <w:p>
      <w:pPr>
        <w:ind w:right="180" w:firstLine="729"/>
        <w:spacing w:after="0" w:line="271" w:lineRule="auto"/>
        <w:rPr>
          <w:sz w:val="20"/>
          <w:szCs w:val="20"/>
          <w:color w:val="auto"/>
        </w:rPr>
      </w:pPr>
      <w:r>
        <w:rPr>
          <w:rFonts w:ascii="Arial" w:cs="Arial" w:eastAsia="Arial" w:hAnsi="Arial"/>
          <w:sz w:val="17"/>
          <w:szCs w:val="17"/>
          <w:color w:val="auto"/>
        </w:rPr>
        <w:t>Although the majority of the Company’s transactions are in U.S. dollars, some transactions are based in various foreign currencies. The Company purchases short-term, foreign exchange contracts to hedge the impact of foreign currency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 contract maturity dates do not exceed 12 months. All foreign exchange contracts are for risk management purposes only. The Company does not purchase foreign exchange contracts for trading purposes. The Company had foreign exchange contracts with commercial banks for British Pound Sterling, Euro, Japanese Yen, Malaysian Ringgit, Philippine Peso, Singapore Dollar and Thai Baht, which were designated as either cash flow or fair value hedges and had an aggregate notional amount of $1.3 billion and $1.5 billion at July 3, 2015 and June 27, 2014, respectively.</w:t>
      </w:r>
    </w:p>
    <w:p>
      <w:pPr>
        <w:spacing w:after="0" w:line="179" w:lineRule="exact"/>
        <w:rPr>
          <w:sz w:val="20"/>
          <w:szCs w:val="20"/>
          <w:color w:val="auto"/>
        </w:rPr>
      </w:pPr>
    </w:p>
    <w:p>
      <w:pPr>
        <w:ind w:right="280" w:firstLine="729"/>
        <w:spacing w:after="0" w:line="255" w:lineRule="auto"/>
        <w:rPr>
          <w:sz w:val="20"/>
          <w:szCs w:val="20"/>
          <w:color w:val="auto"/>
        </w:rPr>
      </w:pPr>
      <w:r>
        <w:rPr>
          <w:rFonts w:ascii="Arial" w:cs="Arial" w:eastAsia="Arial" w:hAnsi="Arial"/>
          <w:sz w:val="18"/>
          <w:szCs w:val="18"/>
          <w:color w:val="auto"/>
        </w:rPr>
        <w:t>If the derivative is designated as a cash flow hedge, the effective portion of the change in fair value of the derivative is initially deferred in other comprehensive income (loss). These amounts are subsequently recognized into earnings when the underlying cash flow being hedged is recognized into earnings. Recognized gains and losses on foreign exchange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for all years presented.</w:t>
      </w:r>
    </w:p>
    <w:p>
      <w:pPr>
        <w:spacing w:after="0" w:line="193" w:lineRule="exact"/>
        <w:rPr>
          <w:sz w:val="20"/>
          <w:szCs w:val="20"/>
          <w:color w:val="auto"/>
        </w:rPr>
      </w:pPr>
    </w:p>
    <w:p>
      <w:pPr>
        <w:ind w:right="300" w:firstLine="729"/>
        <w:spacing w:after="0" w:line="264" w:lineRule="auto"/>
        <w:rPr>
          <w:sz w:val="20"/>
          <w:szCs w:val="20"/>
          <w:color w:val="auto"/>
        </w:rPr>
      </w:pPr>
      <w:r>
        <w:rPr>
          <w:rFonts w:ascii="Arial" w:cs="Arial" w:eastAsia="Arial" w:hAnsi="Arial"/>
          <w:sz w:val="18"/>
          <w:szCs w:val="18"/>
          <w:color w:val="auto"/>
        </w:rPr>
        <w:t>A change in the fair value of fair value hedges is recognized in earnings in the period incurred and is reported as a component of operating expenses. All fair value hedges were determined to be effective. The changes in fair value on these contracts were immaterial to the consolidated financial statements for all years presented. See Notes 10 and 12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90" w:lineRule="exact"/>
        <w:rPr>
          <w:sz w:val="20"/>
          <w:szCs w:val="20"/>
          <w:color w:val="auto"/>
        </w:rPr>
      </w:pPr>
    </w:p>
    <w:p>
      <w:pPr>
        <w:ind w:right="200" w:firstLine="729"/>
        <w:spacing w:after="0" w:line="273" w:lineRule="auto"/>
        <w:rPr>
          <w:sz w:val="20"/>
          <w:szCs w:val="20"/>
          <w:color w:val="auto"/>
        </w:rPr>
      </w:pPr>
      <w:r>
        <w:rPr>
          <w:rFonts w:ascii="Arial" w:cs="Arial" w:eastAsia="Arial" w:hAnsi="Arial"/>
          <w:sz w:val="17"/>
          <w:szCs w:val="17"/>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fiscal year-end. The Company recognizes the funded status of its defined benefit pension and postretirement plans in the consolidated balance sheets, with changes in the funded status recognized through accumulated other comprehensive income (loss) in the year in which such changes occur. See Note 14 below.</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729"/>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In May 2015, the Financial Accounting Standards Board ("FASB") issued Accounting Standards Update (“ASU”) No. 2015-07, “Fair Value Measurement (Topic 820): Disclosures for Investments in Certain Entities That Calculate Net Asset Value per Share (or Its Equivalent)” ("ASU 2015-07"). This guidance eliminates the requirement to categorize investments within the fair value hierarchy if their fair value is measured using the net asset value ("NAV") per share practical expedient in the FASB’s fair value measurement guidance. The new standard is effective for fiscal years and interim periods within those fiscal years, beginning after December 15, 2015, which for the Company is the first quarter of fiscal 2017. The Company does not expect the adoption of ASU 2015-07 to have a material effect on its consolidated financial statements.</w:t>
      </w:r>
    </w:p>
    <w:p>
      <w:pPr>
        <w:spacing w:after="0" w:line="12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April 2015, the FASB issued ASU 2015-03, "Interest - Imputation of Interest (Subtopic 835-30): Simplifying the Presentation of Debt Issuance Costs" ("ASU 2015-03"). The new standard requires debt issuance costs related to a recognized debt liability to be presented in the balance sheet as a direct deduction from the carrying amount of that debt liability, consistent with debt discounts. The new standard is effective for fiscal years and interim periods within those fiscal years, beginning after December 15, 2015, which for the Company is the first quarter of fiscal 2017. The adoption of ASU 2015-03 will not have a material effect on the Company's consolidated financial statements.</w:t>
      </w:r>
    </w:p>
    <w:p>
      <w:pPr>
        <w:spacing w:after="0" w:line="13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("ASU 2014-09"), which amends the guidance in former Accounting Standards Codification Topic 605, "Revenue Recognition," to provide a single, comprehensive revenue recognition model for all contracts with customers. The new standard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In July 2015, the FASB approved a one-year deferral of the effective date of this ASU. The new standard allows for either a full retrospective or a modified retrospective transition method and is effective for fiscal years beginning after December 15, 2017, which for the Company is the first quarter of fiscal 2019. The Company has not yet selected a transition method and is currently evaluating the impact ASU 2014-09 will have on its consolidated financial statements and related disclosures.</w:t>
      </w:r>
    </w:p>
    <w:p>
      <w:pPr>
        <w:spacing w:after="0" w:line="14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July 2013, the FASB issued ASU 2013-11, "Income Taxes (Topic 740): Presentation of an Unrecognized Tax Benefit When a Net Operating Loss Carryforward, a Similar Tax Loss, or a Tax Credit Carryforward Exists." The new standard requires the presentation of certain unrecognized tax benefits as reductions to deferred tax assets rather than as liabilities in the consolidated balance sheets when a NOL carryforward, a similar tax loss, or a tax credit carryforward exists. The new standard is effective for fiscal years and interim periods within those fiscal years, beginning after December 15, 2013, which for the Company was the first quarter of fiscal 2015. The Company adopted this pronouncement in the first quarter of fiscal 2015, and it did not have a material effect on the Company's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Supplemental Financial Statement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July 3,</w:t>
            </w:r>
          </w:p>
        </w:tc>
        <w:tc>
          <w:tcPr>
            <w:tcW w:w="400" w:type="dxa"/>
            <w:vAlign w:val="bottom"/>
          </w:tcPr>
          <w:p>
            <w:pPr>
              <w:spacing w:after="0"/>
              <w:rPr>
                <w:sz w:val="14"/>
                <w:szCs w:val="14"/>
                <w:color w:val="auto"/>
              </w:rPr>
            </w:pPr>
          </w:p>
        </w:tc>
        <w:tc>
          <w:tcPr>
            <w:tcW w:w="1080" w:type="dxa"/>
            <w:vAlign w:val="bottom"/>
          </w:tcPr>
          <w:p>
            <w:pPr>
              <w:jc w:val="center"/>
              <w:ind w:right="334"/>
              <w:spacing w:after="0"/>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Raw materials and component parts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Work-in-process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Construction-in-process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property, plant and equipment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3. Debt</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740"/>
              <w:spacing w:after="0"/>
              <w:rPr>
                <w:sz w:val="20"/>
                <w:szCs w:val="20"/>
                <w:color w:val="auto"/>
              </w:rPr>
            </w:pPr>
            <w:r>
              <w:rPr>
                <w:rFonts w:ascii="Arial" w:cs="Arial" w:eastAsia="Arial" w:hAnsi="Arial"/>
                <w:sz w:val="18"/>
                <w:szCs w:val="18"/>
                <w:color w:val="auto"/>
              </w:rPr>
              <w:t>Long-term debt consisted of the following as of July 3, 2015 and June 27, 2014 (in millions):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July 3,</w:t>
            </w:r>
          </w:p>
        </w:tc>
        <w:tc>
          <w:tcPr>
            <w:tcW w:w="400" w:type="dxa"/>
            <w:vAlign w:val="bottom"/>
          </w:tcPr>
          <w:p>
            <w:pPr>
              <w:spacing w:after="0"/>
              <w:rPr>
                <w:sz w:val="24"/>
                <w:szCs w:val="24"/>
                <w:color w:val="auto"/>
              </w:rPr>
            </w:pPr>
          </w:p>
        </w:tc>
        <w:tc>
          <w:tcPr>
            <w:tcW w:w="1080" w:type="dxa"/>
            <w:vAlign w:val="bottom"/>
          </w:tcPr>
          <w:p>
            <w:pPr>
              <w:jc w:val="center"/>
              <w:ind w:right="334"/>
              <w:spacing w:after="0"/>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amounts due in one year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729"/>
        <w:spacing w:after="0" w:line="270" w:lineRule="auto"/>
        <w:rPr>
          <w:sz w:val="20"/>
          <w:szCs w:val="20"/>
          <w:color w:val="auto"/>
        </w:rPr>
      </w:pPr>
      <w:r>
        <w:rPr>
          <w:rFonts w:ascii="Arial" w:cs="Arial" w:eastAsia="Arial" w:hAnsi="Arial"/>
          <w:sz w:val="17"/>
          <w:szCs w:val="17"/>
          <w:color w:val="auto"/>
        </w:rPr>
        <w:t>On January 9, 2014, the Company, Western Digital Technologies, Inc. (“WDT”) and Western Digital Ireland, Inc. ("WDI") entered into a new credit agreement with JPMorgan Chase Bank, N.A., as administrative agent, and the lenders party thereto, which was subsequently amended on February 25, 2015 (as amended, the "Credit Agreement") to add Western Digital International, Ltd. ("WD International") as an additional borrower. The Credit Agreement provides for $4.0 billion of unsecured loan facilities consisting of a $2.5 billion term loan facility to WDT and a $1.5 billion revolving credit facility to WDT, WDI and WD International (each, a "Borrower" and collectively, the “Borrowers”). The revolving credit facility includes a $100 million sublimit for letters of credit and a $50 million sublimit for swing line loans. Subject to certain conditions, a Borrower may elect to expand the credit facilities by, or obtain incremental term loans of, up to $1.0 billion if existing or new lenders provide additional term or revolving commitments. The loans under the Credit Agreement have a five-year term. The obligations of the Borrowers under the Credit Agreement are guaranteed by the Company and its material domestic subsidiaries, and the obligations of WDI and WD International under the Credit Agreement are also guaranteed by WDT.</w:t>
      </w:r>
    </w:p>
    <w:p>
      <w:pPr>
        <w:spacing w:after="0" w:line="128" w:lineRule="exact"/>
        <w:rPr>
          <w:sz w:val="20"/>
          <w:szCs w:val="20"/>
          <w:color w:val="auto"/>
        </w:rPr>
      </w:pPr>
    </w:p>
    <w:p>
      <w:pPr>
        <w:ind w:right="320" w:firstLine="729"/>
        <w:spacing w:after="0" w:line="255" w:lineRule="auto"/>
        <w:rPr>
          <w:sz w:val="20"/>
          <w:szCs w:val="20"/>
          <w:color w:val="auto"/>
        </w:rPr>
      </w:pPr>
      <w:r>
        <w:rPr>
          <w:rFonts w:ascii="Arial" w:cs="Arial" w:eastAsia="Arial" w:hAnsi="Arial"/>
          <w:sz w:val="18"/>
          <w:szCs w:val="18"/>
          <w:color w:val="auto"/>
        </w:rPr>
        <w:t>The term loans and the revolving credit loans may be prepaid in whole or in part at any time without premium or penalty, subject to certain conditions. As of July 3, 2015, the revolving credit facility had a variable interest rate of 1.7% and a remaining outstanding balance of $255 million. The revolving credit facility is classified within current liabilities as of July 3, 2015 due to the Company's intent to repay the borrowings in 2016. As of July 3, 2015, the term loan facility had a variable interest rate of 1.7% and a remaining outstanding balance of $2.3 billion. The Company is required to make quarterly principal payments on the term loan facility totaling $156 million in fiscal 2016, $219 million in fiscal 2017, $250 million in fiscal 2018 and the remaining balance of $1.7 billion in fiscal 2019.</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Credit Agreement requires the Company to comply with a leverage ratio and an interest coverage ratio calculated on a consolidated basis for the Company and its subsidiaries. In addition, the Credit Agreement contains customary covenants, including covenants that limit or restrict the Company’s and its subsidiaries’ ability to incur liens, incur indebtedness, make certain restricted payments, merge or consolidate and enter into certain speculative hedging arrangements, and customary events of default.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Commitments</w:t>
      </w:r>
    </w:p>
    <w:p>
      <w:pPr>
        <w:spacing w:after="0" w:line="90" w:lineRule="exact"/>
        <w:rPr>
          <w:sz w:val="20"/>
          <w:szCs w:val="20"/>
          <w:color w:val="auto"/>
        </w:rPr>
      </w:pPr>
    </w:p>
    <w:p>
      <w:pPr>
        <w:ind w:right="80" w:firstLine="729"/>
        <w:spacing w:after="0" w:line="279" w:lineRule="auto"/>
        <w:rPr>
          <w:sz w:val="20"/>
          <w:szCs w:val="20"/>
          <w:color w:val="auto"/>
        </w:rPr>
      </w:pPr>
      <w:r>
        <w:rPr>
          <w:rFonts w:ascii="Arial" w:cs="Arial" w:eastAsia="Arial" w:hAnsi="Arial"/>
          <w:sz w:val="17"/>
          <w:szCs w:val="17"/>
          <w:color w:val="auto"/>
        </w:rPr>
        <w:t>The Company leases certain facilities and equipment under long-term, non-cancelable operating leases. The Company’s operating leases consist of leased property and equipment that expire at various dates through 2025. Rental expense under these operating leases, including month-to-month rentals, was $60 million, $59 million and $64 million in 2015, 2014 and 2013, respectively. Future minimum lease payments under operating leases that have initial or remaining non-cancelable lease terms in excess of one year at July 3, 2015 are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2017</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2019</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payments</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i w:val="1"/>
                <w:iCs w:val="1"/>
                <w:color w:val="auto"/>
              </w:rPr>
              <w:t>Product Warranty Liability</w:t>
            </w: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20" w:type="dxa"/>
            <w:vAlign w:val="bottom"/>
            <w:gridSpan w:val="2"/>
          </w:tcPr>
          <w:p>
            <w:pPr>
              <w:ind w:left="740"/>
              <w:spacing w:after="0"/>
              <w:rPr>
                <w:sz w:val="20"/>
                <w:szCs w:val="20"/>
                <w:color w:val="auto"/>
              </w:rPr>
            </w:pPr>
            <w:r>
              <w:rPr>
                <w:rFonts w:ascii="Arial" w:cs="Arial" w:eastAsia="Arial" w:hAnsi="Arial"/>
                <w:sz w:val="18"/>
                <w:szCs w:val="18"/>
                <w:color w:val="auto"/>
              </w:rPr>
              <w:t>Changes in the warranty accrual for 2015, 2014 and 2013 were as follows (in millions):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67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beginning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Warranty liabilities assumed as a result of acquisitions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Utilization</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estimate related to pre-existing warranties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Warranty accrual, end of period</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729"/>
        <w:spacing w:after="0" w:line="277" w:lineRule="auto"/>
        <w:rPr>
          <w:sz w:val="20"/>
          <w:szCs w:val="20"/>
          <w:color w:val="auto"/>
        </w:rPr>
      </w:pPr>
      <w:r>
        <w:rPr>
          <w:rFonts w:ascii="Arial" w:cs="Arial" w:eastAsia="Arial" w:hAnsi="Arial"/>
          <w:sz w:val="18"/>
          <w:szCs w:val="18"/>
          <w:color w:val="auto"/>
        </w:rPr>
        <w:t>Accrued warranty also includes amounts classified in other liabilities in the consolidated balance sheets of $71 million at July 3, 2015 and $63 million at June 27,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Long-term Purchase Agreements</w:t>
      </w:r>
    </w:p>
    <w:p>
      <w:pPr>
        <w:spacing w:after="0" w:line="90" w:lineRule="exact"/>
        <w:rPr>
          <w:sz w:val="20"/>
          <w:szCs w:val="20"/>
          <w:color w:val="auto"/>
        </w:rPr>
      </w:pPr>
    </w:p>
    <w:p>
      <w:pPr>
        <w:jc w:val="both"/>
        <w:ind w:right="220" w:firstLine="729"/>
        <w:spacing w:after="0" w:line="286" w:lineRule="auto"/>
        <w:rPr>
          <w:sz w:val="20"/>
          <w:szCs w:val="20"/>
          <w:color w:val="auto"/>
        </w:rPr>
      </w:pPr>
      <w:r>
        <w:rPr>
          <w:rFonts w:ascii="Arial" w:cs="Arial" w:eastAsia="Arial" w:hAnsi="Arial"/>
          <w:sz w:val="17"/>
          <w:szCs w:val="17"/>
          <w:color w:val="auto"/>
        </w:rPr>
        <w:t>The Company has entered into long-term purchase agreements with various component suppliers. The commitments depend on specific products ordered and may be subject to minimum quality requirements and future price negotiations. The Company expects these commitments to total $117 million for 2016, $15 million for 2017, $5 million for 2018, $3 million for 2019 and no remaining commitments for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Legal Proceedings</w:t>
      </w:r>
    </w:p>
    <w:p>
      <w:pPr>
        <w:spacing w:after="0" w:line="229"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HGST refers to Hitachi Global Storage Technologies Holdings Pte. Ltd. or one or more of its subsidiaries as of the HGST Closing Date, and “the Company” refers to Western Digital Corporation and all of its subsidiaries on a consolidated basis including HGST.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Intellectual Property Litigation</w:t>
      </w:r>
    </w:p>
    <w:p>
      <w:pPr>
        <w:spacing w:after="0" w:line="25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June 18, 2008, plaintiff Convolve, Inc. (“Convolve”) filed a complaint in the Eastern District of Texas against WD, HGST, and two other companies alleging infringement of U.S. Patent Nos. 6,314,473 and 4,916,635. The complaint sought unspecified monetary damages and injunctive relief. On October 10, 2008, Convolve amended its complaint to allege infringement of only the ‘473 patent. The ‘473 patent allegedly relates to interface technology to select between certain modes of a disk drive’s operations relating to speed and noise. A trial in the matter began on July 18, 2011 and concluded on July 26, 2011 with a verdict against WD and HGST in an amount that is not material to the Company’s financial position, results of operations or cash flows, for which the Company previously recorded an accrual. WD and HGST filed post-trial motions challenging the verdict. On January 17, 2014 and February 11, 2015, the Court denied WD’s and HGST’s post-trial motions. On March 13, 2015, WD and HGST filed Notices of Appeal with the United States District Court for the Federal Circuit (“Federal Circuit”). On April 16, 2015, Convolve filed a motion for reconsideration of the final judgment. On May 5, 2015, the Federal Circuit deactivated the appeal pending the Court’s decision on reconsideration. WD and HGST intend to continue to defend themselves vigorously in this matter.</w:t>
      </w:r>
    </w:p>
    <w:p>
      <w:pPr>
        <w:spacing w:after="0" w:line="19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March 24, 2014, plaintiff Steven F. Reiber (“Reiber”) filed a complaint in the Eastern District of California against the Company, alleging infringement of U.S. Patent Nos. 7,124,927 and 7,389,905. On September 16, 2014, Reiber filed an amended complaint in the Eastern District of California against the Company alleging infringement of three additional patents-U.S. Patent Nos. 6,935,548, 6,651,864, and 6,354,479. Reiber alleged that WD products (including HDD heads, head gimbal assemblies, head stack assemblies and SSDs) infringed these patents based on the allegation that the manufacturing of these products involves the use of certain bonding tools (e.g., wire-bonding tips, capillary tips, and flip-chip handling tools) that have electrically “dissipative” properties, and which are used when bonding components, such as leads, wires and flip chips. On June 4, 2015, the parties reached a settlement agreement for an amount that is not material to the Company’s financial position, results of operations or cash flows. On July 17, 2015, the Court dismissed the action against the Company with prejudice. The matter is now resolved.</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Seagate Matter</w:t>
      </w:r>
    </w:p>
    <w:p>
      <w:pPr>
        <w:spacing w:after="0" w:line="239" w:lineRule="exact"/>
        <w:rPr>
          <w:sz w:val="20"/>
          <w:szCs w:val="20"/>
          <w:color w:val="auto"/>
        </w:rPr>
      </w:pPr>
    </w:p>
    <w:p>
      <w:pPr>
        <w:ind w:right="20" w:firstLine="405"/>
        <w:spacing w:after="0" w:line="292" w:lineRule="auto"/>
        <w:rPr>
          <w:sz w:val="20"/>
          <w:szCs w:val="20"/>
          <w:color w:val="auto"/>
        </w:rPr>
      </w:pPr>
      <w:r>
        <w:rPr>
          <w:rFonts w:ascii="Arial" w:cs="Arial" w:eastAsia="Arial" w:hAnsi="Arial"/>
          <w:sz w:val="17"/>
          <w:szCs w:val="17"/>
          <w:color w:val="auto"/>
        </w:rPr>
        <w:t>In October 2006, Seagate Technology LLC ("Seagate") brought an action against the Company and a now former employee, alleging misappropriation of confidential information and trade secrets. In January 2012, an arbitrator issued a final award against the Company, including pre-award interest, of $630.4 million. The matter was appealed and, on October 8, 2014, the Minnesota Supreme Court upheld the arbitrator’s award. On October 14, 2014, the Company paid Seagate $773.4 million to satisfy the full amount of the final arbitration award plus interest accrued through October 2014. This amount was paid by one of the Company’s foreign subsidiaries using cash held outside of the United States.</w:t>
      </w:r>
    </w:p>
    <w:p>
      <w:pPr>
        <w:spacing w:after="0" w:line="10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Seagate disputes the method the Company used for calculating post-award interest and contends that the Company owes Seagate approximately $29 million in additional interest. The Company denies Seagate’s contention and believes it calculated interest properly in accordance with the arbitration award. On November 12, 2014, the Company filed a motion with the District Court seeking an order declaring that WD has paid to Seagate all amounts due under the arbitration award, including all pre-award and post-award interest, and all costs and disbursements assessed by the Minnesota Court of Appeals and the Minnesota Supreme Court. On December 23, 2014, Seagate filed a cross-motion seeking entry of judgment in the amount of $29 million, plus daily interest from October 15, 2014 until the date any judgment is paid. Both parties’ motions were fully briefed and, on January 9, 2015, the District Court heard oral argument on both motions. On April 7, 2015, the District Court granted the Company’s motion and declared that all amounts due and owing from the Company to Seagate have been paid, and a corresponding judgment was entered on April 8, 2015. On May 6, 2015, Seagate appealed the decision and judgment to the Minnesota Court of Appeals. The matter has been fully briefed before the Minnesota Court of Appeals but a date for oral argument has not been set. The Company will continue to defend itself vigorously in this matter.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Matters</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December 22, 2011, the German Central Organization for Private Copying Rights (Zentralstelle für private Überspielungsrechte), (“ZPÜ”), an organization consisting of several copyright collecting societies, instituted arbitration proceedings against Western Digital's German subsidiary ("WD Germany") before the Copyright Arbitration Board (“CAB”) claiming copyright levies for multimedia hard drives, external hard drives and network hard drives sold or introduced into commerce in Germany by WD Germany from January 2008 through December 2010. The CAB, which was required to issue a settlement proposal within one year of the initiation of the action, failed to do so and requested the parties consent to continue the deadline. WD Germany declined to provide consent and, on February 1, 2013, WD Germany filed a declaratory relief action against ZPÜ in the Higher Regional Court of Munich (the “Higher Court”), seeking an order from the court to determine the copyright levy issue. On May 21, 2013, ZPÜ filed a counter-claim against WD Germany with the Higher Court, seeking copyright levies for multimedia hard drives, external hard drives and network hard drives (collectively, "Covered Products") sold or introduced into commerce from January 2008 through December 2010 based on tariffs published by ZPÜ on November 3, 2011. On May 22, 2014, oral argument on the pleadings occurred. On January 15, 2015, the Higher Court ruled in favor of ZPÜ. In its ruling, the Higher Court declared that WD Germany must pay certain levies on certain WD products which it sold in Germany between January 1, 2008 and December 31, 2010. The judgment specifies levy amounts on certain WD products sold from 2008 to 2010 and directs WD Germany to provide applicable sales data to the ZPÜ. The exact amount of the judgment has not been determined. ZPÜ and WD Germany filed appeals with the German Federal Court of Justice on February 18 and February 20, 2015. WD intends to defend itself vigorously in this matter.</w:t>
      </w:r>
    </w:p>
    <w:p>
      <w:pPr>
        <w:spacing w:after="0" w:line="13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On December 11, 2014, ZPÜ submitted a pleading to the CAB seeking copyright levies for multimedia hard drives, external hard drives and network hard drives sold or introduced into commerce in Germany by WD Germany from January 1, 2012 to December 31, 2013. WD intends to defend itself vigorously in this matter.</w:t>
      </w:r>
    </w:p>
    <w:p>
      <w:pPr>
        <w:spacing w:after="0" w:line="127"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The Company has recorded an accrual for German copyright levies in an amount that is not material to the Company’s financial position, results of operations or cash flows. It is reasonably possible that the Company may incur losses totaling up to $95 million, including the amounts accrued.</w:t>
      </w:r>
    </w:p>
    <w:p>
      <w:pPr>
        <w:spacing w:after="0" w:line="7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and is therefore not predictable with assurance, management believes that any monetary liability or financial impact to the Company from these other matters, individually and in the aggregate, would not be material to the Company’s financial condition, results of operations or cash flows. However, there can be no assurance with respect to such result, and monetary liability or financial impact to the Company from these other matters could differ materially from those projected.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Segment, Geographic Information and Major Customers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Company is organized into two operating segments that have been aggregated into one reportable operating segment, the hard drive business.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Geographic Information</w:t>
      </w:r>
    </w:p>
    <w:p>
      <w:pPr>
        <w:spacing w:after="0" w:line="90" w:lineRule="exact"/>
        <w:rPr>
          <w:sz w:val="20"/>
          <w:szCs w:val="20"/>
          <w:color w:val="auto"/>
        </w:rPr>
      </w:pPr>
    </w:p>
    <w:p>
      <w:pPr>
        <w:ind w:right="260" w:firstLine="729"/>
        <w:spacing w:after="0" w:line="264"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 summarizes the Company’s operations by geographic area for the three years ended July 3, 2015 (in millions):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Asia</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Middle East and Africa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Long-lived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revenue is attributed to geographic regions based on the ship to location of the customer.</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Major Customers</w:t>
      </w:r>
    </w:p>
    <w:p>
      <w:pPr>
        <w:spacing w:after="0" w:line="90" w:lineRule="exact"/>
        <w:rPr>
          <w:sz w:val="20"/>
          <w:szCs w:val="20"/>
          <w:color w:val="auto"/>
        </w:rPr>
      </w:pPr>
    </w:p>
    <w:p>
      <w:pPr>
        <w:ind w:right="140" w:firstLine="729"/>
        <w:spacing w:after="0" w:line="264" w:lineRule="auto"/>
        <w:rPr>
          <w:sz w:val="20"/>
          <w:szCs w:val="20"/>
          <w:color w:val="auto"/>
        </w:rPr>
      </w:pPr>
      <w:r>
        <w:rPr>
          <w:rFonts w:ascii="Arial" w:cs="Arial" w:eastAsia="Arial" w:hAnsi="Arial"/>
          <w:sz w:val="18"/>
          <w:szCs w:val="18"/>
          <w:color w:val="auto"/>
        </w:rPr>
        <w:t>For 2015 and 2014, sales to Hewlett Packard Company accounted for 11% of the Company’s net revenue. For 2013, no single customer accounted for 10% or more of the Company’s net revenue. For 2015, 2014, and 2013, sales to the Company’s top ten customers accounted for 44% of the Company’s net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Western Digital Corporation 401(k) Plan</w:t>
      </w:r>
    </w:p>
    <w:p>
      <w:pPr>
        <w:spacing w:after="0" w:line="94" w:lineRule="exact"/>
        <w:rPr>
          <w:sz w:val="20"/>
          <w:szCs w:val="20"/>
          <w:color w:val="auto"/>
        </w:rPr>
      </w:pPr>
    </w:p>
    <w:p>
      <w:pPr>
        <w:ind w:right="60" w:firstLine="729"/>
        <w:spacing w:after="0" w:line="271" w:lineRule="auto"/>
        <w:rPr>
          <w:sz w:val="20"/>
          <w:szCs w:val="20"/>
          <w:color w:val="auto"/>
        </w:rPr>
      </w:pPr>
      <w:r>
        <w:rPr>
          <w:rFonts w:ascii="Arial" w:cs="Arial" w:eastAsia="Arial" w:hAnsi="Arial"/>
          <w:sz w:val="17"/>
          <w:szCs w:val="17"/>
          <w:color w:val="auto"/>
        </w:rPr>
        <w:t>The Company has adopted the Western Digital Corporation 401(k) Plan (the “Plan”). The Plan covers substantially all domestic employees, subject to certain eligibility requirements. The Company makes a basic matching contribution on behalf of each participating eligible employee equal to fifty percent (50%) of the eligible participant’s pre-tax contributions for the contribution cycle not to exceed 5% of the eligible participant’s compensation; provided, however, that each eligible participant shall receive a minimum annual basic matching contribution equal to fifty percent (50%) of the first $4,000 of pre-tax contributions for any calendar year. The Plan was amended effective January 1, 2013, to provide for a year-end true-up matching contribution such that participants who save at least 5% of their eligible compensation for the year receive a minimum annual matching contribution equal to 2.5% of eligible compensation (up to Internal Revenue Service (“IRS”) limitations). Company contributions vest over a 5-year period of employment. For 2015, 2014, and 2013, the Company made Plan contributions of $22 million, $21 million and $19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Incentive Plans</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In addition to awards assumed in connection with acquisitions, the Company maintains the amended and restated 2004 Performance Incentive Plan.</w:t>
      </w:r>
    </w:p>
    <w:p>
      <w:pPr>
        <w:spacing w:after="0" w:line="113" w:lineRule="exact"/>
        <w:rPr>
          <w:sz w:val="20"/>
          <w:szCs w:val="20"/>
          <w:color w:val="auto"/>
        </w:rPr>
      </w:pPr>
    </w:p>
    <w:p>
      <w:pPr>
        <w:ind w:right="80" w:firstLine="729"/>
        <w:spacing w:after="0" w:line="271" w:lineRule="auto"/>
        <w:rPr>
          <w:sz w:val="20"/>
          <w:szCs w:val="20"/>
          <w:color w:val="auto"/>
        </w:rPr>
      </w:pPr>
      <w:r>
        <w:rPr>
          <w:rFonts w:ascii="Arial" w:cs="Arial" w:eastAsia="Arial" w:hAnsi="Arial"/>
          <w:sz w:val="17"/>
          <w:szCs w:val="17"/>
          <w:color w:val="auto"/>
        </w:rPr>
        <w:t>The types of awards that may be granted under the 2004 Performance Incentive Plan include stock options, SARs, RSUs, stock bonuses and other forms of awards granted or denominated in the Company’s common stock or units of the Company’s common stock, as well as cash bonus awards. Persons eligible to receive awards under the 2004 Performance Incentive Plan include officers and employees of the Company or any of its subsidiaries, directors of the Company and certain consultants and advisors to the Company or any of its subsidiaries. The vesting of awards under the 2004 Performance Incentive Plan is determined at the date of grant. Each award expires on a date determined at the date of grant; however, the maximum term of options and SARs under the 2004 Performance Incentive Plan is ten years after the grant date of the award. RSUs granted under the 2004 Performance Incentive Plan typically vest over periods ranging from one to four years from the date of grant. To the extent available, the Company issues shares out of treasury stock upon the vesting of awards or the exercise of employee stock options and ESPP.</w:t>
      </w:r>
    </w:p>
    <w:p>
      <w:pPr>
        <w:spacing w:after="0" w:line="125" w:lineRule="exact"/>
        <w:rPr>
          <w:sz w:val="20"/>
          <w:szCs w:val="20"/>
          <w:color w:val="auto"/>
        </w:rPr>
      </w:pPr>
    </w:p>
    <w:p>
      <w:pPr>
        <w:ind w:right="140" w:firstLine="729"/>
        <w:spacing w:after="0" w:line="264" w:lineRule="auto"/>
        <w:rPr>
          <w:sz w:val="20"/>
          <w:szCs w:val="20"/>
          <w:color w:val="auto"/>
        </w:rPr>
      </w:pPr>
      <w:r>
        <w:rPr>
          <w:rFonts w:ascii="Arial" w:cs="Arial" w:eastAsia="Arial" w:hAnsi="Arial"/>
          <w:sz w:val="18"/>
          <w:szCs w:val="18"/>
          <w:color w:val="auto"/>
        </w:rPr>
        <w:t>As of July 3, 2015, the maximum number of shares of the Company’s common stock that was authorized for award grants under the 2004 Performance Incentive Plan was 48.8 million shares. Shares issued in respect of stock options and SARs granted under the 2004 Performance Incentive Plan count against the plan’s share limit on a one-for-one basis, whereas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issued in respect of any other type of award granted through November 7, 2012 under the plan count against the plan’s share limit as 1.35 shares for every one share actually issued in connection with such award. Shares issued in respect of awards, other than options and SARs, granted on or after November 8, 2012 count against the plan’s share limit as 1.72 shares for every one share actually issued in connection with such award. The 2004 Performance Incentive Plan was extended in 2013 and will terminate on August 6, 2022 unless terminated earlier by the Company’s Board of Directors.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160" w:firstLine="729"/>
        <w:spacing w:after="0" w:line="272" w:lineRule="auto"/>
        <w:rPr>
          <w:sz w:val="20"/>
          <w:szCs w:val="20"/>
          <w:color w:val="auto"/>
        </w:rPr>
      </w:pPr>
      <w:r>
        <w:rPr>
          <w:rFonts w:ascii="Arial" w:cs="Arial" w:eastAsia="Arial" w:hAnsi="Arial"/>
          <w:sz w:val="17"/>
          <w:szCs w:val="17"/>
          <w:color w:val="auto"/>
        </w:rPr>
        <w:t>The Company maintains an ESPP. Under the ESPP, eligible employees may authorize payroll deductions of up to 10% of their eligible compensation during prescribed offering periods to purchase shares of the Company’s common stock at 95% of the fair market value of common stock on either the first day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firstLine="729"/>
        <w:spacing w:after="0" w:line="297" w:lineRule="auto"/>
        <w:rPr>
          <w:sz w:val="20"/>
          <w:szCs w:val="20"/>
          <w:color w:val="auto"/>
        </w:rPr>
      </w:pPr>
      <w:r>
        <w:rPr>
          <w:rFonts w:ascii="Arial" w:cs="Arial" w:eastAsia="Arial" w:hAnsi="Arial"/>
          <w:sz w:val="16"/>
          <w:szCs w:val="16"/>
          <w:color w:val="auto"/>
        </w:rPr>
        <w:t>The Company recognized in expense $74 million, $85 million and $88 million for stock-based compensation related to the vesting of options issued by the Company under the 2004 Performance Incentive Plan and the ESPP in 2015, 2014 and 2013, respectively. The tax benefit realized as a result of the aforementioned stock-based compensation expense was $19 million, $22 million and $25 million in 2015, 2014 and 2013, respectively. As of July 3, 2015, total compensation cost related to unvested stock options granted under the 2004 Performance Incentive Plan and ESPP rights issued to employees but not yet recognized was $96 million and will be amortized on a straight-line basis over a weighted average service period of approximately 2.0 years.</w:t>
      </w:r>
    </w:p>
    <w:p>
      <w:pPr>
        <w:spacing w:after="0" w:line="104" w:lineRule="exact"/>
        <w:rPr>
          <w:sz w:val="20"/>
          <w:szCs w:val="20"/>
          <w:color w:val="auto"/>
        </w:rPr>
      </w:pPr>
    </w:p>
    <w:p>
      <w:pPr>
        <w:ind w:right="40" w:firstLine="729"/>
        <w:spacing w:after="0" w:line="255" w:lineRule="auto"/>
        <w:rPr>
          <w:sz w:val="20"/>
          <w:szCs w:val="20"/>
          <w:color w:val="auto"/>
        </w:rPr>
      </w:pPr>
      <w:r>
        <w:rPr>
          <w:rFonts w:ascii="Arial" w:cs="Arial" w:eastAsia="Arial" w:hAnsi="Arial"/>
          <w:sz w:val="18"/>
          <w:szCs w:val="18"/>
          <w:color w:val="auto"/>
        </w:rPr>
        <w:t>For purposes of this footnote, references to RSUs include performance stock unit awards (“PSUs”). The effect of the PSU activity was immaterial to the consolidated financial statements in 2015, 2014 and 2013. The Company recognized in expense $88 million, $71 million and $52 million related to RSUs granted under the 2004 Performance Incentive Plan that vested during 2015, 2014 and 2013, respectively. The tax benefit realized as a result of the aforementioned expense was $24 million, $18 million and $14 million in 2015, 2014 and 2013, respectively. As of July 3, 2015, the aggregate unamortized fair value of all unvested RSUs granted under the 2004 Performance Incentive Plan was $119 million, which will be recognized on a straight-line basis over a weighted average vesting period of approximately 1.3 years.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right="20" w:firstLine="729"/>
        <w:spacing w:after="0" w:line="277" w:lineRule="auto"/>
        <w:rPr>
          <w:sz w:val="20"/>
          <w:szCs w:val="20"/>
          <w:color w:val="auto"/>
        </w:rPr>
      </w:pPr>
      <w:r>
        <w:rPr>
          <w:rFonts w:ascii="Arial" w:cs="Arial" w:eastAsia="Arial" w:hAnsi="Arial"/>
          <w:sz w:val="18"/>
          <w:szCs w:val="18"/>
          <w:color w:val="auto"/>
        </w:rPr>
        <w:t>The following table summarizes stock option activity under the 2004 Performance Incentive Plan over the last three fiscal years (in millions, except per share amounts and remaining contractual lives):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320" w:type="dxa"/>
            <w:vAlign w:val="bottom"/>
          </w:tcPr>
          <w:p>
            <w:pPr>
              <w:spacing w:after="0"/>
              <w:rPr>
                <w:sz w:val="14"/>
                <w:szCs w:val="14"/>
                <w:color w:val="auto"/>
              </w:rPr>
            </w:pPr>
          </w:p>
        </w:tc>
        <w:tc>
          <w:tcPr>
            <w:tcW w:w="138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0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320" w:type="dxa"/>
            <w:vAlign w:val="bottom"/>
          </w:tcPr>
          <w:p>
            <w:pPr>
              <w:spacing w:after="0"/>
              <w:rPr>
                <w:sz w:val="12"/>
                <w:szCs w:val="12"/>
                <w:color w:val="auto"/>
              </w:rPr>
            </w:pPr>
          </w:p>
        </w:tc>
        <w:tc>
          <w:tcPr>
            <w:tcW w:w="138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060" w:type="dxa"/>
            <w:vAlign w:val="bottom"/>
          </w:tcPr>
          <w:p>
            <w:pPr>
              <w:jc w:val="center"/>
              <w:ind w:left="368"/>
              <w:spacing w:after="0"/>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left="456"/>
              <w:spacing w:after="0"/>
              <w:rPr>
                <w:sz w:val="20"/>
                <w:szCs w:val="20"/>
                <w:color w:val="auto"/>
              </w:rPr>
            </w:pPr>
            <w:r>
              <w:rPr>
                <w:rFonts w:ascii="Arial" w:cs="Arial" w:eastAsia="Arial" w:hAnsi="Arial"/>
                <w:sz w:val="14"/>
                <w:szCs w:val="14"/>
                <w:b w:val="1"/>
                <w:bCs w:val="1"/>
                <w:color w:val="auto"/>
                <w:w w:val="91"/>
              </w:rPr>
              <w:t>Per Share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6"/>
                <w:szCs w:val="16"/>
                <w:color w:val="auto"/>
              </w:rPr>
            </w:pPr>
          </w:p>
        </w:tc>
        <w:tc>
          <w:tcPr>
            <w:tcW w:w="1380" w:type="dxa"/>
            <w:vAlign w:val="bottom"/>
          </w:tcPr>
          <w:p>
            <w:pPr>
              <w:jc w:val="center"/>
              <w:ind w:right="23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June 29, 2012</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43.51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Forfeited or expired</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(0.5)</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32.72</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June 28, 2013</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68.96</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Assumed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38.18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Exercised</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(4.5)</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25.22</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Forfeited or expired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67.23</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at June 27, 2014</w:t>
            </w: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0"/>
                <w:szCs w:val="20"/>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37.03</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94.10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Assumed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Forfeited or expired</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(0.5)</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56.41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July 3, 2015</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Exercisable at July 3, 2015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34.81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67"/>
        </w:trPr>
        <w:tc>
          <w:tcPr>
            <w:tcW w:w="446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Vested and expected to vest after July 3, 2015</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729"/>
        <w:spacing w:after="0" w:line="255" w:lineRule="auto"/>
        <w:rPr>
          <w:sz w:val="20"/>
          <w:szCs w:val="20"/>
          <w:color w:val="auto"/>
        </w:rPr>
      </w:pPr>
      <w:r>
        <w:rPr>
          <w:rFonts w:ascii="Arial" w:cs="Arial" w:eastAsia="Arial" w:hAnsi="Arial"/>
          <w:sz w:val="18"/>
          <w:szCs w:val="18"/>
          <w:color w:val="auto"/>
        </w:rPr>
        <w:t>If an option has an exercise price that is less than the quoted price of the Company’s common stock at the particular time, the aggregate intrinsic value of that option at that time is calculated based on the difference between the exercise price of the underlying options and the quoted price of the Company’s common stock at that time. As of July 3, 2015, the Company had options outstanding to purchase an aggregate of 5.5 million shares with an exercise price below the quoted price of the Company’s stock on that date resulting in an aggregate intrinsic value of $242 million at that date. During 2015, 2014 and 2013, the aggregate intrinsic value of options exercised under the 2004 Performance Incentive Plan was $283 million, $247 million and $211 million, respectively, determined as of the date of exercise.</w:t>
      </w:r>
    </w:p>
    <w:p>
      <w:pPr>
        <w:spacing w:after="0" w:line="139" w:lineRule="exact"/>
        <w:rPr>
          <w:sz w:val="20"/>
          <w:szCs w:val="20"/>
          <w:color w:val="auto"/>
        </w:rPr>
      </w:pPr>
    </w:p>
    <w:p>
      <w:pPr>
        <w:ind w:right="320" w:firstLine="729"/>
        <w:spacing w:after="0" w:line="277" w:lineRule="auto"/>
        <w:rPr>
          <w:sz w:val="20"/>
          <w:szCs w:val="20"/>
          <w:color w:val="auto"/>
        </w:rPr>
      </w:pPr>
      <w:r>
        <w:rPr>
          <w:rFonts w:ascii="Arial" w:cs="Arial" w:eastAsia="Arial" w:hAnsi="Arial"/>
          <w:sz w:val="18"/>
          <w:szCs w:val="18"/>
          <w:color w:val="auto"/>
        </w:rPr>
        <w:t>The following table summarizes information about options outstanding and exercisable under the 2004 Performance Incentive Plan as of July 3, 2015 (in millions, except exercise price):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6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w w:val="90"/>
              </w:rPr>
              <w:t>Range of</w:t>
            </w:r>
          </w:p>
        </w:tc>
        <w:tc>
          <w:tcPr>
            <w:tcW w:w="15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2060" w:type="dxa"/>
            <w:vAlign w:val="bottom"/>
            <w:gridSpan w:val="2"/>
          </w:tcPr>
          <w:p>
            <w:pPr>
              <w:jc w:val="center"/>
              <w:ind w:right="1120"/>
              <w:spacing w:after="0" w:line="158" w:lineRule="exact"/>
              <w:rPr>
                <w:sz w:val="20"/>
                <w:szCs w:val="20"/>
                <w:color w:val="auto"/>
              </w:rPr>
            </w:pPr>
            <w:r>
              <w:rPr>
                <w:rFonts w:ascii="Arial" w:cs="Arial" w:eastAsia="Arial" w:hAnsi="Arial"/>
                <w:sz w:val="14"/>
                <w:szCs w:val="14"/>
                <w:b w:val="1"/>
                <w:bCs w:val="1"/>
                <w:color w:val="auto"/>
                <w:w w:val="90"/>
              </w:rPr>
              <w:t>Exercise Prices</w:t>
            </w:r>
          </w:p>
        </w:tc>
        <w:tc>
          <w:tcPr>
            <w:tcW w:w="1500" w:type="dxa"/>
            <w:vAlign w:val="bottom"/>
          </w:tcPr>
          <w:p>
            <w:pPr>
              <w:jc w:val="right"/>
              <w:ind w:right="374"/>
              <w:spacing w:after="0" w:line="158" w:lineRule="exact"/>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3"/>
                <w:szCs w:val="13"/>
                <w:color w:val="auto"/>
              </w:rPr>
            </w:pPr>
          </w:p>
        </w:tc>
        <w:tc>
          <w:tcPr>
            <w:tcW w:w="17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Exercise Price</w:t>
            </w:r>
          </w:p>
        </w:tc>
        <w:tc>
          <w:tcPr>
            <w:tcW w:w="1480" w:type="dxa"/>
            <w:vAlign w:val="bottom"/>
          </w:tcPr>
          <w:p>
            <w:pPr>
              <w:jc w:val="right"/>
              <w:ind w:right="375"/>
              <w:spacing w:after="0" w:line="158"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
        </w:trPr>
        <w:tc>
          <w:tcPr>
            <w:tcW w:w="11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$2.99 – $16.85</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0"/>
              </w:rPr>
              <w:t>$17.52 – $29.60</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$30.06 – $41.75</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43"/>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87"/>
              </w:rPr>
              <w:t>$43.11 – $43.11</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$48.01 – $68.49</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43"/>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89"/>
              </w:rPr>
              <w:t>$69.29 – $388.77</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102.96</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148.95</w:t>
            </w:r>
          </w:p>
        </w:tc>
        <w:tc>
          <w:tcPr>
            <w:tcW w:w="0" w:type="dxa"/>
            <w:vAlign w:val="bottom"/>
          </w:tcPr>
          <w:p>
            <w:pPr>
              <w:spacing w:after="0"/>
              <w:rPr>
                <w:sz w:val="1"/>
                <w:szCs w:val="1"/>
                <w:color w:val="auto"/>
              </w:rPr>
            </w:pPr>
          </w:p>
        </w:tc>
      </w:tr>
      <w:tr>
        <w:trPr>
          <w:trHeight w:val="27"/>
        </w:trPr>
        <w:tc>
          <w:tcPr>
            <w:tcW w:w="1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40" w:type="dxa"/>
            <w:vAlign w:val="bottom"/>
            <w:gridSpan w:val="2"/>
            <w:vMerge w:val="restart"/>
          </w:tcPr>
          <w:p>
            <w:pPr>
              <w:jc w:val="right"/>
              <w:ind w:right="568"/>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RSU Activity</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RSU activity (in millions, except weighted average grant date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7"/>
              </w:rPr>
              <w:t>of Shares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June 29, 2012</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43"/>
        </w:trPr>
        <w:tc>
          <w:tcPr>
            <w:tcW w:w="89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43"/>
        </w:trPr>
        <w:tc>
          <w:tcPr>
            <w:tcW w:w="8960" w:type="dxa"/>
            <w:vAlign w:val="bottom"/>
            <w:gridSpan w:val="2"/>
          </w:tcPr>
          <w:p>
            <w:pPr>
              <w:ind w:left="380"/>
              <w:spacing w:after="0"/>
              <w:rPr>
                <w:sz w:val="20"/>
                <w:szCs w:val="20"/>
                <w:color w:val="auto"/>
              </w:rPr>
            </w:pPr>
            <w:r>
              <w:rPr>
                <w:rFonts w:ascii="Arial" w:cs="Arial" w:eastAsia="Arial" w:hAnsi="Arial"/>
                <w:sz w:val="18"/>
                <w:szCs w:val="18"/>
                <w:color w:val="auto"/>
              </w:rPr>
              <w:t>Forfeited or expired</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June 28, 2013</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43"/>
        </w:trPr>
        <w:tc>
          <w:tcPr>
            <w:tcW w:w="89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Assumed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43"/>
        </w:trPr>
        <w:tc>
          <w:tcPr>
            <w:tcW w:w="8960" w:type="dxa"/>
            <w:vAlign w:val="bottom"/>
            <w:gridSpan w:val="2"/>
          </w:tcPr>
          <w:p>
            <w:pPr>
              <w:ind w:left="38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Forfeited or expired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RSUs outstanding at June 27, 2014</w:t>
            </w: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43"/>
        </w:trPr>
        <w:tc>
          <w:tcPr>
            <w:tcW w:w="8960" w:type="dxa"/>
            <w:vAlign w:val="bottom"/>
            <w:gridSpan w:val="2"/>
          </w:tcPr>
          <w:p>
            <w:pPr>
              <w:ind w:left="38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Forfeited or expired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RSUs outstanding at July 3, 2015</w:t>
            </w:r>
          </w:p>
        </w:tc>
        <w:tc>
          <w:tcPr>
            <w:tcW w:w="10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62"/>
        </w:trPr>
        <w:tc>
          <w:tcPr>
            <w:tcW w:w="79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Expected to vest after July 3, 2015</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729"/>
        <w:spacing w:after="0" w:line="257" w:lineRule="auto"/>
        <w:rPr>
          <w:sz w:val="20"/>
          <w:szCs w:val="20"/>
          <w:color w:val="auto"/>
        </w:rPr>
      </w:pPr>
      <w:r>
        <w:rPr>
          <w:rFonts w:ascii="Arial" w:cs="Arial" w:eastAsia="Arial" w:hAnsi="Arial"/>
          <w:sz w:val="18"/>
          <w:szCs w:val="18"/>
          <w:color w:val="auto"/>
        </w:rPr>
        <w:t>The fair value of each RSU is the market price of the Company’s stock on the date of grant. RSUs are generally payable in an equal number of shares of the Company’s common stock at the time of the vesting of the units. The aggregate value of RSUs that became fully-vested during 2015, 2014 and 2013 was $170 million, $89 million and $71 million, respectively, determined as of the vest date. The fair value of the shares underlying the RSU awards at the date of grant or assumption was $125 million, $95 million and $74 million in 2015, 2014 and 2013, respectively. These amounts are being recognized to expense over the corresponding vesting periods.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SARs Activity</w:t>
      </w:r>
    </w:p>
    <w:p>
      <w:pPr>
        <w:spacing w:after="0" w:line="90" w:lineRule="exact"/>
        <w:rPr>
          <w:sz w:val="20"/>
          <w:szCs w:val="20"/>
          <w:color w:val="auto"/>
        </w:rPr>
      </w:pPr>
    </w:p>
    <w:p>
      <w:pPr>
        <w:ind w:right="20" w:firstLine="729"/>
        <w:spacing w:after="0" w:line="279" w:lineRule="auto"/>
        <w:rPr>
          <w:sz w:val="20"/>
          <w:szCs w:val="20"/>
          <w:color w:val="auto"/>
        </w:rPr>
      </w:pPr>
      <w:r>
        <w:rPr>
          <w:rFonts w:ascii="Arial" w:cs="Arial" w:eastAsia="Arial" w:hAnsi="Arial"/>
          <w:sz w:val="17"/>
          <w:szCs w:val="17"/>
          <w:color w:val="auto"/>
        </w:rPr>
        <w:t>The Company recognized a benefit of $3 million in 2015, and $36 million and $46 million in expense related to adjustments to market value as well as the vesting of SARs in 2014 and 2013, respectively. No tax benefit was realized in 2015 as a result of the aforementioned SARs expense, as compared to tax benefits realized of $7 million and $4 million in 2014 and 2013, respectively. The SARs will be settled in cash upon exercise. The Company had a total liability of $41 million related to SARs included in accrued liabilities as of July 3, 2015 in the consolidated balance sheet.</w:t>
      </w:r>
    </w:p>
    <w:p>
      <w:pPr>
        <w:spacing w:after="0" w:line="36" w:lineRule="exact"/>
        <w:rPr>
          <w:sz w:val="20"/>
          <w:szCs w:val="20"/>
          <w:color w:val="auto"/>
        </w:rPr>
      </w:pPr>
    </w:p>
    <w:p>
      <w:pPr>
        <w:ind w:right="20" w:firstLine="729"/>
        <w:spacing w:after="0" w:line="279" w:lineRule="auto"/>
        <w:rPr>
          <w:sz w:val="20"/>
          <w:szCs w:val="20"/>
          <w:color w:val="auto"/>
        </w:rPr>
      </w:pPr>
      <w:r>
        <w:rPr>
          <w:rFonts w:ascii="Arial" w:cs="Arial" w:eastAsia="Arial" w:hAnsi="Arial"/>
          <w:sz w:val="17"/>
          <w:szCs w:val="17"/>
          <w:color w:val="auto"/>
        </w:rPr>
        <w:t>The share-based compensation liability for SARs is recognized for the portion of fair value for which service has been rendered at the reporting date. The share-based liability is remeasured at each reporting date, using a binomial option-pricing model, through the requisite service period. As of July 3, 2015, 0.6 million SARs were outstanding with a weighted average exercise price of $7.92. There were no SARs granted in 2015, 2014 and 2013, and all other SARs activity was immaterial to the consolidated financial statements for the year ended July 3, 2015.</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Disclosure — Binomial Model</w:t>
      </w:r>
    </w:p>
    <w:p>
      <w:pPr>
        <w:spacing w:after="0" w:line="90" w:lineRule="exact"/>
        <w:rPr>
          <w:sz w:val="20"/>
          <w:szCs w:val="20"/>
          <w:color w:val="auto"/>
        </w:rPr>
      </w:pPr>
    </w:p>
    <w:p>
      <w:pPr>
        <w:ind w:right="80" w:firstLine="729"/>
        <w:spacing w:after="0" w:line="302" w:lineRule="auto"/>
        <w:rPr>
          <w:sz w:val="20"/>
          <w:szCs w:val="20"/>
          <w:color w:val="auto"/>
        </w:rPr>
      </w:pPr>
      <w:r>
        <w:rPr>
          <w:rFonts w:ascii="Arial" w:cs="Arial" w:eastAsia="Arial" w:hAnsi="Arial"/>
          <w:sz w:val="16"/>
          <w:szCs w:val="16"/>
          <w:color w:val="auto"/>
        </w:rPr>
        <w:t>The fair value of stock options granted is estimated using a binomial option-pricing model. The binomial model requires the input of highly subjective assumptions. The Company uses historical data to estimate exercise, employee termination, and expected stock price volatility within the binomial model. The risk-free rate for periods within the contractual life of the option is based on the U.S. Treasury yield curve in effect at the time of grant. The fair value of stock options granted during the three years ended July 3, 2015 was estimated using the following weighted average assumptions: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Suboptimal exercise factor</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1.90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Range of risk-free interest rates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0.11% to 2.16%</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0.10% to 2.44%</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0.14% to 1.96%</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expected stock price volatility</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0.23 to 0.47</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0.27 to 0.50</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0.36 to 0.53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Weighted average expected volatility</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0.36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0.43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0.49</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Post-vesting termination rate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1.69%</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1.58%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2.53%</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$32.19</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$24.14</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$15.75</w:t>
            </w:r>
          </w:p>
        </w:tc>
      </w:tr>
      <w:tr>
        <w:trPr>
          <w:trHeight w:val="27"/>
        </w:trPr>
        <w:tc>
          <w:tcPr>
            <w:tcW w:w="57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40" w:firstLine="729"/>
        <w:spacing w:after="0" w:line="277" w:lineRule="auto"/>
        <w:rPr>
          <w:sz w:val="20"/>
          <w:szCs w:val="20"/>
          <w:color w:val="auto"/>
        </w:rPr>
      </w:pPr>
      <w:r>
        <w:rPr>
          <w:rFonts w:ascii="Arial" w:cs="Arial" w:eastAsia="Arial" w:hAnsi="Arial"/>
          <w:sz w:val="18"/>
          <w:szCs w:val="18"/>
          <w:color w:val="auto"/>
        </w:rPr>
        <w:t>The weighted average expected term of the Company’s stock options granted during 2015, 2014 and 2013 was 5.8 years, 5.0 years and 4.0 years,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Disclosure — Black-Scholes-Merton Model</w:t>
      </w:r>
    </w:p>
    <w:p>
      <w:pPr>
        <w:spacing w:after="0" w:line="90" w:lineRule="exact"/>
        <w:rPr>
          <w:sz w:val="20"/>
          <w:szCs w:val="20"/>
          <w:color w:val="auto"/>
        </w:rPr>
      </w:pPr>
    </w:p>
    <w:p>
      <w:pPr>
        <w:jc w:val="both"/>
        <w:ind w:right="20" w:firstLine="729"/>
        <w:spacing w:after="0" w:line="312"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highly subjective assumptions such as the expected stock price volatility and the expected period until options are exercised. Purchase rights under the ESPP are granted on either June 1st or December 1st of each year.</w:t>
      </w:r>
    </w:p>
    <w:p>
      <w:pPr>
        <w:spacing w:after="0" w:line="9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fair values of all ESPP purchase rights granted on or prior to July 3, 2015 have been estimated at the date of grant using a Black-Scholes-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Merton option-pricing model with the following weighted average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ESPP</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life (in years)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0.45%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0.26%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0.23%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price volatility</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2.34%</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1.64%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1.61%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$14.50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$14.62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$10.36</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20" w:firstLine="729"/>
        <w:spacing w:after="0" w:line="254" w:lineRule="auto"/>
        <w:rPr>
          <w:sz w:val="20"/>
          <w:szCs w:val="20"/>
          <w:color w:val="auto"/>
        </w:rPr>
      </w:pPr>
      <w:r>
        <w:rPr>
          <w:rFonts w:ascii="Arial" w:cs="Arial" w:eastAsia="Arial" w:hAnsi="Arial"/>
          <w:sz w:val="18"/>
          <w:szCs w:val="18"/>
          <w:color w:val="auto"/>
        </w:rPr>
        <w:t>The Company's Board of Directors previously authorized $3.0 billion for the repurchase of the Company's common stock. On February 3, 2015, the Company's Board of Directors authorized an additional $2.0 billion for the repurchase of its common stock and approved the extension of its stock repurchase program to February 3, 2020. The Company repurchased 9.6 million shares for a total cost of $970 million during 2015. The remaining amount available to be purchased under the Company’s stock repurchase program as of July 3, 2015 was $2.2 billion. Subsequent to July 3, 2015 and through August 13, 2015, the Company repurchased an additional 0.7 million shares of its common stock for a total cost of $60 million. The Company may continue to repurchase its stock as it deems appropriate. Repurchases under the stock repurchase program may be made in the open market or in privately negotiated transactions and may be made under a Rule 10b5-1 plan. The Company expects stock repurchases to be funded principally by operating cash flows and borrowings under the Credit Agreement.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Reserved for Issuance</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all shares of common stock reserved for issuance at July 3, 2015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80" w:type="dxa"/>
            <w:vAlign w:val="bottom"/>
          </w:tcPr>
          <w:p>
            <w:pPr>
              <w:jc w:val="right"/>
              <w:ind w:right="399"/>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shares issuable in connection with:</w:t>
            </w:r>
          </w:p>
        </w:tc>
        <w:tc>
          <w:tcPr>
            <w:tcW w:w="48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Outstanding awards and shares available for award grants</w:t>
            </w:r>
          </w:p>
        </w:tc>
        <w:tc>
          <w:tcPr>
            <w:tcW w:w="6340" w:type="dxa"/>
            <w:vAlign w:val="bottom"/>
            <w:gridSpan w:val="2"/>
          </w:tcPr>
          <w:p>
            <w:pPr>
              <w:jc w:val="right"/>
              <w:ind w:right="19"/>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ESPP</w:t>
            </w:r>
          </w:p>
        </w:tc>
        <w:tc>
          <w:tcPr>
            <w:tcW w:w="48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4860" w:type="dxa"/>
            <w:vAlign w:val="bottom"/>
          </w:tcPr>
          <w:p>
            <w:pPr>
              <w:spacing w:after="0"/>
              <w:rPr>
                <w:sz w:val="20"/>
                <w:szCs w:val="20"/>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860" w:type="dxa"/>
            <w:vAlign w:val="bottom"/>
            <w:vMerge w:val="restart"/>
          </w:tcPr>
          <w:p>
            <w:pPr>
              <w:jc w:val="right"/>
              <w:ind w:right="4050"/>
              <w:spacing w:after="0"/>
              <w:rPr>
                <w:sz w:val="20"/>
                <w:szCs w:val="20"/>
                <w:color w:val="auto"/>
              </w:rPr>
            </w:pPr>
            <w:r>
              <w:rPr>
                <w:rFonts w:ascii="Arial" w:cs="Arial" w:eastAsia="Arial" w:hAnsi="Arial"/>
                <w:sz w:val="18"/>
                <w:szCs w:val="18"/>
                <w:color w:val="auto"/>
              </w:rPr>
              <w:t>74</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86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Dividends to Shareholders</w:t>
      </w:r>
    </w:p>
    <w:p>
      <w:pPr>
        <w:spacing w:after="0" w:line="90" w:lineRule="exact"/>
        <w:rPr>
          <w:sz w:val="20"/>
          <w:szCs w:val="20"/>
          <w:color w:val="auto"/>
        </w:rPr>
      </w:pPr>
    </w:p>
    <w:p>
      <w:pPr>
        <w:ind w:firstLine="729"/>
        <w:spacing w:after="0" w:line="273" w:lineRule="auto"/>
        <w:rPr>
          <w:sz w:val="20"/>
          <w:szCs w:val="20"/>
          <w:color w:val="auto"/>
        </w:rPr>
      </w:pPr>
      <w:r>
        <w:rPr>
          <w:rFonts w:ascii="Arial" w:cs="Arial" w:eastAsia="Arial" w:hAnsi="Arial"/>
          <w:sz w:val="17"/>
          <w:szCs w:val="17"/>
          <w:color w:val="auto"/>
        </w:rPr>
        <w:t>On September 13, 2012, the Company announced that its Board of Directors had authorized the adoption of a quarterly cash dividend policy. Under the cash dividend policy, holders of the Company’s common stock receive dividends when and as declared by the Company’s Board of Directors. In 2015, the Company declared aggregate cash dividends of $1.80 per share of the Company’s common stock, totaling $418 million, of which $302 million was paid during 2015. The Company also paid $94 million of dividends in 2015 related to dividends accrued in 2014. On August 4, 2015, the Company declared a cash dividend of $0.50 per share of its common stock to shareholders of record as of October 2, 2015, which will be paid on October 15, 2015. The Company may modify, suspend or cancel its cash dividend policy in any manner and at any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Pre-tax Income</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domestic and foreign components of income before income taxes were as follows for the three years ended July 3, 2015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Domestic</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Provision</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components of the provision for income taxes were as follows for the three years ended July 3, 2015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Domestic-federal</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Domestic-state</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Domestic-federal</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Domestic-state</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729"/>
        <w:spacing w:after="0" w:line="259" w:lineRule="auto"/>
        <w:rPr>
          <w:sz w:val="20"/>
          <w:szCs w:val="20"/>
          <w:color w:val="auto"/>
        </w:rPr>
      </w:pPr>
      <w:r>
        <w:rPr>
          <w:rFonts w:ascii="Arial" w:cs="Arial" w:eastAsia="Arial" w:hAnsi="Arial"/>
          <w:sz w:val="18"/>
          <w:szCs w:val="18"/>
          <w:color w:val="auto"/>
        </w:rPr>
        <w:t>The Company’s income tax provision for 2015 and 2013 reflects tax benefits of $27 million and $37 million, respectively, as a result of the retroactive extensions of the U.S. Federal research and development tax credit that were signed into law on December 19, 2014 and January 2, 2013. In addition, the Company recorded an $88 million charge to reduce its previously recognized California deferred tax assets in 2013 as a result of the enactment of California Proposition 39.</w:t>
      </w:r>
    </w:p>
    <w:p>
      <w:pPr>
        <w:spacing w:after="0" w:line="133" w:lineRule="exact"/>
        <w:rPr>
          <w:sz w:val="20"/>
          <w:szCs w:val="20"/>
          <w:color w:val="auto"/>
        </w:rPr>
      </w:pPr>
    </w:p>
    <w:p>
      <w:pPr>
        <w:ind w:right="40" w:firstLine="729"/>
        <w:spacing w:after="0" w:line="259" w:lineRule="auto"/>
        <w:rPr>
          <w:sz w:val="20"/>
          <w:szCs w:val="20"/>
          <w:color w:val="auto"/>
        </w:rPr>
      </w:pPr>
      <w:r>
        <w:rPr>
          <w:rFonts w:ascii="Arial" w:cs="Arial" w:eastAsia="Arial" w:hAnsi="Arial"/>
          <w:sz w:val="18"/>
          <w:szCs w:val="18"/>
          <w:color w:val="auto"/>
        </w:rPr>
        <w:t>Remaining net undistributed earnings from foreign subsidiaries at July 3, 2015 on which no U.S. tax has been provided amounted to $9.4 billion. The net undistributed earnings are intended to finance local operating requirements and capital investments. Accordingly, an additional U.S. tax provision has not been made on these earnings. The tax liability for these earnings would be $3.1 billion if the Company repatriated the $9.4 billion in undistributed earnings from the foreign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Taxes</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Temporary differences and carryforwards, which give rise to a significant portion of deferred tax assets and liabilities as of July 3,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27, 2014 were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Sales related reserves and accrued expenses not currently deductible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 not currently deductible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Domestic net operating loss carryforward</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credit carryforward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Long-lived assets</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Long-lived assets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Deferred tax assets, net</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r>
      <w:tr>
        <w:trPr>
          <w:trHeight w:val="67"/>
        </w:trPr>
        <w:tc>
          <w:tcPr>
            <w:tcW w:w="834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assets: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(included in other current assets)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portion (included in other non-current assets)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(included in other current assets)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portion (included in other non-current assets)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assets, net</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729"/>
        <w:spacing w:after="0" w:line="342" w:lineRule="auto"/>
        <w:rPr>
          <w:sz w:val="20"/>
          <w:szCs w:val="20"/>
          <w:color w:val="auto"/>
        </w:rPr>
      </w:pPr>
      <w:r>
        <w:rPr>
          <w:rFonts w:ascii="Arial" w:cs="Arial" w:eastAsia="Arial" w:hAnsi="Arial"/>
          <w:sz w:val="16"/>
          <w:szCs w:val="16"/>
          <w:color w:val="auto"/>
        </w:rPr>
        <w:t>The net deferred tax asset valuation allowance increased by $38 million in 2015 and decreased by $5 million in 2014. The valuation allowance is based on the Company’s assessment that it is more likely than not that certain deferred tax assets will not be realized in the foreseeable future.</w:t>
      </w:r>
    </w:p>
    <w:p>
      <w:pPr>
        <w:spacing w:after="0" w:line="70" w:lineRule="exact"/>
        <w:rPr>
          <w:sz w:val="20"/>
          <w:szCs w:val="20"/>
          <w:color w:val="auto"/>
        </w:rPr>
      </w:pPr>
    </w:p>
    <w:p>
      <w:pPr>
        <w:ind w:right="40" w:firstLine="729"/>
        <w:spacing w:after="0" w:line="286" w:lineRule="auto"/>
        <w:rPr>
          <w:sz w:val="20"/>
          <w:szCs w:val="20"/>
          <w:color w:val="auto"/>
        </w:rPr>
      </w:pPr>
      <w:r>
        <w:rPr>
          <w:rFonts w:ascii="Arial" w:cs="Arial" w:eastAsia="Arial" w:hAnsi="Arial"/>
          <w:sz w:val="17"/>
          <w:szCs w:val="17"/>
          <w:color w:val="auto"/>
        </w:rPr>
        <w:t>In addition to the deferred tax assets presented above, the Company had additional NOL benefits related to stock-based compensation deductions of $90 million and $11 million at July 3, 2015 and June 27, 2014, respectively. During 2015, the Company generated an additional $97 million of benefits related to stock-based compensation deductions, of which $19 million were utilized in 2015 and recorded to shareholders' equity.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Reconciliation of the U.S. Federal statutory rate to the Company’s effective tax rate is as follows for the three years ended July 3, 2015:</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7160"/>
              <w:spacing w:after="0"/>
              <w:rPr>
                <w:sz w:val="20"/>
                <w:szCs w:val="20"/>
                <w:color w:val="auto"/>
              </w:rPr>
            </w:pPr>
            <w:r>
              <w:rPr>
                <w:rFonts w:ascii="Arial" w:cs="Arial" w:eastAsia="Arial" w:hAnsi="Arial"/>
                <w:sz w:val="14"/>
                <w:szCs w:val="14"/>
                <w:b w:val="1"/>
                <w:bCs w:val="1"/>
                <w:color w:val="auto"/>
              </w:rPr>
              <w:t>2015</w:t>
            </w:r>
          </w:p>
        </w:tc>
        <w:tc>
          <w:tcPr>
            <w:tcW w:w="1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Tax rate differential on international income</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(19)</w:t>
            </w:r>
          </w:p>
        </w:tc>
      </w:tr>
      <w:tr>
        <w:trPr>
          <w:trHeight w:val="27"/>
        </w:trPr>
        <w:tc>
          <w:tcPr>
            <w:tcW w:w="6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U.S. permanent differences</w:t>
            </w:r>
          </w:p>
        </w:tc>
        <w:tc>
          <w:tcPr>
            <w:tcW w:w="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State income tax, net of federal tax</w:t>
            </w:r>
          </w:p>
        </w:tc>
        <w:tc>
          <w:tcPr>
            <w:tcW w:w="16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7"/>
        </w:trPr>
        <w:tc>
          <w:tcPr>
            <w:tcW w:w="6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credits</w:t>
            </w:r>
          </w:p>
        </w:tc>
        <w:tc>
          <w:tcPr>
            <w:tcW w:w="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Holidays and Carryforwards</w:t>
      </w:r>
    </w:p>
    <w:p>
      <w:pPr>
        <w:spacing w:after="0" w:line="90" w:lineRule="exact"/>
        <w:rPr>
          <w:sz w:val="20"/>
          <w:szCs w:val="20"/>
          <w:color w:val="auto"/>
        </w:rPr>
      </w:pPr>
    </w:p>
    <w:p>
      <w:pPr>
        <w:jc w:val="both"/>
        <w:ind w:right="100" w:firstLine="729"/>
        <w:spacing w:after="0" w:line="302" w:lineRule="auto"/>
        <w:rPr>
          <w:sz w:val="20"/>
          <w:szCs w:val="20"/>
          <w:color w:val="auto"/>
        </w:rPr>
      </w:pPr>
      <w:r>
        <w:rPr>
          <w:rFonts w:ascii="Arial" w:cs="Arial" w:eastAsia="Arial" w:hAnsi="Arial"/>
          <w:sz w:val="16"/>
          <w:szCs w:val="16"/>
          <w:color w:val="auto"/>
        </w:rPr>
        <w:t>A substantial portion of the Company’s manufacturing operations in Malaysia, the Philippines, Singapore and Thailand operate under various tax holidays and tax incentive programs which will expire in whole or in part at various dates from 2016 through 2025. Certain of the holidays may be extended if specific conditions are met. The net impact of these tax holidays and tax incentives was to increase the Company’s net earnings by $641 million ($2.70 per diluted share), $905 million ($3.74 per diluted share), and $899 million ($3.65 per diluted share) in 2015, 2014 and 2013, respectively.</w:t>
      </w:r>
    </w:p>
    <w:p>
      <w:pPr>
        <w:spacing w:after="0" w:line="100" w:lineRule="exact"/>
        <w:rPr>
          <w:sz w:val="20"/>
          <w:szCs w:val="20"/>
          <w:color w:val="auto"/>
        </w:rPr>
      </w:pPr>
    </w:p>
    <w:p>
      <w:pPr>
        <w:ind w:firstLine="729"/>
        <w:spacing w:after="0" w:line="254" w:lineRule="auto"/>
        <w:rPr>
          <w:sz w:val="20"/>
          <w:szCs w:val="20"/>
          <w:color w:val="auto"/>
        </w:rPr>
      </w:pPr>
      <w:r>
        <w:rPr>
          <w:rFonts w:ascii="Arial" w:cs="Arial" w:eastAsia="Arial" w:hAnsi="Arial"/>
          <w:sz w:val="18"/>
          <w:szCs w:val="18"/>
          <w:color w:val="auto"/>
        </w:rPr>
        <w:t>As of July 3, 2015, the Company had federal and state NOL carryforwards of $515 million and $422 million, respectively. In addition, as of July 3, 2015, the Company had various federal and state tax credit carryforwards of $417 million combined. The NOL carryforwards available to offset future federal and state taxable income expire at various dates from 2021 to 2035 and 2020 to 2035, respectively. Approximately $100 million of the credit carryforwards available to offset future taxable income expire at various dates from 2017 to 2035. The remaining amount is available indefinitely. NOLs and credits relating to Komag, Incorporated (“Komag”), HGST, sTec, Virident and Amplidata are subject to limitations under Sections 382 and 383 of the Internal Revenue Code. The Company does not expect these limitations to result in a reduction in the total amount of Komag, sTec, Virident or Amplidata's NOLs and credits ultimately realized. The Company expects the total amount of HGST’s NOLs and credits ultimately realized will be reduced by $39 million and $25 million, respectively.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100" w:firstLine="729"/>
        <w:spacing w:after="0" w:line="259"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Company’s balance sheet. Interest and penalties related to unrecognized tax benefits are recognized in liabilities recorded for uncertain tax positions and are recorded in the provision for income taxes. As of July 3, 2015, such interest and penalties were not material. As of July 3, 2015, the Company had $350 million of unrecognized tax benefits.</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is a tabular reconciliation of the total amounts of unrecognized tax benefits for the years ended July 3, 2015, June 27,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28, 2013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beginning of period</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 related to current year tax positions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 related to prior year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decreases related to prior year tax positions</w:t>
            </w:r>
          </w:p>
        </w:tc>
        <w:tc>
          <w:tcPr>
            <w:tcW w:w="10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Lapse of statute of limitations</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 at end of period</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w:t>
            </w:r>
          </w:p>
        </w:tc>
      </w:tr>
      <w:tr>
        <w:trPr>
          <w:trHeight w:val="27"/>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729"/>
        <w:spacing w:after="0" w:line="264" w:lineRule="auto"/>
        <w:rPr>
          <w:sz w:val="20"/>
          <w:szCs w:val="20"/>
          <w:color w:val="auto"/>
        </w:rPr>
      </w:pPr>
      <w:r>
        <w:rPr>
          <w:rFonts w:ascii="Arial" w:cs="Arial" w:eastAsia="Arial" w:hAnsi="Arial"/>
          <w:sz w:val="18"/>
          <w:szCs w:val="18"/>
          <w:color w:val="auto"/>
        </w:rPr>
        <w:t>The Company’s unrecognized tax benefits are primarily included within long-term liabilities in the Company’s consolidated balance sheets. The entire balance of unrecognized tax benefits at July 3, 2015, June 27, 2014 and June 28, 2013, if recognized, would affect the effective tax rate, subject to certain future valuation allowance reversals.</w:t>
      </w:r>
    </w:p>
    <w:p>
      <w:pPr>
        <w:spacing w:after="0" w:line="127" w:lineRule="exact"/>
        <w:rPr>
          <w:sz w:val="20"/>
          <w:szCs w:val="20"/>
          <w:color w:val="auto"/>
        </w:rPr>
      </w:pPr>
    </w:p>
    <w:p>
      <w:pPr>
        <w:ind w:right="120" w:firstLine="729"/>
        <w:spacing w:after="0" w:line="302" w:lineRule="auto"/>
        <w:rPr>
          <w:sz w:val="20"/>
          <w:szCs w:val="20"/>
          <w:color w:val="auto"/>
        </w:rPr>
      </w:pPr>
      <w:r>
        <w:rPr>
          <w:rFonts w:ascii="Arial" w:cs="Arial" w:eastAsia="Arial" w:hAnsi="Arial"/>
          <w:sz w:val="16"/>
          <w:szCs w:val="16"/>
          <w:color w:val="auto"/>
        </w:rPr>
        <w:t>The Company files U.S. Federal, U.S. state, and foreign tax returns. For both federal and state tax returns, with few exceptions, the Company is subject to examination for fiscal years 2008 through 2014. In foreign jurisdictions, with few exceptions, the Company is subject to examination for all years subsequent to fiscal 2008. The Company is no longer subject to examination by the IRS for periods prior to 2008, although carry forwards generated prior to those periods may still be adjusted upon examination by the IRS or state taxing authority if they either have been or will be used in a subsequent period.</w:t>
      </w:r>
    </w:p>
    <w:p>
      <w:pPr>
        <w:spacing w:after="0" w:line="100" w:lineRule="exact"/>
        <w:rPr>
          <w:sz w:val="20"/>
          <w:szCs w:val="20"/>
          <w:color w:val="auto"/>
        </w:rPr>
      </w:pPr>
    </w:p>
    <w:p>
      <w:pPr>
        <w:ind w:firstLine="729"/>
        <w:spacing w:after="0" w:line="271" w:lineRule="auto"/>
        <w:rPr>
          <w:sz w:val="20"/>
          <w:szCs w:val="20"/>
          <w:color w:val="auto"/>
        </w:rPr>
      </w:pPr>
      <w:r>
        <w:rPr>
          <w:rFonts w:ascii="Arial" w:cs="Arial" w:eastAsia="Arial" w:hAnsi="Arial"/>
          <w:sz w:val="17"/>
          <w:szCs w:val="17"/>
          <w:color w:val="auto"/>
        </w:rPr>
        <w:t>The IRS previously completed its field examination of the Company's federal income tax returns for fiscal years 2006 and 2007, and the Company and the IRS reached agreement with respect to all matters except on the proposed adjustments to income before income taxes relating to intercompany payable balances. The proposed adjustments relating to intercompany payable balances for fiscal years 2006 and 2007 are addressed in conjunction with the IRS’s examination of the Company's fiscal years 2008 and 2009, which commenced in January 2012. The Company received a Notice of Proposed Adjustment ("NOPA") from the IRS for fiscal year 2009 relating to intercompany payable balances and two NOPAs from the IRS for fiscal years 2008 and 2009 relating to transfer pricing with the Company's foreign subsidiaries. The NOPAs relating to intercompany payable balances and transfer pricing with the Company's foreign subsidiaries propose to increase the Company's U.S. taxable income which would result in additional federal tax expense of approximately $72 million and $723 million,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interest. The Company disagrees with the proposed adjustments, believes that the tax positions are properly supported and will vigorously contest the position taken by the IRS. In January 2012, the IRS commenced an examination of the 2007 fiscal period ended September 5, 2007 of Komag, which the Company acquired on September 5, 2007. The IRS examined calendar years 2010 and 2011 of HGST, which was acquired by the Company on March 8, 2012, and completed the examination with no material adjustments.</w:t>
      </w:r>
    </w:p>
    <w:p>
      <w:pPr>
        <w:spacing w:after="0" w:line="133" w:lineRule="exact"/>
        <w:rPr>
          <w:sz w:val="20"/>
          <w:szCs w:val="20"/>
          <w:color w:val="auto"/>
        </w:rPr>
      </w:pPr>
    </w:p>
    <w:p>
      <w:pPr>
        <w:ind w:firstLine="729"/>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July 3, 2015,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94" w:lineRule="exact"/>
        <w:rPr>
          <w:sz w:val="20"/>
          <w:szCs w:val="20"/>
          <w:color w:val="auto"/>
        </w:rPr>
      </w:pPr>
    </w:p>
    <w:p>
      <w:pPr>
        <w:ind w:right="500" w:firstLine="729"/>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ind w:right="100" w:firstLine="729"/>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171" w:lineRule="exact"/>
        <w:rPr>
          <w:sz w:val="20"/>
          <w:szCs w:val="20"/>
          <w:color w:val="auto"/>
        </w:rPr>
      </w:pPr>
    </w:p>
    <w:p>
      <w:pPr>
        <w:ind w:right="120" w:firstLine="729"/>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that are measured at fair value on a recurring basis as of July 3, 2015, and indicates the fair value hierarchy of the valuation techniques utilized to determine such value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Reporting Date Using</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cash equivalents</w:t>
            </w: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725</w:t>
            </w:r>
          </w:p>
        </w:tc>
      </w:tr>
      <w:tr>
        <w:trPr>
          <w:trHeight w:val="67"/>
        </w:trPr>
        <w:tc>
          <w:tcPr>
            <w:tcW w:w="51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at fair value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120" w:firstLine="729"/>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that are measured at fair value on a recurring basis as of June 27, 2014, and indicates the fair value hierarchy of the valuation techniques utilized to determine such value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Reporting Date Using</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Bank acceptances</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0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w:t>
            </w:r>
          </w:p>
        </w:tc>
      </w:tr>
      <w:tr>
        <w:trPr>
          <w:trHeight w:val="67"/>
        </w:trPr>
        <w:tc>
          <w:tcPr>
            <w:tcW w:w="51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at fair value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729"/>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are valued based on quoted market prices.</w:t>
      </w:r>
    </w:p>
    <w:p>
      <w:pPr>
        <w:spacing w:after="0" w:line="116" w:lineRule="exact"/>
        <w:rPr>
          <w:sz w:val="20"/>
          <w:szCs w:val="20"/>
          <w:color w:val="auto"/>
        </w:rPr>
      </w:pPr>
    </w:p>
    <w:p>
      <w:pPr>
        <w:ind w:right="80" w:firstLine="729"/>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116" w:lineRule="exact"/>
        <w:rPr>
          <w:sz w:val="20"/>
          <w:szCs w:val="20"/>
          <w:color w:val="auto"/>
        </w:rPr>
      </w:pPr>
    </w:p>
    <w:p>
      <w:pPr>
        <w:ind w:right="120" w:firstLine="729"/>
        <w:spacing w:after="0" w:line="264"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The Company’s commercial paper securities are investments issued by corporations which are held in custody by a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securities are valued using a market approach which is based on observable inputs including market interest rates from multiple pricing sources.</w:t>
      </w:r>
    </w:p>
    <w:p>
      <w:pPr>
        <w:spacing w:after="0" w:line="127" w:lineRule="exact"/>
        <w:rPr>
          <w:sz w:val="20"/>
          <w:szCs w:val="20"/>
          <w:color w:val="auto"/>
        </w:rPr>
      </w:pPr>
    </w:p>
    <w:p>
      <w:pPr>
        <w:ind w:right="220" w:firstLine="729"/>
        <w:spacing w:after="0" w:line="264" w:lineRule="auto"/>
        <w:rPr>
          <w:sz w:val="20"/>
          <w:szCs w:val="20"/>
          <w:color w:val="auto"/>
        </w:rPr>
      </w:pPr>
      <w:r>
        <w:rPr>
          <w:rFonts w:ascii="Arial" w:cs="Arial" w:eastAsia="Arial" w:hAnsi="Arial"/>
          <w:sz w:val="18"/>
          <w:szCs w:val="18"/>
          <w:i w:val="1"/>
          <w:iCs w:val="1"/>
          <w:color w:val="auto"/>
        </w:rPr>
        <w:t xml:space="preserve">U.S. Government Agency Securities. </w:t>
      </w:r>
      <w:r>
        <w:rPr>
          <w:rFonts w:ascii="Arial" w:cs="Arial" w:eastAsia="Arial" w:hAnsi="Arial"/>
          <w:sz w:val="18"/>
          <w:szCs w:val="18"/>
          <w:color w:val="auto"/>
        </w:rPr>
        <w:t>The Company’s U.S. Government agency securities are investments in fixed income securities sponsored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U.S. Government and are held in custody by a third party. U.S. Government agency securities are valued using a market approach which is based on observable inputs including market interest rates from multiple pricing sources.</w:t>
      </w:r>
    </w:p>
    <w:p>
      <w:pPr>
        <w:spacing w:after="0" w:line="127" w:lineRule="exact"/>
        <w:rPr>
          <w:sz w:val="20"/>
          <w:szCs w:val="20"/>
          <w:color w:val="auto"/>
        </w:rPr>
      </w:pPr>
    </w:p>
    <w:p>
      <w:pPr>
        <w:ind w:right="40" w:firstLine="729"/>
        <w:spacing w:after="0" w:line="264" w:lineRule="auto"/>
        <w:rPr>
          <w:sz w:val="20"/>
          <w:szCs w:val="20"/>
          <w:color w:val="auto"/>
        </w:rPr>
      </w:pPr>
      <w:r>
        <w:rPr>
          <w:rFonts w:ascii="Arial" w:cs="Arial" w:eastAsia="Arial" w:hAnsi="Arial"/>
          <w:sz w:val="18"/>
          <w:szCs w:val="18"/>
          <w:i w:val="1"/>
          <w:iCs w:val="1"/>
          <w:color w:val="auto"/>
        </w:rPr>
        <w:t xml:space="preserve">U.S. Treasury Securities. </w:t>
      </w:r>
      <w:r>
        <w:rPr>
          <w:rFonts w:ascii="Arial" w:cs="Arial" w:eastAsia="Arial" w:hAnsi="Arial"/>
          <w:sz w:val="18"/>
          <w:szCs w:val="18"/>
          <w:color w:val="auto"/>
        </w:rPr>
        <w:t>The Company’s U.S. Treasury securities are direct obligations of the U.S. federal government and are held in custody by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U.S. Treasury securities are valued using a market approach which is based on observable inputs including market interest rates from multiple pricing sources.</w:t>
      </w:r>
    </w:p>
    <w:p>
      <w:pPr>
        <w:spacing w:after="0" w:line="127" w:lineRule="exact"/>
        <w:rPr>
          <w:sz w:val="20"/>
          <w:szCs w:val="20"/>
          <w:color w:val="auto"/>
        </w:rPr>
      </w:pPr>
    </w:p>
    <w:p>
      <w:pPr>
        <w:ind w:right="320" w:firstLine="729"/>
        <w:spacing w:after="0" w:line="277" w:lineRule="auto"/>
        <w:rPr>
          <w:sz w:val="20"/>
          <w:szCs w:val="20"/>
          <w:color w:val="auto"/>
        </w:rPr>
      </w:pPr>
      <w:r>
        <w:rPr>
          <w:rFonts w:ascii="Arial" w:cs="Arial" w:eastAsia="Arial" w:hAnsi="Arial"/>
          <w:sz w:val="18"/>
          <w:szCs w:val="18"/>
          <w:i w:val="1"/>
          <w:iCs w:val="1"/>
          <w:color w:val="auto"/>
        </w:rPr>
        <w:t xml:space="preserve">Bank Acceptances. </w:t>
      </w:r>
      <w:r>
        <w:rPr>
          <w:rFonts w:ascii="Arial" w:cs="Arial" w:eastAsia="Arial" w:hAnsi="Arial"/>
          <w:sz w:val="18"/>
          <w:szCs w:val="18"/>
          <w:color w:val="auto"/>
        </w:rPr>
        <w:t>The Company’s bank acceptances are held in custody by a third party. Bank acceptances are valued using a market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based on observable inputs including market interest rates from multiple pricing sources.</w:t>
      </w:r>
    </w:p>
    <w:p>
      <w:pPr>
        <w:spacing w:after="0" w:line="116" w:lineRule="exact"/>
        <w:rPr>
          <w:sz w:val="20"/>
          <w:szCs w:val="20"/>
          <w:color w:val="auto"/>
        </w:rPr>
      </w:pPr>
    </w:p>
    <w:p>
      <w:pPr>
        <w:ind w:right="100" w:firstLine="729"/>
        <w:spacing w:after="0" w:line="302" w:lineRule="auto"/>
        <w:rPr>
          <w:sz w:val="20"/>
          <w:szCs w:val="20"/>
          <w:color w:val="auto"/>
        </w:rPr>
      </w:pPr>
      <w:r>
        <w:rPr>
          <w:rFonts w:ascii="Arial" w:cs="Arial" w:eastAsia="Arial" w:hAnsi="Arial"/>
          <w:sz w:val="16"/>
          <w:szCs w:val="16"/>
          <w:i w:val="1"/>
          <w:iCs w:val="1"/>
          <w:color w:val="auto"/>
        </w:rPr>
        <w:t xml:space="preserve">Foreign Exchange Contracts. </w:t>
      </w:r>
      <w:r>
        <w:rPr>
          <w:rFonts w:ascii="Arial" w:cs="Arial" w:eastAsia="Arial" w:hAnsi="Arial"/>
          <w:sz w:val="16"/>
          <w:szCs w:val="16"/>
          <w:color w:val="auto"/>
        </w:rPr>
        <w:t>The Company’s foreign exchange contracts are short-term contracts to hedge the Company’s foreign currency risk.</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exchange contracts are classified within other current assets and liabilities in the consolidated balance sheets. For contracts that have a right of offset by its individual counterparties under master netting arrangements, the Company presents its foreign exchange contracts on a net basis by counterparty in the consolidated balance sheets. Foreign exchange contracts are valued using an income approach that is based on a present value of future cash flows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model. The market-based observable inputs for the model include forward rates and credit default swap rates. For more information on the Company's foreign exchange contracts, see Note 12 below.</w:t>
      </w:r>
    </w:p>
    <w:p>
      <w:pPr>
        <w:spacing w:after="0" w:line="89" w:lineRule="exact"/>
        <w:rPr>
          <w:sz w:val="20"/>
          <w:szCs w:val="20"/>
          <w:color w:val="auto"/>
        </w:rPr>
      </w:pPr>
    </w:p>
    <w:p>
      <w:pPr>
        <w:ind w:right="80" w:firstLine="729"/>
        <w:spacing w:after="0" w:line="264" w:lineRule="auto"/>
        <w:rPr>
          <w:sz w:val="20"/>
          <w:szCs w:val="20"/>
          <w:color w:val="auto"/>
        </w:rPr>
      </w:pPr>
      <w:r>
        <w:rPr>
          <w:rFonts w:ascii="Arial" w:cs="Arial" w:eastAsia="Arial" w:hAnsi="Arial"/>
          <w:sz w:val="18"/>
          <w:szCs w:val="18"/>
          <w:color w:val="auto"/>
        </w:rPr>
        <w:t>In 2015 and 2014, there were no transfers between levels. In 2014 the Company sold its auction rate securities, which were Level 3 financial assets measured on a recurring basis, for total proceeds of $17 million and recorded a gain of $3 million within interest and other income in the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Investments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by major type, the fair value and cost basis of the Company’s investments classified as available-for-sale as of July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420" w:type="dxa"/>
            <w:vAlign w:val="bottom"/>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 (Losses)</w:t>
            </w:r>
          </w:p>
        </w:tc>
        <w:tc>
          <w:tcPr>
            <w:tcW w:w="24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420" w:type="dxa"/>
            <w:vAlign w:val="bottom"/>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287</w:t>
            </w:r>
          </w:p>
        </w:tc>
      </w:tr>
      <w:tr>
        <w:trPr>
          <w:trHeight w:val="27"/>
        </w:trPr>
        <w:tc>
          <w:tcPr>
            <w:tcW w:w="5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109</w:t>
            </w:r>
          </w:p>
        </w:tc>
      </w:tr>
      <w:tr>
        <w:trPr>
          <w:trHeight w:val="27"/>
        </w:trPr>
        <w:tc>
          <w:tcPr>
            <w:tcW w:w="5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590</w:t>
            </w:r>
          </w:p>
        </w:tc>
      </w:tr>
      <w:tr>
        <w:trPr>
          <w:trHeight w:val="20"/>
        </w:trPr>
        <w:tc>
          <w:tcPr>
            <w:tcW w:w="5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by major type, the fair value and cost basis of the Company’s investments classified as available-for-sale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27, 2014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420" w:type="dxa"/>
            <w:vAlign w:val="bottom"/>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 (Losses)</w:t>
            </w:r>
          </w:p>
        </w:tc>
        <w:tc>
          <w:tcPr>
            <w:tcW w:w="24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420" w:type="dxa"/>
            <w:vAlign w:val="bottom"/>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180</w:t>
            </w:r>
          </w:p>
        </w:tc>
      </w:tr>
      <w:tr>
        <w:trPr>
          <w:trHeight w:val="27"/>
        </w:trPr>
        <w:tc>
          <w:tcPr>
            <w:tcW w:w="5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1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165</w:t>
            </w:r>
          </w:p>
        </w:tc>
      </w:tr>
      <w:tr>
        <w:trPr>
          <w:trHeight w:val="27"/>
        </w:trPr>
        <w:tc>
          <w:tcPr>
            <w:tcW w:w="5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12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499</w:t>
            </w:r>
          </w:p>
        </w:tc>
      </w:tr>
      <w:tr>
        <w:trPr>
          <w:trHeight w:val="20"/>
        </w:trPr>
        <w:tc>
          <w:tcPr>
            <w:tcW w:w="5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at July 3, 2015, by remaining contractual maturity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Cost Basis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 (short-term investments)</w:t>
            </w:r>
          </w:p>
        </w:tc>
        <w:tc>
          <w:tcPr>
            <w:tcW w:w="144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Due in one to five years (included in other non-current assets)</w:t>
            </w:r>
          </w:p>
        </w:tc>
        <w:tc>
          <w:tcPr>
            <w:tcW w:w="14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328</w:t>
            </w:r>
          </w:p>
        </w:tc>
      </w:tr>
      <w:tr>
        <w:trPr>
          <w:trHeight w:val="27"/>
        </w:trPr>
        <w:tc>
          <w:tcPr>
            <w:tcW w:w="7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ind w:right="12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590</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determined no available-for-sale securities were other-than-temporarily impaired in 2015 or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Foreign Exchange Contracts</w:t>
      </w:r>
    </w:p>
    <w:p>
      <w:pPr>
        <w:spacing w:after="0" w:line="94" w:lineRule="exact"/>
        <w:rPr>
          <w:sz w:val="20"/>
          <w:szCs w:val="20"/>
          <w:color w:val="auto"/>
        </w:rPr>
      </w:pPr>
    </w:p>
    <w:p>
      <w:pPr>
        <w:ind w:right="60" w:firstLine="729"/>
        <w:spacing w:after="0" w:line="257" w:lineRule="auto"/>
        <w:rPr>
          <w:sz w:val="20"/>
          <w:szCs w:val="20"/>
          <w:color w:val="auto"/>
        </w:rPr>
      </w:pPr>
      <w:r>
        <w:rPr>
          <w:rFonts w:ascii="Arial" w:cs="Arial" w:eastAsia="Arial" w:hAnsi="Arial"/>
          <w:sz w:val="18"/>
          <w:szCs w:val="18"/>
          <w:color w:val="auto"/>
        </w:rPr>
        <w:t>As of July 3, 2015, the net amount of unrealized losses with respect to the Company’s foreign exchange contracts that is expected to be reclassified into earnings within the next 12 months was $26 million. In addition, as of July 3, 2015, the Company did not have any foreign exchange contracts with credit-risk-related contingent features. The Company opened $4.6 billion and $4.5 billion, and closed $4.8 billion and $4.9 billion, in foreign exchange contracts for the years ended July 3, 2015 and June 27, 2014, respectively. The fair value and balance sheet location of such contracts were as follows (in millions):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2014</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w:t>
            </w: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8"/>
        </w:trPr>
        <w:tc>
          <w:tcPr>
            <w:tcW w:w="20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Hedging Instruments</w:t>
            </w:r>
          </w:p>
        </w:tc>
        <w:tc>
          <w:tcPr>
            <w:tcW w:w="13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tcPr>
          <w:p>
            <w:pPr>
              <w:jc w:val="center"/>
              <w:ind w:left="99"/>
              <w:spacing w:after="0" w:line="158" w:lineRule="exact"/>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Other current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Accrued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99"/>
              <w:spacing w:after="0"/>
              <w:rPr>
                <w:sz w:val="20"/>
                <w:szCs w:val="20"/>
                <w:color w:val="auto"/>
              </w:rPr>
            </w:pPr>
            <w:r>
              <w:rPr>
                <w:rFonts w:ascii="Arial" w:cs="Arial" w:eastAsia="Arial" w:hAnsi="Arial"/>
                <w:sz w:val="18"/>
                <w:szCs w:val="18"/>
                <w:color w:val="auto"/>
                <w:w w:val="90"/>
              </w:rPr>
              <w:t>Accrued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0"/>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99"/>
              <w:spacing w:after="0"/>
              <w:rPr>
                <w:sz w:val="20"/>
                <w:szCs w:val="20"/>
                <w:color w:val="auto"/>
              </w:rPr>
            </w:pPr>
            <w:r>
              <w:rPr>
                <w:rFonts w:ascii="Arial" w:cs="Arial" w:eastAsia="Arial" w:hAnsi="Arial"/>
                <w:sz w:val="18"/>
                <w:szCs w:val="18"/>
                <w:color w:val="auto"/>
                <w:w w:val="83"/>
              </w:rPr>
              <w:t>expenses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various counterparties, and the net amounts recognized in the consolidated balance sheet as of July 3, 2015 (in millions):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 in the Balance</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Sheet</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of</w:t>
            </w:r>
          </w:p>
        </w:tc>
        <w:tc>
          <w:tcPr>
            <w:tcW w:w="140" w:type="dxa"/>
            <w:vAlign w:val="bottom"/>
          </w:tcPr>
          <w:p>
            <w:pPr>
              <w:spacing w:after="0"/>
              <w:rPr>
                <w:sz w:val="8"/>
                <w:szCs w:val="8"/>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Net Amounts of Assets</w:t>
            </w: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58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(Liabilities) Presented</w:t>
            </w:r>
          </w:p>
        </w:tc>
        <w:tc>
          <w:tcPr>
            <w:tcW w:w="140" w:type="dxa"/>
            <w:vAlign w:val="bottom"/>
          </w:tcPr>
          <w:p>
            <w:pPr>
              <w:spacing w:after="0"/>
              <w:rPr>
                <w:sz w:val="7"/>
                <w:szCs w:val="7"/>
                <w:color w:val="auto"/>
              </w:rPr>
            </w:pPr>
          </w:p>
        </w:tc>
        <w:tc>
          <w:tcPr>
            <w:tcW w:w="1100" w:type="dxa"/>
            <w:vAlign w:val="bottom"/>
            <w:vMerge w:val="restart"/>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1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20" w:type="dxa"/>
            <w:vAlign w:val="bottom"/>
          </w:tcPr>
          <w:p>
            <w:pPr>
              <w:spacing w:after="0"/>
              <w:rPr>
                <w:sz w:val="5"/>
                <w:szCs w:val="5"/>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5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Cash Collateral</w:t>
            </w: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 the Balance Sheet</w:t>
            </w:r>
          </w:p>
        </w:tc>
        <w:tc>
          <w:tcPr>
            <w:tcW w:w="140" w:type="dxa"/>
            <w:vAlign w:val="bottom"/>
          </w:tcPr>
          <w:p>
            <w:pPr>
              <w:spacing w:after="0"/>
              <w:rPr>
                <w:sz w:val="7"/>
                <w:szCs w:val="7"/>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Pr>
          <w:p>
            <w:pPr>
              <w:spacing w:after="0"/>
              <w:rPr>
                <w:sz w:val="9"/>
                <w:szCs w:val="9"/>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(Liabilities)</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5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Received or Pledged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87"/>
        </w:trPr>
        <w:tc>
          <w:tcPr>
            <w:tcW w:w="3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derivative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various counterparties, and the net amounts recognized in the consolidated balance sheet as of June 27, 2014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 in the Balance</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Sheet</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of</w:t>
            </w:r>
          </w:p>
        </w:tc>
        <w:tc>
          <w:tcPr>
            <w:tcW w:w="140" w:type="dxa"/>
            <w:vAlign w:val="bottom"/>
          </w:tcPr>
          <w:p>
            <w:pPr>
              <w:spacing w:after="0"/>
              <w:rPr>
                <w:sz w:val="8"/>
                <w:szCs w:val="8"/>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Net Amounts of Assets</w:t>
            </w: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58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(Liabilities) Presented</w:t>
            </w:r>
          </w:p>
        </w:tc>
        <w:tc>
          <w:tcPr>
            <w:tcW w:w="140" w:type="dxa"/>
            <w:vAlign w:val="bottom"/>
          </w:tcPr>
          <w:p>
            <w:pPr>
              <w:spacing w:after="0"/>
              <w:rPr>
                <w:sz w:val="7"/>
                <w:szCs w:val="7"/>
                <w:color w:val="auto"/>
              </w:rPr>
            </w:pPr>
          </w:p>
        </w:tc>
        <w:tc>
          <w:tcPr>
            <w:tcW w:w="1100" w:type="dxa"/>
            <w:vAlign w:val="bottom"/>
            <w:vMerge w:val="restart"/>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1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20" w:type="dxa"/>
            <w:vAlign w:val="bottom"/>
          </w:tcPr>
          <w:p>
            <w:pPr>
              <w:spacing w:after="0"/>
              <w:rPr>
                <w:sz w:val="5"/>
                <w:szCs w:val="5"/>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5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Cash Collateral</w:t>
            </w: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 the Balance Sheet</w:t>
            </w:r>
          </w:p>
        </w:tc>
        <w:tc>
          <w:tcPr>
            <w:tcW w:w="140" w:type="dxa"/>
            <w:vAlign w:val="bottom"/>
          </w:tcPr>
          <w:p>
            <w:pPr>
              <w:spacing w:after="0"/>
              <w:rPr>
                <w:sz w:val="7"/>
                <w:szCs w:val="7"/>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Pr>
          <w:p>
            <w:pPr>
              <w:spacing w:after="0"/>
              <w:rPr>
                <w:sz w:val="9"/>
                <w:szCs w:val="9"/>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(Liabilities)</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5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Received or Pledged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87"/>
        </w:trPr>
        <w:tc>
          <w:tcPr>
            <w:tcW w:w="3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20"/>
              <w:spacing w:after="0"/>
              <w:rPr>
                <w:sz w:val="20"/>
                <w:szCs w:val="20"/>
                <w:color w:val="auto"/>
              </w:rPr>
            </w:pPr>
            <w:r>
              <w:rPr>
                <w:rFonts w:ascii="Arial" w:cs="Arial" w:eastAsia="Arial" w:hAnsi="Arial"/>
                <w:sz w:val="16"/>
                <w:szCs w:val="16"/>
                <w:color w:val="auto"/>
              </w:rPr>
              <w:t>Financial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100" w:type="dxa"/>
            <w:vAlign w:val="bottom"/>
          </w:tcPr>
          <w:p>
            <w:pPr>
              <w:ind w:left="200"/>
              <w:spacing w:after="0"/>
              <w:rPr>
                <w:sz w:val="20"/>
                <w:szCs w:val="20"/>
                <w:color w:val="auto"/>
              </w:rPr>
            </w:pPr>
            <w:r>
              <w:rPr>
                <w:rFonts w:ascii="Arial" w:cs="Arial" w:eastAsia="Arial" w:hAnsi="Arial"/>
                <w:sz w:val="16"/>
                <w:szCs w:val="16"/>
                <w:color w:val="auto"/>
              </w:rPr>
              <w:t>Total derivative instruments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on the consolidated financial statements was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w w:val="95"/>
              </w:rPr>
              <w:t>Amount of Gain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1800" w:type="dxa"/>
            <w:vAlign w:val="bottom"/>
            <w:gridSpan w:val="4"/>
          </w:tcPr>
          <w:p>
            <w:pPr>
              <w:jc w:val="center"/>
              <w:ind w:left="304"/>
              <w:spacing w:after="0"/>
              <w:rPr>
                <w:sz w:val="20"/>
                <w:szCs w:val="20"/>
                <w:color w:val="auto"/>
              </w:rPr>
            </w:pPr>
            <w:r>
              <w:rPr>
                <w:rFonts w:ascii="Arial" w:cs="Arial" w:eastAsia="Arial" w:hAnsi="Arial"/>
                <w:sz w:val="14"/>
                <w:szCs w:val="14"/>
                <w:b w:val="1"/>
                <w:bCs w:val="1"/>
                <w:color w:val="auto"/>
                <w:w w:val="94"/>
              </w:rPr>
              <w:t>Amount of Gain (Loss)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3"/>
          </w:tcPr>
          <w:p>
            <w:pPr>
              <w:jc w:val="center"/>
              <w:ind w:right="399"/>
              <w:spacing w:after="0" w:line="149" w:lineRule="exact"/>
              <w:rPr>
                <w:sz w:val="20"/>
                <w:szCs w:val="20"/>
                <w:color w:val="auto"/>
              </w:rPr>
            </w:pPr>
            <w:r>
              <w:rPr>
                <w:rFonts w:ascii="Arial" w:cs="Arial" w:eastAsia="Arial" w:hAnsi="Arial"/>
                <w:sz w:val="14"/>
                <w:szCs w:val="14"/>
                <w:b w:val="1"/>
                <w:bCs w:val="1"/>
                <w:color w:val="auto"/>
                <w:w w:val="90"/>
              </w:rPr>
              <w:t>(Loss)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3"/>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3"/>
          </w:tcPr>
          <w:p>
            <w:pPr>
              <w:jc w:val="center"/>
              <w:ind w:right="39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660" w:type="dxa"/>
            <w:vAlign w:val="bottom"/>
          </w:tcPr>
          <w:p>
            <w:pPr>
              <w:spacing w:after="0"/>
              <w:rPr>
                <w:sz w:val="12"/>
                <w:szCs w:val="12"/>
                <w:color w:val="auto"/>
              </w:rPr>
            </w:pPr>
          </w:p>
        </w:tc>
        <w:tc>
          <w:tcPr>
            <w:tcW w:w="1140" w:type="dxa"/>
            <w:vAlign w:val="bottom"/>
            <w:gridSpan w:val="3"/>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from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3"/>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2"/>
                <w:szCs w:val="12"/>
                <w:color w:val="auto"/>
              </w:rPr>
            </w:pPr>
          </w:p>
        </w:tc>
        <w:tc>
          <w:tcPr>
            <w:tcW w:w="1140" w:type="dxa"/>
            <w:vAlign w:val="bottom"/>
            <w:gridSpan w:val="3"/>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4"/>
          </w:tcPr>
          <w:p>
            <w:pPr>
              <w:jc w:val="center"/>
              <w:ind w:left="342"/>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Other Comprehensive Income into</w:t>
            </w:r>
          </w:p>
        </w:tc>
        <w:tc>
          <w:tcPr>
            <w:tcW w:w="2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Other Comprehensive Income into</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w w:val="91"/>
              </w:rPr>
              <w:t>on Derivatives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660" w:type="dxa"/>
            <w:vAlign w:val="bottom"/>
          </w:tcPr>
          <w:p>
            <w:pPr>
              <w:spacing w:after="0"/>
              <w:rPr>
                <w:sz w:val="16"/>
                <w:szCs w:val="16"/>
                <w:color w:val="auto"/>
              </w:rPr>
            </w:pPr>
          </w:p>
        </w:tc>
        <w:tc>
          <w:tcPr>
            <w:tcW w:w="114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30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13   Cost of revenue</w:t>
            </w:r>
          </w:p>
        </w:tc>
        <w:tc>
          <w:tcPr>
            <w:tcW w:w="66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729"/>
        <w:spacing w:after="0" w:line="308" w:lineRule="auto"/>
        <w:rPr>
          <w:sz w:val="20"/>
          <w:szCs w:val="20"/>
          <w:color w:val="auto"/>
        </w:rPr>
      </w:pPr>
      <w:r>
        <w:rPr>
          <w:rFonts w:ascii="Arial" w:cs="Arial" w:eastAsia="Arial" w:hAnsi="Arial"/>
          <w:sz w:val="17"/>
          <w:szCs w:val="17"/>
          <w:color w:val="auto"/>
        </w:rPr>
        <w:t>The total net realized transaction and foreign exchange contract currency gains and losses were not material to the consolidated financial statements during 2015, 2014 and 2013. See Notes 1 and 10 above for additional disclosures related to the Company’s foreign exchange contracts.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Other Intangible Assets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the activity related to the carrying amount of goodwill:</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7"/>
              </w:rPr>
              <w:t>Carrying Amount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as of June 28, 2013</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acquisitions</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as of June 27, 2014</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acquisitions</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as of July 3, 2015</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740"/>
              <w:spacing w:after="0"/>
              <w:rPr>
                <w:sz w:val="20"/>
                <w:szCs w:val="20"/>
                <w:color w:val="auto"/>
              </w:rPr>
            </w:pPr>
            <w:r>
              <w:rPr>
                <w:rFonts w:ascii="Arial" w:cs="Arial" w:eastAsia="Arial" w:hAnsi="Arial"/>
                <w:sz w:val="18"/>
                <w:szCs w:val="18"/>
                <w:color w:val="auto"/>
                <w:w w:val="95"/>
              </w:rPr>
              <w:t>Intangible assets as of July 3, 2015 were as follows:</w:t>
            </w: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220" w:type="dxa"/>
            <w:vAlign w:val="bottom"/>
          </w:tcPr>
          <w:p>
            <w:pPr>
              <w:spacing w:after="0"/>
              <w:rPr>
                <w:sz w:val="24"/>
                <w:szCs w:val="2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24"/>
                <w:szCs w:val="24"/>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4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6"/>
                <w:szCs w:val="16"/>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66"/>
        </w:trPr>
        <w:tc>
          <w:tcPr>
            <w:tcW w:w="47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Existing technology</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Leasehold interests</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740"/>
              <w:spacing w:after="0"/>
              <w:rPr>
                <w:sz w:val="20"/>
                <w:szCs w:val="20"/>
                <w:color w:val="auto"/>
              </w:rPr>
            </w:pPr>
            <w:r>
              <w:rPr>
                <w:rFonts w:ascii="Arial" w:cs="Arial" w:eastAsia="Arial" w:hAnsi="Arial"/>
                <w:sz w:val="18"/>
                <w:szCs w:val="18"/>
                <w:color w:val="auto"/>
                <w:w w:val="91"/>
              </w:rPr>
              <w:t>Intangible assets as of June 27, 2014 were as follows:</w:t>
            </w: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22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6"/>
                <w:szCs w:val="16"/>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66"/>
        </w:trPr>
        <w:tc>
          <w:tcPr>
            <w:tcW w:w="47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Existing technology</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Leasehold interests</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729"/>
        <w:spacing w:after="0" w:line="255" w:lineRule="auto"/>
        <w:rPr>
          <w:sz w:val="20"/>
          <w:szCs w:val="20"/>
          <w:color w:val="auto"/>
        </w:rPr>
      </w:pPr>
      <w:r>
        <w:rPr>
          <w:rFonts w:ascii="Arial" w:cs="Arial" w:eastAsia="Arial" w:hAnsi="Arial"/>
          <w:sz w:val="18"/>
          <w:szCs w:val="18"/>
          <w:color w:val="auto"/>
        </w:rPr>
        <w:t>Other intangible assets are amortized on a straight-line basis over the respective estimated useful lives of the assets. Amortization expense for intangible assets was $171 million, $213 million and $209 million for 2015, 2014 and 2013, respectively. During 2015 and 2014, the Company recorded $39 million and $53 million of impairment charges related to intangible assets, respectively, which are recorded in the employee termination, asset impairment and other charges within the Company's consolidated statements of income. The impairment charges primarily relate to acquired in-process research and development projects that were abandoned and resulted in full impairment in both 2015 and 2014. As of July 3, 2015, estimated future amortization expense for intangible assets currently subject to amortization is $95 million for 2016, $64 million for 2017, $20 million for 2018, $11 million for 2019 and $10 million for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 Plans</w:t>
      </w:r>
    </w:p>
    <w:p>
      <w:pPr>
        <w:spacing w:after="0" w:line="94" w:lineRule="exact"/>
        <w:rPr>
          <w:sz w:val="20"/>
          <w:szCs w:val="20"/>
          <w:color w:val="auto"/>
        </w:rPr>
      </w:pPr>
    </w:p>
    <w:p>
      <w:pPr>
        <w:ind w:right="300" w:firstLine="729"/>
        <w:spacing w:after="0" w:line="342" w:lineRule="auto"/>
        <w:rPr>
          <w:sz w:val="20"/>
          <w:szCs w:val="20"/>
          <w:color w:val="auto"/>
        </w:rPr>
      </w:pPr>
      <w:r>
        <w:rPr>
          <w:rFonts w:ascii="Arial" w:cs="Arial" w:eastAsia="Arial" w:hAnsi="Arial"/>
          <w:sz w:val="16"/>
          <w:szCs w:val="16"/>
          <w:color w:val="auto"/>
        </w:rPr>
        <w:t>The Company has pension and other post-retirement benefit plans in various countries. The Company’s principal plans are in Japan. All pension and other post-retirement benefit plans outside of the Company’s Japanese plans are immaterial to the Company’s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changes in the benefit obligations and plan assets for the Japanese defined benefit pension plans were as follows for 2015, 2014 and 2013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Benefit obligation at beginning of period</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Actuarial gain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Benefits paid</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r>
              <w:rPr>
                <w:rFonts w:ascii="Arial" w:cs="Arial" w:eastAsia="Arial" w:hAnsi="Arial"/>
                <w:sz w:val="12"/>
                <w:szCs w:val="12"/>
                <w:color w:val="auto"/>
              </w:rPr>
              <w:t>(1)</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Non-U.S. currency movement</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obligation at end of period</w:t>
            </w: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of plan assets at beginning of period</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Actual return on plan assets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Employer contributions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Benefits paid</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r>
              <w:rPr>
                <w:rFonts w:ascii="Arial" w:cs="Arial" w:eastAsia="Arial" w:hAnsi="Arial"/>
                <w:sz w:val="12"/>
                <w:szCs w:val="12"/>
                <w:color w:val="auto"/>
              </w:rPr>
              <w:t>(1)</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Non-U.S. currency movement</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of plan assets at end of period</w:t>
            </w: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Unfunded status at end of year</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00" w:hanging="652"/>
        <w:spacing w:after="0" w:line="222"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During fiscal 2014 the Japan entity assumed benefit obligations and plan assets from Hitachi. These pension obligations related to former Hitachi employees who were hired into the HGST Japan entity during or soon after the 2012 acquisition of HGST by the Company.</w:t>
      </w:r>
    </w:p>
    <w:p>
      <w:pPr>
        <w:spacing w:after="0" w:line="148" w:lineRule="exact"/>
        <w:rPr>
          <w:sz w:val="20"/>
          <w:szCs w:val="20"/>
          <w:color w:val="auto"/>
        </w:rPr>
      </w:pPr>
    </w:p>
    <w:p>
      <w:pPr>
        <w:ind w:right="300" w:firstLine="729"/>
        <w:spacing w:after="0" w:line="277" w:lineRule="auto"/>
        <w:rPr>
          <w:sz w:val="20"/>
          <w:szCs w:val="20"/>
          <w:color w:val="auto"/>
        </w:rPr>
      </w:pPr>
      <w:r>
        <w:rPr>
          <w:rFonts w:ascii="Arial" w:cs="Arial" w:eastAsia="Arial" w:hAnsi="Arial"/>
          <w:sz w:val="18"/>
          <w:szCs w:val="18"/>
          <w:color w:val="auto"/>
        </w:rPr>
        <w:t>The following table presents the unfunded amounts as recognized on the Company’s consolidated balance sheets as of July 3, 2015 and June 27, 2014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0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w:t>
            </w:r>
          </w:p>
        </w:tc>
      </w:tr>
      <w:tr>
        <w:trPr>
          <w:trHeight w:val="27"/>
        </w:trPr>
        <w:tc>
          <w:tcPr>
            <w:tcW w:w="8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729"/>
        <w:spacing w:after="0" w:line="257" w:lineRule="auto"/>
        <w:rPr>
          <w:sz w:val="20"/>
          <w:szCs w:val="20"/>
          <w:color w:val="auto"/>
        </w:rPr>
      </w:pPr>
      <w:r>
        <w:rPr>
          <w:rFonts w:ascii="Arial" w:cs="Arial" w:eastAsia="Arial" w:hAnsi="Arial"/>
          <w:sz w:val="18"/>
          <w:szCs w:val="18"/>
          <w:color w:val="auto"/>
        </w:rPr>
        <w:t>The accumulated benefit obligation for the Japanese defined benefit pension plans was $231 million at July 3, 2015. As of July 3, 2015, net actuarial gains for the Japanese defined benefit pension plans of $5 million are included in accumulated other comprehensive income (loss) in the consolidated balance sheet. There were no prior service credits for the defined benefit pension plans recognized in accumulated other comprehensive income (loss) in the consolidated balance sheet as of July 3, 2015. The amount expected to be amortized into net periodic benefit cost in fiscal 2016 is immaterial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Weighted-Average Assumptions</w:t>
      </w:r>
    </w:p>
    <w:p>
      <w:pPr>
        <w:spacing w:after="0" w:line="171" w:lineRule="exact"/>
        <w:rPr>
          <w:sz w:val="20"/>
          <w:szCs w:val="20"/>
          <w:color w:val="auto"/>
        </w:rPr>
      </w:pPr>
    </w:p>
    <w:p>
      <w:pPr>
        <w:ind w:right="220" w:firstLine="729"/>
        <w:spacing w:after="0" w:line="277" w:lineRule="auto"/>
        <w:rPr>
          <w:sz w:val="20"/>
          <w:szCs w:val="20"/>
          <w:color w:val="auto"/>
        </w:rPr>
      </w:pPr>
      <w:r>
        <w:rPr>
          <w:rFonts w:ascii="Arial" w:cs="Arial" w:eastAsia="Arial" w:hAnsi="Arial"/>
          <w:sz w:val="18"/>
          <w:szCs w:val="18"/>
          <w:color w:val="auto"/>
        </w:rPr>
        <w:t>The weighted-average actuarial assumptions used to determine benefit obligations for the Japanese defined benefit pension plans were as follows for 2015, 2014 and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2013</w:t>
            </w:r>
          </w:p>
        </w:tc>
      </w:tr>
      <w:tr>
        <w:trPr>
          <w:trHeight w:val="250"/>
        </w:trPr>
        <w:tc>
          <w:tcPr>
            <w:tcW w:w="7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r>
    </w:tbl>
    <w:p>
      <w:pPr>
        <w:spacing w:after="0" w:line="175" w:lineRule="exact"/>
        <w:rPr>
          <w:sz w:val="20"/>
          <w:szCs w:val="20"/>
          <w:color w:val="auto"/>
        </w:rPr>
      </w:pPr>
    </w:p>
    <w:p>
      <w:pPr>
        <w:ind w:right="420" w:firstLine="729"/>
        <w:spacing w:after="0" w:line="277" w:lineRule="auto"/>
        <w:rPr>
          <w:sz w:val="20"/>
          <w:szCs w:val="20"/>
          <w:color w:val="auto"/>
        </w:rPr>
      </w:pPr>
      <w:r>
        <w:rPr>
          <w:rFonts w:ascii="Arial" w:cs="Arial" w:eastAsia="Arial" w:hAnsi="Arial"/>
          <w:sz w:val="18"/>
          <w:szCs w:val="18"/>
          <w:color w:val="auto"/>
        </w:rPr>
        <w:t>The weighted-average actuarial assumptions used to determine benefit costs for the Japanese defined benefit pension plans were as follows for 2015, 2014 and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6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40" w:firstLine="729"/>
        <w:spacing w:after="0" w:line="342" w:lineRule="auto"/>
        <w:rPr>
          <w:sz w:val="20"/>
          <w:szCs w:val="20"/>
          <w:color w:val="auto"/>
        </w:rPr>
      </w:pPr>
      <w:r>
        <w:rPr>
          <w:rFonts w:ascii="Arial" w:cs="Arial" w:eastAsia="Arial" w:hAnsi="Arial"/>
          <w:sz w:val="16"/>
          <w:szCs w:val="16"/>
          <w:color w:val="auto"/>
        </w:rPr>
        <w:t>The Company develops a discount rate by calculating when the estimated benefit payments will be due. Management in Japan then matches the benefit payments to AA or higher bond ratings that match the timing of the expected benefit payments to determine the appropriate discount rate.</w:t>
      </w:r>
    </w:p>
    <w:p>
      <w:pPr>
        <w:spacing w:after="0" w:line="70" w:lineRule="exact"/>
        <w:rPr>
          <w:sz w:val="20"/>
          <w:szCs w:val="20"/>
          <w:color w:val="auto"/>
        </w:rPr>
      </w:pPr>
    </w:p>
    <w:p>
      <w:pPr>
        <w:ind w:right="60" w:firstLine="729"/>
        <w:spacing w:after="0" w:line="259" w:lineRule="auto"/>
        <w:rPr>
          <w:sz w:val="20"/>
          <w:szCs w:val="20"/>
          <w:color w:val="auto"/>
        </w:rPr>
      </w:pPr>
      <w:r>
        <w:rPr>
          <w:rFonts w:ascii="Arial" w:cs="Arial" w:eastAsia="Arial" w:hAnsi="Arial"/>
          <w:sz w:val="18"/>
          <w:szCs w:val="18"/>
          <w:color w:val="auto"/>
        </w:rPr>
        <w:t>The Company develops the expected long-term rate of return on plan assets by analyzing rates of return in Japan as well as the investment portfolio applicable to the plan. Management’s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Policies and Strategies</w:t>
      </w:r>
    </w:p>
    <w:p>
      <w:pPr>
        <w:spacing w:after="0" w:line="90" w:lineRule="exact"/>
        <w:rPr>
          <w:sz w:val="20"/>
          <w:szCs w:val="20"/>
          <w:color w:val="auto"/>
        </w:rPr>
      </w:pPr>
    </w:p>
    <w:p>
      <w:pPr>
        <w:ind w:right="80" w:firstLine="729"/>
        <w:spacing w:after="0" w:line="255" w:lineRule="auto"/>
        <w:rPr>
          <w:sz w:val="20"/>
          <w:szCs w:val="20"/>
          <w:color w:val="auto"/>
        </w:rPr>
      </w:pPr>
      <w:r>
        <w:rPr>
          <w:rFonts w:ascii="Arial" w:cs="Arial" w:eastAsia="Arial" w:hAnsi="Arial"/>
          <w:sz w:val="18"/>
          <w:szCs w:val="18"/>
          <w:color w:val="auto"/>
        </w:rPr>
        <w:t>The investment policy in Japan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35% in equity securities, 62% in debt securities and the remaining 3%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135" w:lineRule="exact"/>
        <w:rPr>
          <w:sz w:val="20"/>
          <w:szCs w:val="20"/>
          <w:color w:val="auto"/>
        </w:rPr>
      </w:pPr>
    </w:p>
    <w:p>
      <w:pPr>
        <w:ind w:right="240" w:firstLine="729"/>
        <w:spacing w:after="0" w:line="259"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40" w:firstLine="729"/>
        <w:spacing w:after="0" w:line="277" w:lineRule="auto"/>
        <w:rPr>
          <w:sz w:val="20"/>
          <w:szCs w:val="20"/>
          <w:color w:val="auto"/>
        </w:rPr>
      </w:pPr>
      <w:r>
        <w:rPr>
          <w:rFonts w:ascii="Arial" w:cs="Arial" w:eastAsia="Arial" w:hAnsi="Arial"/>
          <w:sz w:val="18"/>
          <w:szCs w:val="18"/>
          <w:color w:val="auto"/>
        </w:rPr>
        <w:t>The following table presents the Japanese defined benefit pension plans’ major asset categories and their associated fair values as of July 3, 2015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 xml:space="preserve">Equity commingled/mutual funds </w:t>
            </w:r>
            <w:r>
              <w:rPr>
                <w:rFonts w:ascii="Arial" w:cs="Arial" w:eastAsia="Arial" w:hAnsi="Arial"/>
                <w:sz w:val="12"/>
                <w:szCs w:val="12"/>
                <w:color w:val="auto"/>
              </w:rPr>
              <w:t>(1)(2)</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65</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 xml:space="preserve">Fixed income commingled/mutual funds </w:t>
            </w:r>
            <w:r>
              <w:rPr>
                <w:rFonts w:ascii="Arial" w:cs="Arial" w:eastAsia="Arial" w:hAnsi="Arial"/>
                <w:sz w:val="12"/>
                <w:szCs w:val="12"/>
                <w:color w:val="auto"/>
              </w:rPr>
              <w:t>(1)(3)</w:t>
            </w:r>
          </w:p>
        </w:tc>
        <w:tc>
          <w:tcPr>
            <w:tcW w:w="108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112</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120" w:firstLine="729"/>
        <w:spacing w:after="0" w:line="277" w:lineRule="auto"/>
        <w:rPr>
          <w:sz w:val="20"/>
          <w:szCs w:val="20"/>
          <w:color w:val="auto"/>
        </w:rPr>
      </w:pPr>
      <w:r>
        <w:rPr>
          <w:rFonts w:ascii="Arial" w:cs="Arial" w:eastAsia="Arial" w:hAnsi="Arial"/>
          <w:sz w:val="18"/>
          <w:szCs w:val="18"/>
          <w:color w:val="auto"/>
        </w:rPr>
        <w:t>The following table presents the Japanese defined benefit pension plans’ major asset categories and their associated fair values as of June 27, 2014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 xml:space="preserve">Equity commingled/mutual funds </w:t>
            </w:r>
            <w:r>
              <w:rPr>
                <w:rFonts w:ascii="Arial" w:cs="Arial" w:eastAsia="Arial" w:hAnsi="Arial"/>
                <w:sz w:val="12"/>
                <w:szCs w:val="12"/>
                <w:color w:val="auto"/>
              </w:rPr>
              <w:t>(1)(2)</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 xml:space="preserve">Fixed income commingled/mutual funds </w:t>
            </w:r>
            <w:r>
              <w:rPr>
                <w:rFonts w:ascii="Arial" w:cs="Arial" w:eastAsia="Arial" w:hAnsi="Arial"/>
                <w:sz w:val="12"/>
                <w:szCs w:val="12"/>
                <w:color w:val="auto"/>
              </w:rPr>
              <w:t>(1)(3)</w:t>
            </w:r>
          </w:p>
        </w:tc>
        <w:tc>
          <w:tcPr>
            <w:tcW w:w="108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line="183"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Commingled funds represent pooled institutional investments.</w:t>
      </w:r>
    </w:p>
    <w:p>
      <w:pPr>
        <w:spacing w:after="0" w:line="2"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Equity mutual funds invest primarily in equity securities.</w:t>
      </w:r>
    </w:p>
    <w:p>
      <w:pPr>
        <w:spacing w:after="0" w:line="2"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Fixed income mutual funds invest primarily in fixed income securities.</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Assets held in defined benefit plans in the Philippines, Taiwan and Thailand were less than $1 million and are not presented in the above tables.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movements of assets between any level categories in 2015, 2014 or 2013.</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Valuation Techniques</w:t>
      </w:r>
    </w:p>
    <w:p>
      <w:pPr>
        <w:spacing w:after="0" w:line="90" w:lineRule="exact"/>
        <w:rPr>
          <w:sz w:val="20"/>
          <w:szCs w:val="20"/>
          <w:color w:val="auto"/>
        </w:rPr>
      </w:pPr>
    </w:p>
    <w:p>
      <w:pPr>
        <w:ind w:right="320" w:firstLine="729"/>
        <w:spacing w:after="0" w:line="279" w:lineRule="auto"/>
        <w:rPr>
          <w:sz w:val="20"/>
          <w:szCs w:val="20"/>
          <w:color w:val="auto"/>
        </w:rPr>
      </w:pPr>
      <w:r>
        <w:rPr>
          <w:rFonts w:ascii="Arial" w:cs="Arial" w:eastAsia="Arial" w:hAnsi="Arial"/>
          <w:sz w:val="17"/>
          <w:szCs w:val="17"/>
          <w:color w:val="auto"/>
        </w:rPr>
        <w:t>Equity securities are valued at the closing price reported on the stock exchange on which the individual securities are traded. Equity commingled/mutual funds are typically valued using the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117" w:lineRule="exact"/>
        <w:rPr>
          <w:sz w:val="20"/>
          <w:szCs w:val="20"/>
          <w:color w:val="auto"/>
        </w:rPr>
      </w:pPr>
    </w:p>
    <w:p>
      <w:pPr>
        <w:ind w:right="120" w:firstLine="729"/>
        <w:spacing w:after="0" w:line="264"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127" w:lineRule="exact"/>
        <w:rPr>
          <w:sz w:val="20"/>
          <w:szCs w:val="20"/>
          <w:color w:val="auto"/>
        </w:rPr>
      </w:pPr>
    </w:p>
    <w:p>
      <w:pPr>
        <w:ind w:right="720" w:firstLine="729"/>
        <w:spacing w:after="0" w:line="342" w:lineRule="auto"/>
        <w:rPr>
          <w:sz w:val="20"/>
          <w:szCs w:val="20"/>
          <w:color w:val="auto"/>
        </w:rPr>
      </w:pPr>
      <w:r>
        <w:rPr>
          <w:rFonts w:ascii="Arial" w:cs="Arial" w:eastAsia="Arial" w:hAnsi="Arial"/>
          <w:sz w:val="16"/>
          <w:szCs w:val="16"/>
          <w:color w:val="auto"/>
        </w:rPr>
        <w:t>Cash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Contributions</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Company’s expected employer contributions for 2016 are $9 million for its Japanese defined benefit pension plans.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Estimated Future Benefits Payments</w:t>
      </w:r>
    </w:p>
    <w:p>
      <w:pPr>
        <w:spacing w:after="0" w:line="90" w:lineRule="exact"/>
        <w:rPr>
          <w:sz w:val="20"/>
          <w:szCs w:val="20"/>
          <w:color w:val="auto"/>
        </w:rPr>
      </w:pPr>
    </w:p>
    <w:p>
      <w:pPr>
        <w:ind w:right="280" w:firstLine="729"/>
        <w:spacing w:after="0" w:line="277" w:lineRule="auto"/>
        <w:rPr>
          <w:sz w:val="20"/>
          <w:szCs w:val="20"/>
          <w:color w:val="auto"/>
        </w:rPr>
      </w:pPr>
      <w:r>
        <w:rPr>
          <w:rFonts w:ascii="Arial" w:cs="Arial" w:eastAsia="Arial" w:hAnsi="Arial"/>
          <w:sz w:val="18"/>
          <w:szCs w:val="18"/>
          <w:color w:val="auto"/>
        </w:rPr>
        <w:t>Annual benefit payments from the Japanese defined benefit pension plans are estimated to range from $5 million to $9 million annually over the next five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Acquisitions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consolidated financial statements include the results of operations of acquired companies commencing after their respective acquisition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Disclosed below are those acquisitions which have a significant impact to the Company's consolidated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Amplidata</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9, 2015, the Company acquired Amplidata NV (“Amplidata”), a developer of object storage software for public and private cloud data centers. As a result of the acquisition, Amplidata was fully integrated into the Company's HGST subsidiary and became a wholly owned indirect subsidiary of the Company. The purchase price of the acquisition was approximately $267 million, consisting of $245 million funded with available cash at the time of the acquisition, $19 million related to the fair value of a previously-held cost method investment and $3 million related to the fair value of stock options assumed. The acquisition is expected to further HGST's strategy to expand into higher value data storage platforms and systems that address the growth in storage requirements in cloud data centers.</w:t>
      </w:r>
    </w:p>
    <w:p>
      <w:pPr>
        <w:spacing w:after="0" w:line="220"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The Company identified and recorded the assets acquired and liabilities assumed at their estimated fair values at the date of acquisition, and allocated the remaining value of $215 million to goodwill. The values assigned to the acquired assets and liabilities are based on preliminary estimates of fair value available as of the date of this Annual Report on Form 10-K, and may be adjusted during the measurement period of up to 12 months from the date of the acquisition as further information becomes available with any changes in the fair values potentially resulting in adjustments to goodwill. The individual tangible and intangible assets acquired as well as the liabilities assumed in the acquisition were immaterial to the Company's consolidated financial statements. In addition, pro forma financial information has not been presented as the acquisition did not have a material impact on the Company’s consolidated financial statements for 2015.</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preliminary purchase price allocation for Amplidata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496"/>
              <w:spacing w:after="0"/>
              <w:rPr>
                <w:sz w:val="20"/>
                <w:szCs w:val="20"/>
                <w:color w:val="auto"/>
              </w:rPr>
            </w:pPr>
            <w:r>
              <w:rPr>
                <w:rFonts w:ascii="Arial" w:cs="Arial" w:eastAsia="Arial" w:hAnsi="Arial"/>
                <w:sz w:val="14"/>
                <w:szCs w:val="14"/>
                <w:b w:val="1"/>
                <w:bCs w:val="1"/>
                <w:color w:val="auto"/>
              </w:rPr>
              <w:t>March 9,</w:t>
            </w:r>
          </w:p>
        </w:tc>
      </w:tr>
      <w:tr>
        <w:trPr>
          <w:trHeight w:val="192"/>
        </w:trPr>
        <w:tc>
          <w:tcPr>
            <w:tcW w:w="9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76</w:t>
            </w:r>
          </w:p>
        </w:tc>
      </w:tr>
      <w:tr>
        <w:trPr>
          <w:trHeight w:val="27"/>
        </w:trPr>
        <w:tc>
          <w:tcPr>
            <w:tcW w:w="9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w:t>
            </w: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267</w:t>
            </w:r>
          </w:p>
        </w:tc>
      </w:tr>
      <w:tr>
        <w:trPr>
          <w:trHeight w:val="27"/>
        </w:trPr>
        <w:tc>
          <w:tcPr>
            <w:tcW w:w="9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Since the date of acquisition, the Company recorded an increase of $42 million to goodwill which primarily related to an adjustment to the value of deferred taxes acquired, an adjustment to the value of intangible assets acquired, and an adjustment for the fair value of stock options assumed in the acquisition of Amplidata. The primary area of the preliminary purchase price allocation that is not yet finalized due to information that may become available subsequently is income taxes. Any changes in the fair value could potentially result in adjustments to goodwill. The Company expects to finalize the purchase price allocation in 2016.</w:t>
      </w:r>
    </w:p>
    <w:p>
      <w:pPr>
        <w:spacing w:after="0" w:line="21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$215 million of goodwill recognized is primarily attributable to the benefits the Company expects to derive from an ability to create HDD storage solutions leveraging the core software acquired and is not expected to be deductible for tax purposes. The impact to revenue and net income attributable to Amplidata was immaterial to the Company’s consolidated financial statements.</w:t>
      </w:r>
    </w:p>
    <w:p>
      <w:pPr>
        <w:spacing w:after="0" w:line="208"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Prior to the acquisition date, the Company held a non-controlling interest in Amplidata accounted for under the cost method of accounting. Upon acquiring the outstanding ownership stake in Amplidata, the Company remeasured its original equity interest to its fair value using the income approach, which utilizes estimates of discounted future cash flows, and recognized a $9 million gain during the year ended July 3, 2015, which was recorded within the employee termination benefits, asset impairments and other charges line item in the consolidated statements of income.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Thailand Flooding</w:t>
      </w:r>
    </w:p>
    <w:p>
      <w:pPr>
        <w:spacing w:after="0" w:line="94"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In October 2011, severe flooding in Thailand inundated all of the Company’s Thailand manufacturing facilities and submerged certain equipment located there. The Company maintains insurance coverage that provides property and business interruption coverage in the event of losses arising from flooding. As a result, the Company recorded $37 million and $65 million of flood-related insurance recoveries in fiscal 2015 and 2014, respectively. These flood-related insurance recoveries were included within the selling, general and administrative expenses within the Company's consolidated statements of income. All flood-related claims submitted by the Company to its insurers were closed as of July 3,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Employee Termination, Asset Impairment and Other Charges</w:t>
      </w:r>
    </w:p>
    <w:p>
      <w:pPr>
        <w:spacing w:after="0" w:line="17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Employee termination, asset impairment and other charges within the Company's consolidated statements of income primarily relate to charges to realign the Company's operations with anticipated market demand and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52"/>
        </w:trPr>
        <w:tc>
          <w:tcPr>
            <w:tcW w:w="5380" w:type="dxa"/>
            <w:vAlign w:val="bottom"/>
          </w:tcPr>
          <w:p>
            <w:pPr>
              <w:spacing w:after="0"/>
              <w:rPr>
                <w:sz w:val="13"/>
                <w:szCs w:val="13"/>
                <w:color w:val="auto"/>
              </w:rPr>
            </w:pPr>
          </w:p>
        </w:tc>
        <w:tc>
          <w:tcPr>
            <w:tcW w:w="138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July 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left="341"/>
              <w:spacing w:after="0" w:line="153" w:lineRule="exact"/>
              <w:rPr>
                <w:sz w:val="20"/>
                <w:szCs w:val="20"/>
                <w:color w:val="auto"/>
              </w:rPr>
            </w:pPr>
            <w:r>
              <w:rPr>
                <w:rFonts w:ascii="Arial" w:cs="Arial" w:eastAsia="Arial" w:hAnsi="Arial"/>
                <w:sz w:val="14"/>
                <w:szCs w:val="14"/>
                <w:b w:val="1"/>
                <w:bCs w:val="1"/>
                <w:color w:val="auto"/>
                <w:w w:val="92"/>
              </w:rPr>
              <w:t>June 27,</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jc w:val="right"/>
              <w:ind w:right="636"/>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53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2013</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0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13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14</w:t>
            </w: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termination and other</w:t>
            </w:r>
          </w:p>
        </w:tc>
        <w:tc>
          <w:tcPr>
            <w:tcW w:w="13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tcBorders>
          </w:tcPr>
          <w:p>
            <w:pPr>
              <w:jc w:val="right"/>
              <w:ind w:right="11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ind w:right="130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138</w:t>
            </w:r>
          </w:p>
        </w:tc>
      </w:tr>
      <w:tr>
        <w:trPr>
          <w:trHeight w:val="27"/>
        </w:trPr>
        <w:tc>
          <w:tcPr>
            <w:tcW w:w="53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2015 and 2014, the impairment charges primarily relate to equipment and in-process research and development projects that were abandoned and resulted in full impairment.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those amounts recorded as liabilities within the Company's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June 28,</w:t>
            </w:r>
          </w:p>
        </w:tc>
        <w:tc>
          <w:tcPr>
            <w:tcW w:w="260" w:type="dxa"/>
            <w:vAlign w:val="bottom"/>
          </w:tcPr>
          <w:p>
            <w:pPr>
              <w:spacing w:after="0"/>
              <w:rPr>
                <w:sz w:val="14"/>
                <w:szCs w:val="14"/>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Accruals</w:t>
            </w:r>
          </w:p>
        </w:tc>
        <w:tc>
          <w:tcPr>
            <w:tcW w:w="260" w:type="dxa"/>
            <w:vAlign w:val="bottom"/>
          </w:tcPr>
          <w:p>
            <w:pPr>
              <w:spacing w:after="0"/>
              <w:rPr>
                <w:sz w:val="14"/>
                <w:szCs w:val="14"/>
                <w:color w:val="auto"/>
              </w:rPr>
            </w:pPr>
          </w:p>
        </w:tc>
        <w:tc>
          <w:tcPr>
            <w:tcW w:w="9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3"/>
              </w:rPr>
              <w:t>Payments</w:t>
            </w:r>
          </w:p>
        </w:tc>
        <w:tc>
          <w:tcPr>
            <w:tcW w:w="22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June 27,</w:t>
            </w: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87"/>
              </w:rPr>
              <w:t>Accruals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6"/>
              </w:rPr>
              <w:t>Payments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56"/>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Results of Operations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Second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6"/>
                <w:szCs w:val="16"/>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3"/>
            <w:shd w:val="clear" w:color="auto" w:fill="CCEEFF"/>
          </w:tcPr>
          <w:p>
            <w:pPr>
              <w:jc w:val="right"/>
              <w:ind w:right="4500"/>
              <w:spacing w:after="0" w:line="189" w:lineRule="exact"/>
              <w:rPr>
                <w:sz w:val="20"/>
                <w:szCs w:val="20"/>
                <w:color w:val="auto"/>
              </w:rPr>
            </w:pPr>
            <w:r>
              <w:rPr>
                <w:rFonts w:ascii="Arial" w:cs="Arial" w:eastAsia="Arial" w:hAnsi="Arial"/>
                <w:sz w:val="18"/>
                <w:szCs w:val="18"/>
                <w:b w:val="1"/>
                <w:bCs w:val="1"/>
                <w:color w:val="auto"/>
                <w:w w:val="95"/>
              </w:rPr>
              <w:t>2015 (1)</w:t>
            </w:r>
          </w:p>
        </w:tc>
        <w:tc>
          <w:tcPr>
            <w:tcW w:w="9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45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Revenue, net</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3,943</w:t>
            </w:r>
          </w:p>
        </w:tc>
        <w:tc>
          <w:tcPr>
            <w:tcW w:w="120" w:type="dxa"/>
            <w:vAlign w:val="bottom"/>
          </w:tcPr>
          <w:p>
            <w:pPr>
              <w:spacing w:after="0"/>
              <w:rPr>
                <w:sz w:val="21"/>
                <w:szCs w:val="21"/>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3,888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Basic income per common share</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 income per common share</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jc w:val="right"/>
              <w:ind w:right="4500"/>
              <w:spacing w:after="0" w:line="196" w:lineRule="exact"/>
              <w:rPr>
                <w:sz w:val="20"/>
                <w:szCs w:val="20"/>
                <w:color w:val="auto"/>
              </w:rPr>
            </w:pPr>
            <w:r>
              <w:rPr>
                <w:rFonts w:ascii="Arial" w:cs="Arial" w:eastAsia="Arial" w:hAnsi="Arial"/>
                <w:sz w:val="18"/>
                <w:szCs w:val="18"/>
                <w:b w:val="1"/>
                <w:bCs w:val="1"/>
                <w:color w:val="auto"/>
                <w:w w:val="95"/>
              </w:rPr>
              <w:t>2014 (2)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3"/>
            <w:vMerge w:val="continue"/>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net</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1,099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 income per common share</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Diluted income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5120" w:type="dxa"/>
            <w:vAlign w:val="bottom"/>
            <w:gridSpan w:val="2"/>
            <w:vMerge w:val="continue"/>
          </w:tcPr>
          <w:p>
            <w:pPr>
              <w:spacing w:after="0"/>
              <w:rPr>
                <w:sz w:val="19"/>
                <w:szCs w:val="19"/>
                <w:color w:val="auto"/>
              </w:rPr>
            </w:pP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60" w:type="dxa"/>
            <w:vAlign w:val="bottom"/>
            <w:gridSpan w:val="3"/>
            <w:vMerge w:val="restart"/>
          </w:tcPr>
          <w:p>
            <w:pPr>
              <w:jc w:val="right"/>
              <w:ind w:right="3800"/>
              <w:spacing w:after="0"/>
              <w:rPr>
                <w:sz w:val="20"/>
                <w:szCs w:val="20"/>
                <w:color w:val="auto"/>
              </w:rPr>
            </w:pPr>
            <w:r>
              <w:rPr>
                <w:rFonts w:ascii="Arial" w:cs="Arial" w:eastAsia="Arial" w:hAnsi="Arial"/>
                <w:sz w:val="18"/>
                <w:szCs w:val="18"/>
                <w:color w:val="auto"/>
                <w:w w:val="89"/>
              </w:rPr>
              <w:t>_______________</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0" w:hanging="652"/>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first, second, third, and fourth quarters of 2015 included $9 million, $53 million, $10 million, and $104 million, respectively, of employee termination, asset impairment, and other charges. The first and second quarters of 2015 included $14 million and $1 million, respectively, of charges related to interest on an arbitration award. The second quarter of 2015 included a $37 million gain on flood-related insurance recovery.</w:t>
      </w:r>
    </w:p>
    <w:p>
      <w:pPr>
        <w:spacing w:after="0" w:line="2" w:lineRule="exact"/>
        <w:rPr>
          <w:rFonts w:ascii="Arial" w:cs="Arial" w:eastAsia="Arial" w:hAnsi="Arial"/>
          <w:sz w:val="16"/>
          <w:szCs w:val="16"/>
          <w:color w:val="auto"/>
        </w:rPr>
      </w:pPr>
    </w:p>
    <w:p>
      <w:pPr>
        <w:ind w:left="660" w:right="600" w:hanging="652"/>
        <w:spacing w:after="0" w:line="277"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first, second, third and fourth quarters of 2014 included $11 million, $23 million, $25 million and $36 million, respectively, of employee termination, asset impairment and other charges. Each of the four quarters of 2014 included $13 million of charges related to interest on an arbitration award. The first quarter of 2014 included a $65 million gain on flood-related insurance recovery.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CONSOLIDATED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July 3,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Allowance for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7"/>
              </w:rPr>
              <w:t>Doubtful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5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29, 2012</w:t>
            </w:r>
          </w:p>
        </w:tc>
        <w:tc>
          <w:tcPr>
            <w:tcW w:w="6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Additions charges to operations</w:t>
            </w:r>
          </w:p>
        </w:tc>
        <w:tc>
          <w:tcPr>
            <w:tcW w:w="5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w:t>
            </w:r>
          </w:p>
        </w:tc>
        <w:tc>
          <w:tcPr>
            <w:tcW w:w="5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Recovery</w:t>
            </w:r>
          </w:p>
        </w:tc>
        <w:tc>
          <w:tcPr>
            <w:tcW w:w="5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28, 2013</w:t>
            </w:r>
          </w:p>
        </w:tc>
        <w:tc>
          <w:tcPr>
            <w:tcW w:w="6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Additions charged to operations</w:t>
            </w:r>
          </w:p>
        </w:tc>
        <w:tc>
          <w:tcPr>
            <w:tcW w:w="5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w:t>
            </w:r>
          </w:p>
        </w:tc>
        <w:tc>
          <w:tcPr>
            <w:tcW w:w="5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Balance at June 27, 2014</w:t>
            </w:r>
          </w:p>
        </w:tc>
        <w:tc>
          <w:tcPr>
            <w:tcW w:w="57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w:t>
            </w:r>
          </w:p>
        </w:tc>
        <w:tc>
          <w:tcPr>
            <w:tcW w:w="5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Balance at July 3, 2015</w:t>
            </w:r>
          </w:p>
        </w:tc>
        <w:tc>
          <w:tcPr>
            <w:tcW w:w="57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780" w:type="dxa"/>
            <w:vAlign w:val="bottom"/>
            <w:vMerge w:val="restart"/>
          </w:tcPr>
          <w:p>
            <w:pPr>
              <w:jc w:val="right"/>
              <w:ind w:right="4050"/>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7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729"/>
        <w:spacing w:after="0" w:line="259" w:lineRule="auto"/>
        <w:rPr>
          <w:sz w:val="20"/>
          <w:szCs w:val="20"/>
          <w:color w:val="auto"/>
        </w:rPr>
      </w:pPr>
      <w:r>
        <w:rPr>
          <w:rFonts w:ascii="Arial" w:cs="Arial" w:eastAsia="Arial" w:hAnsi="Arial"/>
          <w:sz w:val="18"/>
          <w:szCs w:val="18"/>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10-K.</w:t>
      </w:r>
    </w:p>
    <w:p>
      <w:pPr>
        <w:spacing w:after="0" w:line="133" w:lineRule="exact"/>
        <w:rPr>
          <w:sz w:val="20"/>
          <w:szCs w:val="20"/>
          <w:color w:val="auto"/>
        </w:rPr>
      </w:pPr>
    </w:p>
    <w:p>
      <w:pPr>
        <w:ind w:right="500" w:firstLine="729"/>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10-K, our disclosure controls and procedures were effective.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20" w:firstLine="729"/>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125" w:lineRule="exact"/>
        <w:rPr>
          <w:sz w:val="20"/>
          <w:szCs w:val="20"/>
          <w:color w:val="auto"/>
        </w:rPr>
      </w:pPr>
    </w:p>
    <w:p>
      <w:pPr>
        <w:ind w:right="40" w:firstLine="729"/>
        <w:spacing w:after="0" w:line="297" w:lineRule="auto"/>
        <w:rPr>
          <w:sz w:val="20"/>
          <w:szCs w:val="20"/>
          <w:color w:val="auto"/>
        </w:rPr>
      </w:pPr>
      <w:r>
        <w:rPr>
          <w:rFonts w:ascii="Arial" w:cs="Arial" w:eastAsia="Arial" w:hAnsi="Arial"/>
          <w:sz w:val="16"/>
          <w:szCs w:val="16"/>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Based on this evaluation, our management concluded that our internal control over financial reporting was effective as of the end of the period covered by this Annual Report on Form 10-K.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20" w:firstLine="729"/>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fiscal quarter ended July 3, 2015, that has materially affected, or is reasonably likely to materially affect, our internal control over financial reporting.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of Effectiveness of Controls</w:t>
      </w:r>
    </w:p>
    <w:p>
      <w:pPr>
        <w:spacing w:after="0" w:line="90" w:lineRule="exact"/>
        <w:rPr>
          <w:sz w:val="20"/>
          <w:szCs w:val="20"/>
          <w:color w:val="auto"/>
        </w:rPr>
      </w:pPr>
    </w:p>
    <w:p>
      <w:pPr>
        <w:ind w:right="40" w:firstLine="729"/>
        <w:spacing w:after="0" w:line="289"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121"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ind w:firstLine="729"/>
        <w:spacing w:after="0" w:line="271"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2015 Annual Meeting of Stockholders, which will be filed with the SEC no later than 120 days after the close of the fiscal year ended July 3, 2015, except that the information required by this Item 10 concerning executive officers is set forth in Part I of this report under “Item 1. Business — Executive Officers of the Registrant.”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Governance section at www.westerndigital.com.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Governance section at www.westerndigital.com.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260" w:firstLine="729"/>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2015 Annual Meeting of Stockholders, which will be filed with the SEC no later than 120 days after the close of the fiscal year ended July 3,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60" w:firstLine="729"/>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2015 Annual Meeting of Stockholders, which will be filed with the SEC no later than 120 days after the close of the fiscal year ended July 3,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ind w:right="260" w:firstLine="729"/>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2015 Annual Meeting of Stockholders, which will be filed with the SEC no later than 120 days after the close of the fiscal year ended July 3,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ind w:right="260" w:firstLine="729"/>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2015 Annual Meeting of Stockholders, which will be filed with the SEC no later than 120 days after the close of the fiscal year ended July 3,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Documents filed as a part of this Annual Report on Form 10-K:</w:t>
      </w:r>
    </w:p>
    <w:p>
      <w:pPr>
        <w:spacing w:after="0" w:line="9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71" w:lineRule="exact"/>
        <w:rPr>
          <w:sz w:val="20"/>
          <w:szCs w:val="20"/>
          <w:color w:val="auto"/>
        </w:rPr>
      </w:pPr>
    </w:p>
    <w:p>
      <w:pPr>
        <w:ind w:left="420" w:right="3080"/>
        <w:spacing w:after="0" w:line="277" w:lineRule="auto"/>
        <w:rPr>
          <w:sz w:val="20"/>
          <w:szCs w:val="20"/>
          <w:color w:val="auto"/>
        </w:rPr>
      </w:pPr>
      <w:r>
        <w:rPr>
          <w:rFonts w:ascii="Arial" w:cs="Arial" w:eastAsia="Arial" w:hAnsi="Arial"/>
          <w:sz w:val="18"/>
          <w:szCs w:val="18"/>
          <w:color w:val="auto"/>
        </w:rPr>
        <w:t>The financial statements included in Part II, Item 8 of this document are filed as part of this Annual Report on Form 10-K.</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Financial Statement Schedules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statement schedule included in Part II, Item 8 of this document is filed as part of this Annual Report 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 10-K.</w:t>
      </w:r>
    </w:p>
    <w:p>
      <w:pPr>
        <w:spacing w:after="0" w:line="15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116"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Separate financial statements have been omitted as we are primarily an operating company and our subsidiaries are wholly or majority owned and do not have minority equity interests and/or indebtedness to any person other than us in amounts which together exceed 5% of the total consolidated assets as shown by the most recent year-end consolidated balance sheet.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1"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Exhibits</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exhibits listed in the Exhibit Index (following the signature page of the Annual Report on Form 10-K) are filed with, or incorporated by reference in, this Annual Report on Form 10-K, as 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30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2015</w:t>
      </w:r>
    </w:p>
    <w:p>
      <w:pPr>
        <w:spacing w:after="0" w:line="171" w:lineRule="exact"/>
        <w:rPr>
          <w:sz w:val="20"/>
          <w:szCs w:val="20"/>
          <w:color w:val="auto"/>
        </w:rPr>
      </w:pPr>
    </w:p>
    <w:p>
      <w:pPr>
        <w:ind w:right="12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240" w:top="121" w:right="419" w:bottom="1440" w:gutter="0" w:footer="0" w:header="0"/>
        </w:sect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17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Stephen D. Milligan</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Olivier C. Leonetti</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THOMAS E. PARDUN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Thomas E. Pardun</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MARTIN 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Martin I. Cole</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KATHLEEN A.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Kathleen A. Cote</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HENRY T. DENERO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Henry T. DeNero</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MICHAEL D.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Michael D. Lambert</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LEN J.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Len J. Lauer</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MATTHEW E.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Matthew E. Massengill</w:t>
      </w:r>
    </w:p>
    <w:p>
      <w:pPr>
        <w:spacing w:after="0" w:line="18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PAULA A.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Paula A. Price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Title</w:t>
      </w:r>
    </w:p>
    <w:p>
      <w:pPr>
        <w:spacing w:after="0" w:line="19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(Principal Executive Officer), Director</w:t>
      </w:r>
    </w:p>
    <w:p>
      <w:pPr>
        <w:spacing w:after="0" w:line="238"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August 21, 2015</w:t>
      </w:r>
    </w:p>
    <w:p>
      <w:pPr>
        <w:spacing w:after="0" w:line="371" w:lineRule="exact"/>
        <w:rPr>
          <w:sz w:val="20"/>
          <w:szCs w:val="20"/>
          <w:color w:val="auto"/>
        </w:rPr>
      </w:pPr>
    </w:p>
    <w:p>
      <w:pPr>
        <w:sectPr>
          <w:pgSz w:w="11900" w:h="16838" w:orient="portrait"/>
          <w:cols w:equalWidth="0" w:num="3">
            <w:col w:w="3300" w:space="720"/>
            <w:col w:w="5580" w:space="420"/>
            <w:col w:w="1220"/>
          </w:cols>
          <w:pgMar w:left="240" w:top="121" w:right="419" w:bottom="1440" w:gutter="0" w:footer="0" w:header="0"/>
          <w:type w:val="continuous"/>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240" w:top="121" w:right="41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492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3"/>
                <w:szCs w:val="13"/>
                <w:color w:val="auto"/>
              </w:rPr>
            </w:pPr>
          </w:p>
        </w:tc>
        <w:tc>
          <w:tcPr>
            <w:tcW w:w="492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377"/>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0"/>
              </w:rPr>
              <w:t>Amended and Restated By-Laws of Western Digital Corporation, as amended effective as of November 14, 2013 (Filed as Exhibit 3.1 to the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Company’s Current Report on Form 8-K (File No. 1-08703) with the Securities and Exchange Commission on November 14, 2013)</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89"/>
              </w:rPr>
              <w:t>Western Digital Corporation Amended and Restated 2004 Performance Incentive Plan, amended and restated as of August 7, 2012 (Filed as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8"/>
              </w:rPr>
              <w:t>Exhibit 10.1 to the Company’s Current Report on Form 8-K (File No. 1-08703) with the Securities and Exchange Commission on</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November 13, 2012)*</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Form of Notice of Grant of Stock Option and Option Agreement - Executives, under the Western Digital Corporation Amended and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Restated 2004 Performance Incentive Plan (Filed as Exhibit 10.2 to the Company’s Quarterly Report on Form 10-Q (File No. 1-08703) with</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the Securities and Exchange Commission on October 28, 2011)*</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4"/>
              </w:rPr>
              <w:t>Form of Notice of Stock Option Grant and Stock Option Agreement - Non-Executives, under the Western Digital Corporation Amended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and Restated 2004 Performance Incentive Plan (Filed as Exhibit 10.1.5 to the Company’s Current Report on Form 8-K (File No. 1-08703)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with the Securities and Exchange Commission on May 16, 2006) *</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Form of Notice of Grant of Stock Units and Stock Unit Award Agreement - Executives, under the Western Digital Corporation Amended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and Restated 2004 Performance Incentive Plan (Filed as Exhibit 10.3 to the Company’s Quarterly Report on Form 10-Q (File No. 1-08703)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with the Securities and Exchange Commission on October 28, 2011)*</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Form of Notice of Grant of Stock Units and Stock Unit Award Agreement, under the Western Digital Corporation Amended and Restated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4"/>
              </w:rPr>
              <w:t>2004 Performance Incentive Plan (Filed as Exhibit 10.1.6 to the Company’s Quarterly Report on Form 10-Q (File No. 1-08703) with the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and Exchange Commission on October 31, 2008)*</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Form of Notice of Grant of Performance Stock Units and Performance Stock Unit Award Agreement, under the Western Digital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Corporation Amended and Restated 2004 Performance Incentive Plan (Filed as Exhibit 10.1.7 to the Company’s Annual Report on Form</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10-K (File No. 1-08703) with the Securities and Exchange Commission on August 20, 2012)*</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Western Digital Corporation Amended and Restated 2004 Performance Incentive Plan Non-Employee Director Option Grant Program, as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4"/>
              </w:rPr>
              <w:t>amended September 6, 2012, and Form of Notice of Grant of Stock Option and Option Agreement - Non-Employee Directors (Filed as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Exhibit 10.5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November 2, 2012)*</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Western Digital Corporation Amended and Restated 2004 Performance Incentive Plan Non-Employee Director Restricted Stock Unit Grant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Program, as amended September 6, 2012 (Filed as Exhibit 10.6 to the Company’s Quarterly Report on Form 10-Q (File No. 1-08703) with</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the Securities and Exchange Commission on November 2, 2012)*</w:t>
            </w:r>
          </w:p>
        </w:tc>
        <w:tc>
          <w:tcPr>
            <w:tcW w:w="0" w:type="dxa"/>
            <w:vAlign w:val="bottom"/>
          </w:tcPr>
          <w:p>
            <w:pPr>
              <w:spacing w:after="0"/>
              <w:rPr>
                <w:sz w:val="1"/>
                <w:szCs w:val="1"/>
                <w:color w:val="auto"/>
              </w:rPr>
            </w:pPr>
          </w:p>
        </w:tc>
      </w:tr>
      <w:tr>
        <w:trPr>
          <w:trHeight w:val="392"/>
        </w:trPr>
        <w:tc>
          <w:tcPr>
            <w:tcW w:w="800" w:type="dxa"/>
            <w:vAlign w:val="bottom"/>
            <w:gridSpan w:val="2"/>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Western Digital Corporation Incentive Compensation Plan, as Amended and Restated August 5, 2015†*</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4"/>
              </w:rPr>
              <w:t>Western Digital Corporation 2005 Employee Stock Purchase Plan, as amended August 6, 2012 (Filed as Exhibit 4.2 to the Company’s</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Registration Statement on Form S-8 (File No. 333-185194) with the Securities and Exchange Commission on November 29, 2012)*</w:t>
            </w:r>
          </w:p>
        </w:tc>
        <w:tc>
          <w:tcPr>
            <w:tcW w:w="0" w:type="dxa"/>
            <w:vAlign w:val="bottom"/>
          </w:tcPr>
          <w:p>
            <w:pPr>
              <w:spacing w:after="0"/>
              <w:rPr>
                <w:sz w:val="1"/>
                <w:szCs w:val="1"/>
                <w:color w:val="auto"/>
              </w:rPr>
            </w:pPr>
          </w:p>
        </w:tc>
      </w:tr>
      <w:tr>
        <w:trPr>
          <w:trHeight w:val="392"/>
        </w:trPr>
        <w:tc>
          <w:tcPr>
            <w:tcW w:w="800" w:type="dxa"/>
            <w:vAlign w:val="bottom"/>
            <w:gridSpan w:val="2"/>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Western Digital Corporation Summary of Compensation Arrangements for Named Executive Officers and Directors†*</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Amended and Restated Deferred Compensation Plan, amended and restated effective January 1, 2013 (Filed as Exhibit 10.4 to the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6"/>
              </w:rPr>
              <w:t>Company’s Annual Report on Form 10-Q (File No. 1-08703) with the Securities and Exchange Commission on November 2, 2012)*</w:t>
            </w:r>
          </w:p>
        </w:tc>
        <w:tc>
          <w:tcPr>
            <w:tcW w:w="0" w:type="dxa"/>
            <w:vAlign w:val="bottom"/>
          </w:tcPr>
          <w:p>
            <w:pPr>
              <w:spacing w:after="0"/>
              <w:rPr>
                <w:sz w:val="1"/>
                <w:szCs w:val="1"/>
                <w:color w:val="auto"/>
              </w:rPr>
            </w:pPr>
          </w:p>
        </w:tc>
      </w:tr>
      <w:tr>
        <w:trPr>
          <w:trHeight w:val="377"/>
        </w:trPr>
        <w:tc>
          <w:tcPr>
            <w:tcW w:w="800" w:type="dxa"/>
            <w:vAlign w:val="bottom"/>
            <w:gridSpan w:val="2"/>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3"/>
              </w:rPr>
              <w:t>Amended and Restated Employment Agreement, dated as of September 6, 2012, between Western Digital Corporation and Stephen 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5"/>
              </w:rPr>
              <w:t>Milligan (Filed as Exhibit 10.2 to the Company’s Quarterly Report on Form 10-Q (File No. 1-08703) with the Securities and Exchange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Commission on November 2, 2012)*</w:t>
            </w:r>
          </w:p>
        </w:tc>
        <w:tc>
          <w:tcPr>
            <w:tcW w:w="0" w:type="dxa"/>
            <w:vAlign w:val="bottom"/>
          </w:tcPr>
          <w:p>
            <w:pPr>
              <w:spacing w:after="0"/>
              <w:rPr>
                <w:sz w:val="1"/>
                <w:szCs w:val="1"/>
                <w:color w:val="auto"/>
              </w:rPr>
            </w:pPr>
          </w:p>
        </w:tc>
      </w:tr>
      <w:tr>
        <w:trPr>
          <w:trHeight w:val="608"/>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Pr>
          <w:p>
            <w:pPr>
              <w:ind w:left="4560"/>
              <w:spacing w:after="0"/>
              <w:rPr>
                <w:sz w:val="20"/>
                <w:szCs w:val="20"/>
                <w:color w:val="auto"/>
              </w:rPr>
            </w:pPr>
            <w:r>
              <w:rPr>
                <w:rFonts w:ascii="Arial" w:cs="Arial" w:eastAsia="Arial" w:hAnsi="Arial"/>
                <w:sz w:val="18"/>
                <w:szCs w:val="18"/>
                <w:color w:val="auto"/>
              </w:rPr>
              <w:t>94</w:t>
            </w:r>
          </w:p>
        </w:tc>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tcPr>
          <w:p>
            <w:pPr>
              <w:ind w:left="300"/>
              <w:spacing w:after="0"/>
              <w:rPr>
                <w:sz w:val="20"/>
                <w:szCs w:val="20"/>
                <w:color w:val="auto"/>
              </w:rPr>
            </w:pPr>
            <w:r>
              <w:rPr>
                <w:rFonts w:ascii="Arial" w:cs="Arial" w:eastAsia="Arial" w:hAnsi="Arial"/>
                <w:sz w:val="18"/>
                <w:szCs w:val="18"/>
                <w:color w:val="auto"/>
                <w:w w:val="91"/>
              </w:rPr>
              <w:t>Separation and General Release Agreement, dated August 25, 2014, between Western Digital Corporation and Timothy M. Leyden (Filed</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4"/>
              </w:rPr>
              <w:t>as Exhibit 10.1 to the Company's Quarterly Report on Form 10-Q (File No. 1-08703) with the Securities and Exchange Commission on</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November 4, 2014)*</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10.7</w:t>
            </w:r>
          </w:p>
        </w:tc>
        <w:tc>
          <w:tcPr>
            <w:tcW w:w="10380" w:type="dxa"/>
            <w:vAlign w:val="bottom"/>
          </w:tcPr>
          <w:p>
            <w:pPr>
              <w:ind w:left="300"/>
              <w:spacing w:after="0"/>
              <w:rPr>
                <w:sz w:val="20"/>
                <w:szCs w:val="20"/>
                <w:color w:val="auto"/>
              </w:rPr>
            </w:pPr>
            <w:r>
              <w:rPr>
                <w:rFonts w:ascii="Arial" w:cs="Arial" w:eastAsia="Arial" w:hAnsi="Arial"/>
                <w:sz w:val="18"/>
                <w:szCs w:val="18"/>
                <w:color w:val="auto"/>
                <w:w w:val="91"/>
              </w:rPr>
              <w:t>Western Digital Corporation Amended and Restated Change of Control Severance Plan, amended and restated as of September 11, 2014</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(Filed as Exhibit 10.3 to the Company’s Quarterly Report on Form 10-Q (File No. 1-08703) with the Securities and Exchange Commission</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on November 4, 2014)*</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10.8</w:t>
            </w:r>
          </w:p>
        </w:tc>
        <w:tc>
          <w:tcPr>
            <w:tcW w:w="10380" w:type="dxa"/>
            <w:vAlign w:val="bottom"/>
          </w:tcPr>
          <w:p>
            <w:pPr>
              <w:ind w:left="300"/>
              <w:spacing w:after="0"/>
              <w:rPr>
                <w:sz w:val="20"/>
                <w:szCs w:val="20"/>
                <w:color w:val="auto"/>
              </w:rPr>
            </w:pPr>
            <w:r>
              <w:rPr>
                <w:rFonts w:ascii="Arial" w:cs="Arial" w:eastAsia="Arial" w:hAnsi="Arial"/>
                <w:sz w:val="18"/>
                <w:szCs w:val="18"/>
                <w:color w:val="auto"/>
                <w:w w:val="97"/>
              </w:rPr>
              <w:t>Western Digital Corporation Executive Severance Plan, amended and restated as of February 4, 2015 (Filed as Exhibit 10.1 to the</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4"/>
              </w:rPr>
              <w:t>Company’s Quarterly Report on Form 10-Q (File No. 1-08703) with the Securities and Exchange Commission on February 10, 2015)*</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10.9</w:t>
            </w:r>
          </w:p>
        </w:tc>
        <w:tc>
          <w:tcPr>
            <w:tcW w:w="10380" w:type="dxa"/>
            <w:vAlign w:val="bottom"/>
          </w:tcPr>
          <w:p>
            <w:pPr>
              <w:ind w:left="300"/>
              <w:spacing w:after="0"/>
              <w:rPr>
                <w:sz w:val="20"/>
                <w:szCs w:val="20"/>
                <w:color w:val="auto"/>
              </w:rPr>
            </w:pPr>
            <w:r>
              <w:rPr>
                <w:rFonts w:ascii="Arial" w:cs="Arial" w:eastAsia="Arial" w:hAnsi="Arial"/>
                <w:sz w:val="18"/>
                <w:szCs w:val="18"/>
                <w:color w:val="auto"/>
                <w:w w:val="94"/>
              </w:rPr>
              <w:t>Form of Indemnity Agreement for Directors of Western Digital Corporation (Filed as Exhibit 10.4 to the Company’s Quarterly Report on</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Form 10-Q (File No. 1-08703) with the Securities and Exchange Commission on November 8, 2002)*</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10.10</w:t>
            </w:r>
          </w:p>
        </w:tc>
        <w:tc>
          <w:tcPr>
            <w:tcW w:w="10380" w:type="dxa"/>
            <w:vAlign w:val="bottom"/>
          </w:tcPr>
          <w:p>
            <w:pPr>
              <w:ind w:left="300"/>
              <w:spacing w:after="0"/>
              <w:rPr>
                <w:sz w:val="20"/>
                <w:szCs w:val="20"/>
                <w:color w:val="auto"/>
              </w:rPr>
            </w:pPr>
            <w:r>
              <w:rPr>
                <w:rFonts w:ascii="Arial" w:cs="Arial" w:eastAsia="Arial" w:hAnsi="Arial"/>
                <w:sz w:val="18"/>
                <w:szCs w:val="18"/>
                <w:color w:val="auto"/>
                <w:w w:val="95"/>
              </w:rPr>
              <w:t>Form of Indemnity Agreement for Officers of Western Digital Corporation (Filed as Exhibit 10.5 to the Company’s Quarterly Report on</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Form 10-Q (File No. 1-08703) with the Securities and Exchange Commission on November 8, 2002)*</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tcPr>
          <w:p>
            <w:pPr>
              <w:ind w:left="300"/>
              <w:spacing w:after="0"/>
              <w:rPr>
                <w:sz w:val="20"/>
                <w:szCs w:val="20"/>
                <w:color w:val="auto"/>
              </w:rPr>
            </w:pPr>
            <w:r>
              <w:rPr>
                <w:rFonts w:ascii="Arial" w:cs="Arial" w:eastAsia="Arial" w:hAnsi="Arial"/>
                <w:sz w:val="18"/>
                <w:szCs w:val="18"/>
                <w:color w:val="auto"/>
                <w:w w:val="94"/>
              </w:rPr>
              <w:t>Offer Letter, dated August 14, 2014, to Olivier C. Leonetti (Filed as Exhibit 10.2 to the Company's Quarterly Report on Form 10-Q (File</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No. 1-08703) with the Securities and Exchange Commission on November 4, 2014)*</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300"/>
              <w:spacing w:after="0"/>
              <w:rPr>
                <w:sz w:val="20"/>
                <w:szCs w:val="20"/>
                <w:color w:val="auto"/>
              </w:rPr>
            </w:pPr>
            <w:r>
              <w:rPr>
                <w:rFonts w:ascii="Arial" w:cs="Arial" w:eastAsia="Arial" w:hAnsi="Arial"/>
                <w:sz w:val="18"/>
                <w:szCs w:val="18"/>
                <w:color w:val="auto"/>
                <w:w w:val="91"/>
              </w:rPr>
              <w:t>Credit Agreement, dated as of January 9, 2014, among Western Digital Technologies, Inc. and Western Digital Ireland, Ltd., as Borrowers;</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5"/>
              </w:rPr>
              <w:t>Western Digital Corporation, as Holdings; JPMorgan Chase Bank, N.A., as Administrative Agent; the other lenders party thereto; J.P.</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3"/>
              </w:rPr>
              <w:t>Morgan Securities LLC, as Sole Lead Arranger and Joint Bookrunner; HSBC Bank USA, N.A., Royal Bank of Canada, Bank of America,</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6"/>
              </w:rPr>
              <w:t>N.A. and Citibank, N.A., as Co-Syndication Agents (Filed as Exhibit 10.1 to the Company’s Current Report on Form 8-K (File No. 1-</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08703) with the Securities and Exchange Commission on January 9, 2014)</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10.12.1</w:t>
            </w:r>
          </w:p>
        </w:tc>
        <w:tc>
          <w:tcPr>
            <w:tcW w:w="10380" w:type="dxa"/>
            <w:vAlign w:val="bottom"/>
          </w:tcPr>
          <w:p>
            <w:pPr>
              <w:ind w:left="300"/>
              <w:spacing w:after="0"/>
              <w:rPr>
                <w:sz w:val="20"/>
                <w:szCs w:val="20"/>
                <w:color w:val="auto"/>
              </w:rPr>
            </w:pPr>
            <w:r>
              <w:rPr>
                <w:rFonts w:ascii="Arial" w:cs="Arial" w:eastAsia="Arial" w:hAnsi="Arial"/>
                <w:sz w:val="18"/>
                <w:szCs w:val="18"/>
                <w:color w:val="auto"/>
                <w:w w:val="89"/>
              </w:rPr>
              <w:t>First Amendment to Credit Agreement, dated as of February 25, 2015, to the Credit Agreement dated as of January 9, 2014, among Western</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3"/>
              </w:rPr>
              <w:t>Digital Technologies, Inc. and Western Digital Ireland, Ltd., as borrowers, Western Digital Corporation, JPMorgan Chase Bank, N.A., as</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4"/>
              </w:rPr>
              <w:t>administrative agent, and the other lenders party thereto from time to time (Filed as Exhibit 10.1 to the Company’s Quarterly Report on</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Form 10-Q (File No. 1-08703) with the Securities and Exchange Commission on May 12, 2015)</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Transition Services Agreement, dated March 7, 2011, among Hitachi, Ltd., Viviti Technologies Ltd. and Western Digital Corporation (Filed</w:t>
            </w:r>
          </w:p>
        </w:tc>
      </w:tr>
      <w:tr>
        <w:trPr>
          <w:trHeight w:val="216"/>
        </w:trPr>
        <w:tc>
          <w:tcPr>
            <w:tcW w:w="960" w:type="dxa"/>
            <w:vAlign w:val="bottom"/>
          </w:tcPr>
          <w:p>
            <w:pPr>
              <w:spacing w:after="0"/>
              <w:rPr>
                <w:sz w:val="18"/>
                <w:szCs w:val="18"/>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w w:val="94"/>
              </w:rPr>
              <w:t>as Exhibit 10.4 to the Company’s Quarterly Report on Form 10-Q (File No. 1-08703) with the Securities and Exchange Commission on</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May 2, 2011)</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tcPr>
          <w:p>
            <w:pPr>
              <w:ind w:left="300"/>
              <w:spacing w:after="0"/>
              <w:rPr>
                <w:sz w:val="20"/>
                <w:szCs w:val="20"/>
                <w:color w:val="auto"/>
              </w:rPr>
            </w:pPr>
            <w:r>
              <w:rPr>
                <w:rFonts w:ascii="Arial" w:cs="Arial" w:eastAsia="Arial" w:hAnsi="Arial"/>
                <w:sz w:val="18"/>
                <w:szCs w:val="18"/>
                <w:color w:val="auto"/>
              </w:rPr>
              <w:t>Subsidiaries of Western Digital Corporation†</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23</w:t>
            </w:r>
          </w:p>
        </w:tc>
        <w:tc>
          <w:tcPr>
            <w:tcW w:w="1038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30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30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of 2002**</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0"/>
        </w:trPr>
        <w:tc>
          <w:tcPr>
            <w:tcW w:w="96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of 2002**</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60" w:hanging="332"/>
        <w:spacing w:after="0" w:line="261"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ectPr>
          <w:pgSz w:w="11900" w:h="16838" w:orient="portrait"/>
          <w:cols w:equalWidth="0" w:num="1">
            <w:col w:w="11380"/>
          </w:cols>
          <w:pgMar w:left="240" w:top="121" w:right="27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380"/>
          </w:cols>
          <w:pgMar w:left="240" w:top="121" w:right="27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10.3</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Western Digital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Compensation Arrangements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Named Executive Officers and Directors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306" w:lineRule="exact"/>
        <w:rPr>
          <w:sz w:val="20"/>
          <w:szCs w:val="20"/>
          <w:color w:val="auto"/>
        </w:rPr>
      </w:pPr>
    </w:p>
    <w:p>
      <w:pPr>
        <w:ind w:right="460" w:firstLine="432"/>
        <w:spacing w:after="0" w:line="311"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The current annual base salaries for the executive officers of Western Digital Corporation (the “Company”) who were named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Compensation Table in the Company’s Proxy Statement that was filed with the Securities and Exchange Commission in connection with the Company’s 2014 Annual Meeting of Stockholders (the “Named Executive Officers”)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60" w:type="dxa"/>
            <w:vAlign w:val="bottom"/>
          </w:tcPr>
          <w:p>
            <w:pPr>
              <w:jc w:val="right"/>
              <w:ind w:right="496"/>
              <w:spacing w:after="0"/>
              <w:rPr>
                <w:sz w:val="20"/>
                <w:szCs w:val="20"/>
                <w:color w:val="auto"/>
              </w:rPr>
            </w:pPr>
            <w:r>
              <w:rPr>
                <w:rFonts w:ascii="Arial" w:cs="Arial" w:eastAsia="Arial" w:hAnsi="Arial"/>
                <w:sz w:val="14"/>
                <w:szCs w:val="14"/>
                <w:b w:val="1"/>
                <w:bCs w:val="1"/>
                <w:color w:val="auto"/>
              </w:rPr>
              <w:t>Current</w:t>
            </w:r>
          </w:p>
        </w:tc>
      </w:tr>
      <w:tr>
        <w:trPr>
          <w:trHeight w:val="192"/>
        </w:trPr>
        <w:tc>
          <w:tcPr>
            <w:tcW w:w="2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5840" w:type="dxa"/>
            <w:vAlign w:val="bottom"/>
            <w:tcBorders>
              <w:bottom w:val="single" w:sz="8" w:color="auto"/>
            </w:tcBorders>
          </w:tcPr>
          <w:p>
            <w:pPr>
              <w:ind w:left="3900"/>
              <w:spacing w:after="0"/>
              <w:rPr>
                <w:sz w:val="20"/>
                <w:szCs w:val="20"/>
                <w:color w:val="auto"/>
              </w:rPr>
            </w:pPr>
            <w:r>
              <w:rPr>
                <w:rFonts w:ascii="Arial" w:cs="Arial" w:eastAsia="Arial" w:hAnsi="Arial"/>
                <w:sz w:val="14"/>
                <w:szCs w:val="14"/>
                <w:b w:val="1"/>
                <w:bCs w:val="1"/>
                <w:color w:val="auto"/>
              </w:rPr>
              <w:t>Title</w:t>
            </w:r>
          </w:p>
        </w:tc>
        <w:tc>
          <w:tcPr>
            <w:tcW w:w="1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Base Salary</w:t>
            </w:r>
          </w:p>
        </w:tc>
      </w:tr>
      <w:tr>
        <w:trPr>
          <w:trHeight w:val="250"/>
        </w:trPr>
        <w:tc>
          <w:tcPr>
            <w:tcW w:w="2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Stephen D. Milligan</w:t>
            </w:r>
          </w:p>
        </w:tc>
        <w:tc>
          <w:tcPr>
            <w:tcW w:w="58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President and Chief Executive Officer</w:t>
            </w: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1,050,000</w:t>
            </w:r>
          </w:p>
        </w:tc>
      </w:tr>
      <w:tr>
        <w:trPr>
          <w:trHeight w:val="243"/>
        </w:trPr>
        <w:tc>
          <w:tcPr>
            <w:tcW w:w="2380" w:type="dxa"/>
            <w:vAlign w:val="bottom"/>
          </w:tcPr>
          <w:p>
            <w:pPr>
              <w:ind w:left="60"/>
              <w:spacing w:after="0"/>
              <w:rPr>
                <w:sz w:val="20"/>
                <w:szCs w:val="20"/>
                <w:color w:val="auto"/>
              </w:rPr>
            </w:pPr>
            <w:r>
              <w:rPr>
                <w:rFonts w:ascii="Arial" w:cs="Arial" w:eastAsia="Arial" w:hAnsi="Arial"/>
                <w:sz w:val="18"/>
                <w:szCs w:val="18"/>
                <w:color w:val="auto"/>
              </w:rPr>
              <w:t>Michael D. Cordano</w:t>
            </w:r>
          </w:p>
        </w:tc>
        <w:tc>
          <w:tcPr>
            <w:tcW w:w="5840" w:type="dxa"/>
            <w:vAlign w:val="bottom"/>
          </w:tcPr>
          <w:p>
            <w:pPr>
              <w:ind w:left="780"/>
              <w:spacing w:after="0"/>
              <w:rPr>
                <w:sz w:val="20"/>
                <w:szCs w:val="20"/>
                <w:color w:val="auto"/>
              </w:rPr>
            </w:pPr>
            <w:r>
              <w:rPr>
                <w:rFonts w:ascii="Arial" w:cs="Arial" w:eastAsia="Arial" w:hAnsi="Arial"/>
                <w:sz w:val="18"/>
                <w:szCs w:val="18"/>
                <w:color w:val="auto"/>
              </w:rPr>
              <w:t>President, HGST Subsidiary</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700,000</w:t>
            </w:r>
          </w:p>
        </w:tc>
      </w:tr>
      <w:tr>
        <w:trPr>
          <w:trHeight w:val="27"/>
        </w:trPr>
        <w:tc>
          <w:tcPr>
            <w:tcW w:w="23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James J. Murphy</w:t>
            </w:r>
          </w:p>
        </w:tc>
        <w:tc>
          <w:tcPr>
            <w:tcW w:w="58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President, WD Subsidiary</w:t>
            </w: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625,000</w:t>
            </w:r>
          </w:p>
        </w:tc>
      </w:tr>
      <w:tr>
        <w:trPr>
          <w:trHeight w:val="270"/>
        </w:trPr>
        <w:tc>
          <w:tcPr>
            <w:tcW w:w="2380" w:type="dxa"/>
            <w:vAlign w:val="bottom"/>
          </w:tcPr>
          <w:p>
            <w:pPr>
              <w:ind w:left="60"/>
              <w:spacing w:after="0"/>
              <w:rPr>
                <w:sz w:val="20"/>
                <w:szCs w:val="20"/>
                <w:color w:val="auto"/>
              </w:rPr>
            </w:pPr>
            <w:r>
              <w:rPr>
                <w:rFonts w:ascii="Arial" w:cs="Arial" w:eastAsia="Arial" w:hAnsi="Arial"/>
                <w:sz w:val="18"/>
                <w:szCs w:val="18"/>
                <w:color w:val="auto"/>
              </w:rPr>
              <w:t>Mark P. Long</w:t>
            </w:r>
          </w:p>
        </w:tc>
        <w:tc>
          <w:tcPr>
            <w:tcW w:w="5840" w:type="dxa"/>
            <w:vAlign w:val="bottom"/>
          </w:tcPr>
          <w:p>
            <w:pPr>
              <w:ind w:left="780"/>
              <w:spacing w:after="0"/>
              <w:rPr>
                <w:sz w:val="20"/>
                <w:szCs w:val="20"/>
                <w:color w:val="auto"/>
              </w:rPr>
            </w:pPr>
            <w:r>
              <w:rPr>
                <w:rFonts w:ascii="Arial" w:cs="Arial" w:eastAsia="Arial" w:hAnsi="Arial"/>
                <w:sz w:val="18"/>
                <w:szCs w:val="18"/>
                <w:color w:val="auto"/>
              </w:rPr>
              <w:t>Executive Vice President, Chief Strategy Officer</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500,000</w:t>
            </w:r>
          </w:p>
        </w:tc>
      </w:tr>
    </w:tbl>
    <w:p>
      <w:pPr>
        <w:spacing w:after="0" w:line="40" w:lineRule="exact"/>
        <w:rPr>
          <w:sz w:val="20"/>
          <w:szCs w:val="20"/>
          <w:color w:val="auto"/>
        </w:rPr>
      </w:pPr>
    </w:p>
    <w:p>
      <w:pPr>
        <w:ind w:right="320"/>
        <w:spacing w:after="0" w:line="324" w:lineRule="auto"/>
        <w:rPr>
          <w:sz w:val="20"/>
          <w:szCs w:val="20"/>
          <w:color w:val="auto"/>
        </w:rPr>
      </w:pPr>
      <w:r>
        <w:rPr>
          <w:rFonts w:ascii="Arial" w:cs="Arial" w:eastAsia="Arial" w:hAnsi="Arial"/>
          <w:sz w:val="18"/>
          <w:szCs w:val="18"/>
          <w:color w:val="auto"/>
        </w:rPr>
        <w:t>In addition, Olivier C. Leonetti, who was appointed by our Board of Directors as our Executive Vice President and Chief Financial Officer, effective as of September 8, 2014, has an annual base salary of $500,000.</w:t>
      </w:r>
    </w:p>
    <w:p>
      <w:pPr>
        <w:spacing w:after="0" w:line="170" w:lineRule="exact"/>
        <w:rPr>
          <w:sz w:val="20"/>
          <w:szCs w:val="20"/>
          <w:color w:val="auto"/>
        </w:rPr>
      </w:pPr>
    </w:p>
    <w:p>
      <w:pPr>
        <w:ind w:right="120" w:firstLine="432"/>
        <w:spacing w:after="0" w:line="323" w:lineRule="auto"/>
        <w:rPr>
          <w:sz w:val="20"/>
          <w:szCs w:val="20"/>
          <w:color w:val="auto"/>
        </w:rPr>
      </w:pPr>
      <w:r>
        <w:rPr>
          <w:rFonts w:ascii="Arial" w:cs="Arial" w:eastAsia="Arial" w:hAnsi="Arial"/>
          <w:sz w:val="17"/>
          <w:szCs w:val="17"/>
          <w:i w:val="1"/>
          <w:iCs w:val="1"/>
          <w:color w:val="auto"/>
        </w:rPr>
        <w:t>Semi-Annual Bonuses</w:t>
      </w:r>
      <w:r>
        <w:rPr>
          <w:rFonts w:ascii="Arial" w:cs="Arial" w:eastAsia="Arial" w:hAnsi="Arial"/>
          <w:sz w:val="17"/>
          <w:szCs w:val="17"/>
          <w:color w:val="auto"/>
        </w:rPr>
        <w:t>. Under the Company’s Amended and Restated 2004 Performance Incentive Plan, the Named Executive Officers are also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cash bonus awards pursuant to the Company’s Incentive Compensation Plan (the “ICP”). The cash bonus awards are determined based on the Company’s achievement of performance goals pre-established by the Compensation Committee (the “Committee”) of the Company’s Board of Directors as well as other discretionary factors. The ICP for fiscal 2015, including the performance goals established by the Committee for the first and second halves of fiscal 2015, are further described in the Company’s current reports on Form 8-K filed with the Securities and Exchange Commission on August 6, 2014 and February 5, 2015, respectively, which are incorporated herein by reference.</w:t>
      </w:r>
    </w:p>
    <w:p>
      <w:pPr>
        <w:spacing w:after="0" w:line="218" w:lineRule="exact"/>
        <w:rPr>
          <w:sz w:val="20"/>
          <w:szCs w:val="20"/>
          <w:color w:val="auto"/>
        </w:rPr>
      </w:pPr>
    </w:p>
    <w:p>
      <w:pPr>
        <w:ind w:right="20" w:firstLine="432"/>
        <w:spacing w:after="0" w:line="304" w:lineRule="auto"/>
        <w:rPr>
          <w:sz w:val="20"/>
          <w:szCs w:val="20"/>
          <w:color w:val="auto"/>
        </w:rPr>
      </w:pPr>
      <w:r>
        <w:rPr>
          <w:rFonts w:ascii="Arial" w:cs="Arial" w:eastAsia="Arial" w:hAnsi="Arial"/>
          <w:sz w:val="18"/>
          <w:szCs w:val="18"/>
          <w:i w:val="1"/>
          <w:iCs w:val="1"/>
          <w:color w:val="auto"/>
        </w:rPr>
        <w:t>Additional Compensation</w:t>
      </w:r>
      <w:r>
        <w:rPr>
          <w:rFonts w:ascii="Arial" w:cs="Arial" w:eastAsia="Arial" w:hAnsi="Arial"/>
          <w:sz w:val="18"/>
          <w:szCs w:val="18"/>
          <w:color w:val="auto"/>
        </w:rPr>
        <w:t>. The Named Executive Officers are also eligible to receive equity-based incentives and discretionary bonuses 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by the Committee, entitled to participate in various Company plans, and subject to other written agreements, in each case as set forth in exhibits to the Company’s filings with the Securities and Exchange Commission. In addition, the Named Executive Officers may be eligible to receive perquisites and other personal benefits as disclosed in the Company’s Proxy Statement filed with the Securities and Exchange Commission in connection with the Company’s 2014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306" w:lineRule="exact"/>
        <w:rPr>
          <w:sz w:val="20"/>
          <w:szCs w:val="20"/>
          <w:color w:val="auto"/>
        </w:rPr>
      </w:pPr>
    </w:p>
    <w:p>
      <w:pPr>
        <w:ind w:right="280" w:firstLine="432"/>
        <w:spacing w:after="0" w:line="324" w:lineRule="auto"/>
        <w:rPr>
          <w:sz w:val="20"/>
          <w:szCs w:val="20"/>
          <w:color w:val="auto"/>
        </w:rPr>
      </w:pPr>
      <w:r>
        <w:rPr>
          <w:rFonts w:ascii="Arial" w:cs="Arial" w:eastAsia="Arial" w:hAnsi="Arial"/>
          <w:sz w:val="18"/>
          <w:szCs w:val="18"/>
          <w:i w:val="1"/>
          <w:iCs w:val="1"/>
          <w:color w:val="auto"/>
        </w:rPr>
        <w:t xml:space="preserve">Annual Retainer and Committee Retainer Fees. </w:t>
      </w:r>
      <w:r>
        <w:rPr>
          <w:rFonts w:ascii="Arial" w:cs="Arial" w:eastAsia="Arial" w:hAnsi="Arial"/>
          <w:sz w:val="18"/>
          <w:szCs w:val="18"/>
          <w:color w:val="auto"/>
        </w:rPr>
        <w:t>The following table sets forth the current annual retainer and committee membership fees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non-employee directors:</w:t>
      </w:r>
    </w:p>
    <w:p>
      <w:pPr>
        <w:sectPr>
          <w:pgSz w:w="11900" w:h="16838" w:orient="portrait"/>
          <w:cols w:equalWidth="0" w:num="1">
            <w:col w:w="11420"/>
          </w:cols>
          <w:pgMar w:left="240" w:top="607"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jc w:val="right"/>
              <w:ind w:right="833"/>
              <w:spacing w:after="0"/>
              <w:rPr>
                <w:sz w:val="20"/>
                <w:szCs w:val="20"/>
                <w:color w:val="auto"/>
              </w:rPr>
            </w:pPr>
            <w:r>
              <w:rPr>
                <w:rFonts w:ascii="Arial" w:cs="Arial" w:eastAsia="Arial" w:hAnsi="Arial"/>
                <w:sz w:val="14"/>
                <w:szCs w:val="14"/>
                <w:b w:val="1"/>
                <w:bCs w:val="1"/>
                <w:color w:val="auto"/>
              </w:rPr>
              <w:t>Current Annual</w:t>
            </w:r>
          </w:p>
        </w:tc>
      </w:tr>
      <w:tr>
        <w:trPr>
          <w:trHeight w:val="192"/>
        </w:trPr>
        <w:tc>
          <w:tcPr>
            <w:tcW w:w="858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b w:val="1"/>
                <w:bCs w:val="1"/>
                <w:color w:val="auto"/>
              </w:rPr>
              <w:t>Type of Fee</w:t>
            </w:r>
          </w:p>
        </w:tc>
        <w:tc>
          <w:tcPr>
            <w:tcW w:w="5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Retainer Fees</w:t>
            </w:r>
          </w:p>
        </w:tc>
      </w:tr>
      <w:tr>
        <w:trPr>
          <w:trHeight w:val="250"/>
        </w:trPr>
        <w:tc>
          <w:tcPr>
            <w:tcW w:w="85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Annual Retainer</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75,000</w:t>
            </w:r>
          </w:p>
        </w:tc>
      </w:tr>
      <w:tr>
        <w:trPr>
          <w:trHeight w:val="243"/>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Lead Independent Director Retainer</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53"/>
              <w:spacing w:after="0"/>
              <w:rPr>
                <w:sz w:val="20"/>
                <w:szCs w:val="20"/>
                <w:color w:val="auto"/>
              </w:rPr>
            </w:pPr>
            <w:r>
              <w:rPr>
                <w:rFonts w:ascii="Arial" w:cs="Arial" w:eastAsia="Arial" w:hAnsi="Arial"/>
                <w:sz w:val="18"/>
                <w:szCs w:val="18"/>
                <w:color w:val="auto"/>
              </w:rPr>
              <w:t>20,000</w:t>
            </w:r>
          </w:p>
        </w:tc>
      </w:tr>
      <w:tr>
        <w:trPr>
          <w:trHeight w:val="27"/>
        </w:trPr>
        <w:tc>
          <w:tcPr>
            <w:tcW w:w="85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Non-Executive Chairman of Board Retainer</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100,000</w:t>
            </w:r>
          </w:p>
        </w:tc>
      </w:tr>
      <w:tr>
        <w:trPr>
          <w:trHeight w:val="243"/>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Additional Committee Retainers</w:t>
            </w:r>
          </w:p>
        </w:tc>
        <w:tc>
          <w:tcPr>
            <w:tcW w:w="5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8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Audit Committee</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15,000</w:t>
            </w:r>
          </w:p>
        </w:tc>
      </w:tr>
      <w:tr>
        <w:trPr>
          <w:trHeight w:val="243"/>
        </w:trPr>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8000" w:type="dxa"/>
            <w:vAlign w:val="bottom"/>
          </w:tcPr>
          <w:p>
            <w:pPr>
              <w:ind w:left="120"/>
              <w:spacing w:after="0"/>
              <w:rPr>
                <w:sz w:val="20"/>
                <w:szCs w:val="20"/>
                <w:color w:val="auto"/>
              </w:rPr>
            </w:pPr>
            <w:r>
              <w:rPr>
                <w:rFonts w:ascii="Arial" w:cs="Arial" w:eastAsia="Arial" w:hAnsi="Arial"/>
                <w:sz w:val="18"/>
                <w:szCs w:val="18"/>
                <w:color w:val="auto"/>
              </w:rPr>
              <w:t>Compensation Committee</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53"/>
              <w:spacing w:after="0"/>
              <w:rPr>
                <w:sz w:val="20"/>
                <w:szCs w:val="20"/>
                <w:color w:val="auto"/>
              </w:rPr>
            </w:pPr>
            <w:r>
              <w:rPr>
                <w:rFonts w:ascii="Arial" w:cs="Arial" w:eastAsia="Arial" w:hAnsi="Arial"/>
                <w:sz w:val="18"/>
                <w:szCs w:val="18"/>
                <w:color w:val="auto"/>
              </w:rPr>
              <w:t>12,500</w:t>
            </w:r>
          </w:p>
        </w:tc>
      </w:tr>
      <w:tr>
        <w:trPr>
          <w:trHeight w:val="27"/>
        </w:trPr>
        <w:tc>
          <w:tcPr>
            <w:tcW w:w="580" w:type="dxa"/>
            <w:vAlign w:val="bottom"/>
          </w:tcPr>
          <w:p>
            <w:pPr>
              <w:spacing w:after="0"/>
              <w:rPr>
                <w:sz w:val="2"/>
                <w:szCs w:val="2"/>
                <w:color w:val="auto"/>
              </w:rPr>
            </w:pPr>
          </w:p>
        </w:tc>
        <w:tc>
          <w:tcPr>
            <w:tcW w:w="8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Governance Committee</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7,500</w:t>
            </w:r>
          </w:p>
        </w:tc>
      </w:tr>
      <w:tr>
        <w:trPr>
          <w:trHeight w:val="243"/>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Additional Committee Chairman Retainers</w:t>
            </w:r>
          </w:p>
        </w:tc>
        <w:tc>
          <w:tcPr>
            <w:tcW w:w="5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8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Audit Committee</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r>
      <w:tr>
        <w:trPr>
          <w:trHeight w:val="243"/>
        </w:trPr>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8000" w:type="dxa"/>
            <w:vAlign w:val="bottom"/>
          </w:tcPr>
          <w:p>
            <w:pPr>
              <w:ind w:left="120"/>
              <w:spacing w:after="0"/>
              <w:rPr>
                <w:sz w:val="20"/>
                <w:szCs w:val="20"/>
                <w:color w:val="auto"/>
              </w:rPr>
            </w:pPr>
            <w:r>
              <w:rPr>
                <w:rFonts w:ascii="Arial" w:cs="Arial" w:eastAsia="Arial" w:hAnsi="Arial"/>
                <w:sz w:val="18"/>
                <w:szCs w:val="18"/>
                <w:color w:val="auto"/>
              </w:rPr>
              <w:t>Compensation Committee</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53"/>
              <w:spacing w:after="0"/>
              <w:rPr>
                <w:sz w:val="20"/>
                <w:szCs w:val="20"/>
                <w:color w:val="auto"/>
              </w:rPr>
            </w:pPr>
            <w:r>
              <w:rPr>
                <w:rFonts w:ascii="Arial" w:cs="Arial" w:eastAsia="Arial" w:hAnsi="Arial"/>
                <w:sz w:val="18"/>
                <w:szCs w:val="18"/>
                <w:color w:val="auto"/>
              </w:rPr>
              <w:t>22,500</w:t>
            </w:r>
          </w:p>
        </w:tc>
      </w:tr>
      <w:tr>
        <w:trPr>
          <w:trHeight w:val="27"/>
        </w:trPr>
        <w:tc>
          <w:tcPr>
            <w:tcW w:w="580" w:type="dxa"/>
            <w:vAlign w:val="bottom"/>
          </w:tcPr>
          <w:p>
            <w:pPr>
              <w:spacing w:after="0"/>
              <w:rPr>
                <w:sz w:val="2"/>
                <w:szCs w:val="2"/>
                <w:color w:val="auto"/>
              </w:rPr>
            </w:pPr>
          </w:p>
        </w:tc>
        <w:tc>
          <w:tcPr>
            <w:tcW w:w="8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Governance Committee</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12,500</w:t>
            </w:r>
          </w:p>
        </w:tc>
      </w:tr>
      <w:tr>
        <w:trPr>
          <w:trHeight w:val="27"/>
        </w:trPr>
        <w:tc>
          <w:tcPr>
            <w:tcW w:w="58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right="100" w:firstLine="432"/>
        <w:spacing w:after="0" w:line="306" w:lineRule="auto"/>
        <w:rPr>
          <w:sz w:val="20"/>
          <w:szCs w:val="20"/>
          <w:color w:val="auto"/>
        </w:rPr>
      </w:pPr>
      <w:r>
        <w:rPr>
          <w:rFonts w:ascii="Arial" w:cs="Arial" w:eastAsia="Arial" w:hAnsi="Arial"/>
          <w:sz w:val="18"/>
          <w:szCs w:val="18"/>
          <w:color w:val="auto"/>
        </w:rPr>
        <w:t>The annual retainer fees are paid immediately following the Annual Meeting of Stockholders. Non-employee directors do not receive a separate fee for each Board of Directors or committee meeting they attend. However, the Company reimburses all non-employee directors for reasonable out-of-pocket expenses incurred to attend each Board of Directors or committee meeting. Mr. Milligan, who is an employee of the Company, does not receive any compensation for his service on the Board or any Board committee.</w:t>
      </w:r>
    </w:p>
    <w:p>
      <w:pPr>
        <w:spacing w:after="0" w:line="227" w:lineRule="exact"/>
        <w:rPr>
          <w:sz w:val="20"/>
          <w:szCs w:val="20"/>
          <w:color w:val="auto"/>
        </w:rPr>
      </w:pPr>
    </w:p>
    <w:p>
      <w:pPr>
        <w:ind w:right="100" w:firstLine="432"/>
        <w:spacing w:after="0" w:line="336" w:lineRule="auto"/>
        <w:rPr>
          <w:sz w:val="20"/>
          <w:szCs w:val="20"/>
          <w:color w:val="auto"/>
        </w:rPr>
      </w:pPr>
      <w:r>
        <w:rPr>
          <w:rFonts w:ascii="Arial" w:cs="Arial" w:eastAsia="Arial" w:hAnsi="Arial"/>
          <w:sz w:val="17"/>
          <w:szCs w:val="17"/>
          <w:i w:val="1"/>
          <w:iCs w:val="1"/>
          <w:color w:val="auto"/>
        </w:rPr>
        <w:t>Additional Director Compensation</w:t>
      </w:r>
      <w:r>
        <w:rPr>
          <w:rFonts w:ascii="Arial" w:cs="Arial" w:eastAsia="Arial" w:hAnsi="Arial"/>
          <w:sz w:val="17"/>
          <w:szCs w:val="17"/>
          <w:color w:val="auto"/>
        </w:rPr>
        <w:t>. The Company’s non-employee directors are also entitled to participate in the following other Company plans as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exhibits to the Company’s filings with the Securities and Exchange Commission: Non-Employee Director Restricted Stock Unit Grant Program, as adopted under the Company’s Amended and Restated 2004 Performance Incentive Plan; and Deferred Compensation Plan.</w:t>
      </w:r>
    </w:p>
    <w:p>
      <w:pPr>
        <w:sectPr>
          <w:pgSz w:w="11900" w:h="16838" w:orient="portrait"/>
          <w:cols w:equalWidth="0" w:num="1">
            <w:col w:w="11420"/>
          </w:cols>
          <w:pgMar w:left="240" w:top="549"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10.1.8</w:t>
      </w:r>
    </w:p>
    <w:p>
      <w:pPr>
        <w:spacing w:after="0" w:line="28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WESTERN DIGITAL CORPORATION</w:t>
      </w:r>
    </w:p>
    <w:p>
      <w:pPr>
        <w:spacing w:after="0" w:line="28"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INCENTIVE COMPENSATION PLAN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August 5, 2015</w:t>
      </w:r>
    </w:p>
    <w:p>
      <w:pPr>
        <w:spacing w:after="0" w:line="22"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22" w:lineRule="exact"/>
        <w:rPr>
          <w:rFonts w:ascii="Arial" w:cs="Arial" w:eastAsia="Arial" w:hAnsi="Arial"/>
          <w:sz w:val="22"/>
          <w:szCs w:val="22"/>
          <w:b w:val="1"/>
          <w:bCs w:val="1"/>
          <w:color w:val="auto"/>
        </w:rPr>
      </w:pPr>
    </w:p>
    <w:p>
      <w:pPr>
        <w:jc w:val="both"/>
        <w:ind w:left="660"/>
        <w:spacing w:after="0" w:line="247" w:lineRule="auto"/>
        <w:rPr>
          <w:rFonts w:ascii="Arial" w:cs="Arial" w:eastAsia="Arial" w:hAnsi="Arial"/>
          <w:sz w:val="22"/>
          <w:szCs w:val="22"/>
          <w:b w:val="1"/>
          <w:bCs w:val="1"/>
          <w:color w:val="auto"/>
        </w:rPr>
      </w:pPr>
      <w:r>
        <w:rPr>
          <w:rFonts w:ascii="Arial" w:cs="Arial" w:eastAsia="Arial" w:hAnsi="Arial"/>
          <w:sz w:val="22"/>
          <w:szCs w:val="22"/>
          <w:color w:val="auto"/>
        </w:rPr>
        <w:t xml:space="preserve">The purpose of this Western Digital Corporation Incentive Compensation Plan (this </w:t>
      </w:r>
      <w:r>
        <w:rPr>
          <w:rFonts w:ascii="Arial" w:cs="Arial" w:eastAsia="Arial" w:hAnsi="Arial"/>
          <w:sz w:val="22"/>
          <w:szCs w:val="22"/>
          <w:b w:val="1"/>
          <w:bCs w:val="1"/>
          <w:color w:val="auto"/>
        </w:rPr>
        <w:t>“Plan”</w:t>
      </w:r>
      <w:r>
        <w:rPr>
          <w:rFonts w:ascii="Arial" w:cs="Arial" w:eastAsia="Arial" w:hAnsi="Arial"/>
          <w:sz w:val="22"/>
          <w:szCs w:val="22"/>
          <w:color w:val="auto"/>
        </w:rPr>
        <w:t xml:space="preserve">) is to promote the success of Western Digital Corporation,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by (i) compensating and rewarding participating employees with bonuses for the achievement of pre-established performance goals, (ii) motivating such employees by giving them opportunities to receive bonuses directly related to such performance, and (iii) retaining employees by offering them an opportunity to share in the Company’s success. Bonuses paid to the Company’s executive officers (as defined in Rule 16a-1(f) of the Securities Exchange Act of 1934, as amended) (“</w:t>
      </w:r>
      <w:r>
        <w:rPr>
          <w:rFonts w:ascii="Arial" w:cs="Arial" w:eastAsia="Arial" w:hAnsi="Arial"/>
          <w:sz w:val="22"/>
          <w:szCs w:val="22"/>
          <w:b w:val="1"/>
          <w:bCs w:val="1"/>
          <w:color w:val="auto"/>
        </w:rPr>
        <w:t>Executive Officers</w:t>
      </w:r>
      <w:r>
        <w:rPr>
          <w:rFonts w:ascii="Arial" w:cs="Arial" w:eastAsia="Arial" w:hAnsi="Arial"/>
          <w:sz w:val="22"/>
          <w:szCs w:val="22"/>
          <w:color w:val="auto"/>
        </w:rPr>
        <w:t>”) in accordance with this Plan constitute cash awards paid under and pursuant to the Company’s Amended and Restated 2004 Performance Incentive Plan (the “</w:t>
      </w:r>
      <w:r>
        <w:rPr>
          <w:rFonts w:ascii="Arial" w:cs="Arial" w:eastAsia="Arial" w:hAnsi="Arial"/>
          <w:sz w:val="22"/>
          <w:szCs w:val="22"/>
          <w:b w:val="1"/>
          <w:bCs w:val="1"/>
          <w:color w:val="auto"/>
        </w:rPr>
        <w:t>2004 Plan</w:t>
      </w:r>
      <w:r>
        <w:rPr>
          <w:rFonts w:ascii="Arial" w:cs="Arial" w:eastAsia="Arial" w:hAnsi="Arial"/>
          <w:sz w:val="22"/>
          <w:szCs w:val="22"/>
          <w:color w:val="auto"/>
        </w:rPr>
        <w:t>”).</w:t>
      </w:r>
    </w:p>
    <w:p>
      <w:pPr>
        <w:spacing w:after="0" w:line="213" w:lineRule="exact"/>
        <w:rPr>
          <w:rFonts w:ascii="Arial" w:cs="Arial" w:eastAsia="Arial" w:hAnsi="Arial"/>
          <w:sz w:val="22"/>
          <w:szCs w:val="22"/>
          <w:b w:val="1"/>
          <w:bCs w:val="1"/>
          <w:color w:val="auto"/>
        </w:rPr>
      </w:pPr>
    </w:p>
    <w:p>
      <w:pPr>
        <w:ind w:left="660" w:hanging="652"/>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4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“2004 Plan” </w:t>
      </w:r>
      <w:r>
        <w:rPr>
          <w:rFonts w:ascii="Arial" w:cs="Arial" w:eastAsia="Arial" w:hAnsi="Arial"/>
          <w:sz w:val="22"/>
          <w:szCs w:val="22"/>
          <w:color w:val="auto"/>
        </w:rPr>
        <w:t>has the meaning ascribed to such term in Section 1 of this Plan.</w:t>
      </w:r>
    </w:p>
    <w:p>
      <w:pPr>
        <w:spacing w:after="0" w:line="246" w:lineRule="exact"/>
        <w:rPr>
          <w:rFonts w:ascii="Arial" w:cs="Arial" w:eastAsia="Arial" w:hAnsi="Arial"/>
          <w:sz w:val="22"/>
          <w:szCs w:val="22"/>
          <w:b w:val="1"/>
          <w:bCs w:val="1"/>
          <w:color w:val="auto"/>
        </w:rPr>
      </w:pPr>
    </w:p>
    <w:p>
      <w:pPr>
        <w:jc w:val="both"/>
        <w:ind w:left="660"/>
        <w:spacing w:after="0" w:line="252"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“Administrator” </w:t>
      </w:r>
      <w:r>
        <w:rPr>
          <w:rFonts w:ascii="Arial" w:cs="Arial" w:eastAsia="Arial" w:hAnsi="Arial"/>
          <w:sz w:val="22"/>
          <w:szCs w:val="22"/>
          <w:color w:val="auto"/>
        </w:rPr>
        <w:t>means the Compensation Committee with respect to Participants who are Executive Officers, and for all</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Participants means the Chief Executive Officer of the Company or any other officer of the Company (within his delegated authority) to whom the Chief Executive Officer has delegated authority under this Plan in accordance with Section 3.1.</w:t>
      </w:r>
    </w:p>
    <w:p>
      <w:pPr>
        <w:spacing w:after="0" w:line="207" w:lineRule="exact"/>
        <w:rPr>
          <w:rFonts w:ascii="Arial" w:cs="Arial" w:eastAsia="Arial" w:hAnsi="Arial"/>
          <w:sz w:val="22"/>
          <w:szCs w:val="22"/>
          <w:b w:val="1"/>
          <w:bCs w:val="1"/>
          <w:color w:val="auto"/>
        </w:rPr>
      </w:pPr>
    </w:p>
    <w:p>
      <w:pPr>
        <w:ind w:left="660"/>
        <w:spacing w:after="0" w:line="26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means an award to each Participant of an opportunity to receive a Bonus under this Plan, subject to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of this Plan.</w:t>
      </w:r>
    </w:p>
    <w:p>
      <w:pPr>
        <w:spacing w:after="0" w:line="189" w:lineRule="exact"/>
        <w:rPr>
          <w:rFonts w:ascii="Arial" w:cs="Arial" w:eastAsia="Arial" w:hAnsi="Arial"/>
          <w:sz w:val="22"/>
          <w:szCs w:val="22"/>
          <w:b w:val="1"/>
          <w:bCs w:val="1"/>
          <w:color w:val="auto"/>
        </w:rPr>
      </w:pPr>
    </w:p>
    <w:p>
      <w:pPr>
        <w:jc w:val="both"/>
        <w:ind w:left="660"/>
        <w:spacing w:after="0" w:line="298"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“Eligible Wages” </w:t>
      </w:r>
      <w:r>
        <w:rPr>
          <w:rFonts w:ascii="Arial" w:cs="Arial" w:eastAsia="Arial" w:hAnsi="Arial"/>
          <w:sz w:val="19"/>
          <w:szCs w:val="19"/>
          <w:color w:val="auto"/>
        </w:rPr>
        <w:t>for any Performance Period means the amount of wages paid to a Participant by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during that Performance Period, exclusive of any commissions, bonuses or other actual or imputed income from any benefits, stock or incentive awards, or perquisites provided by the Company or a Subsidiary, but prior to any reductions for salary deferred pursuant to any deferred compensation plan or for contributions to a plan qualifying under Section 401(k) of the Code or contributions to a cafeteria plan under Section 125 of the Code.</w:t>
      </w:r>
    </w:p>
    <w:p>
      <w:pPr>
        <w:spacing w:after="0" w:line="169" w:lineRule="exact"/>
        <w:rPr>
          <w:rFonts w:ascii="Arial" w:cs="Arial" w:eastAsia="Arial" w:hAnsi="Arial"/>
          <w:sz w:val="22"/>
          <w:szCs w:val="22"/>
          <w:b w:val="1"/>
          <w:bCs w:val="1"/>
          <w:color w:val="auto"/>
        </w:rPr>
      </w:pPr>
    </w:p>
    <w:p>
      <w:pPr>
        <w:ind w:left="660" w:right="3320"/>
        <w:spacing w:after="0" w:line="548"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“Executive Officers” </w:t>
      </w:r>
      <w:r>
        <w:rPr>
          <w:rFonts w:ascii="Arial" w:cs="Arial" w:eastAsia="Arial" w:hAnsi="Arial"/>
          <w:sz w:val="19"/>
          <w:szCs w:val="19"/>
          <w:color w:val="auto"/>
        </w:rPr>
        <w:t>has the meaning ascribed to such term in Section 1 of this Plan.</w:t>
      </w:r>
      <w:r>
        <w:rPr>
          <w:rFonts w:ascii="Arial" w:cs="Arial" w:eastAsia="Arial" w:hAnsi="Arial"/>
          <w:sz w:val="19"/>
          <w:szCs w:val="19"/>
          <w:b w:val="1"/>
          <w:bCs w:val="1"/>
          <w:color w:val="auto"/>
        </w:rPr>
        <w:t xml:space="preserve"> “Bonus” </w:t>
      </w:r>
      <w:r>
        <w:rPr>
          <w:rFonts w:ascii="Arial" w:cs="Arial" w:eastAsia="Arial" w:hAnsi="Arial"/>
          <w:sz w:val="19"/>
          <w:szCs w:val="19"/>
          <w:color w:val="auto"/>
        </w:rPr>
        <w:t>means the cash payment payable to a Participant under this Plan.</w:t>
      </w:r>
    </w:p>
    <w:p>
      <w:pPr>
        <w:spacing w:after="0" w:line="1"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from time to time.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91"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has the meaning ascribed to such term in Section 1 of this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Bonus” </w:t>
      </w:r>
      <w:r>
        <w:rPr>
          <w:rFonts w:ascii="Arial" w:cs="Arial" w:eastAsia="Arial" w:hAnsi="Arial"/>
          <w:sz w:val="22"/>
          <w:szCs w:val="22"/>
          <w:color w:val="auto"/>
        </w:rPr>
        <w:t>means the Bonus (if any) payable to a Participant pursuant to Section 4.1 of this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Bonus Pool” </w:t>
      </w:r>
      <w:r>
        <w:rPr>
          <w:rFonts w:ascii="Arial" w:cs="Arial" w:eastAsia="Arial" w:hAnsi="Arial"/>
          <w:sz w:val="22"/>
          <w:szCs w:val="22"/>
          <w:color w:val="auto"/>
        </w:rPr>
        <w:t>has the meaning ascribed to such term in Section 4.1(d) of this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Funding Percentage” </w:t>
      </w:r>
      <w:r>
        <w:rPr>
          <w:rFonts w:ascii="Arial" w:cs="Arial" w:eastAsia="Arial" w:hAnsi="Arial"/>
          <w:sz w:val="22"/>
          <w:szCs w:val="22"/>
          <w:color w:val="auto"/>
        </w:rPr>
        <w:t>has the meaning ascribed to such term in Section 4.1(b) of this Plan.</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“Company Performance Criteria” </w:t>
      </w:r>
      <w:r>
        <w:rPr>
          <w:rFonts w:ascii="Arial" w:cs="Arial" w:eastAsia="Arial" w:hAnsi="Arial"/>
          <w:sz w:val="19"/>
          <w:szCs w:val="19"/>
          <w:color w:val="auto"/>
        </w:rPr>
        <w:t>means, with respect to an Award, the performance goals for the Company established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Administrator for the Award pursuant to Section 4.1(a) of this Plan; provided, that for purposes of any Bonus payable to an Executive Officer, the Company Performance Criteria shall be based on “Business Criteria,” as such term is defined in the 2004 Plan or such other criteria as the Administrator may select in its discretion.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Performance Percentage” </w:t>
      </w:r>
      <w:r>
        <w:rPr>
          <w:rFonts w:ascii="Arial" w:cs="Arial" w:eastAsia="Arial" w:hAnsi="Arial"/>
          <w:sz w:val="22"/>
          <w:szCs w:val="22"/>
          <w:color w:val="auto"/>
        </w:rPr>
        <w:t>has the meaning ascribed to such term in Section 4.1(a) of this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“Compensation Committee” </w:t>
      </w:r>
      <w:r>
        <w:rPr>
          <w:rFonts w:ascii="Arial" w:cs="Arial" w:eastAsia="Arial" w:hAnsi="Arial"/>
          <w:sz w:val="22"/>
          <w:szCs w:val="22"/>
          <w:color w:val="auto"/>
        </w:rPr>
        <w:t>means the Compensation Committee of the Board of Directors of the Company.</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“Discretionary Bonus” </w:t>
      </w:r>
      <w:r>
        <w:rPr>
          <w:rFonts w:ascii="Arial" w:cs="Arial" w:eastAsia="Arial" w:hAnsi="Arial"/>
          <w:sz w:val="21"/>
          <w:szCs w:val="21"/>
          <w:color w:val="auto"/>
        </w:rPr>
        <w:t>means the Bonus (if any) payable to a Participant pursuant to Section 4.2 of this Plan.</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“Discretionary Bonus Pool” </w:t>
      </w:r>
      <w:r>
        <w:rPr>
          <w:rFonts w:ascii="Arial" w:cs="Arial" w:eastAsia="Arial" w:hAnsi="Arial"/>
          <w:sz w:val="22"/>
          <w:szCs w:val="22"/>
          <w:color w:val="auto"/>
        </w:rPr>
        <w:t>has the meaning ascribed to such term in Section 4.2 of this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“Discretionary Funding Percentage” </w:t>
      </w:r>
      <w:r>
        <w:rPr>
          <w:rFonts w:ascii="Arial" w:cs="Arial" w:eastAsia="Arial" w:hAnsi="Arial"/>
          <w:sz w:val="22"/>
          <w:szCs w:val="22"/>
          <w:color w:val="auto"/>
        </w:rPr>
        <w:t>has the meaning ascribed to such term in Section 4.2(b) of this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“Individual Performance Factor” </w:t>
      </w:r>
      <w:r>
        <w:rPr>
          <w:rFonts w:ascii="Arial" w:cs="Arial" w:eastAsia="Arial" w:hAnsi="Arial"/>
          <w:sz w:val="22"/>
          <w:szCs w:val="22"/>
          <w:color w:val="auto"/>
        </w:rPr>
        <w:t>has the meaning ascribed to such term in Section 4.l(c) of this Plan.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 employee of the Company or one of its Subsidiaries who is eligible to participate in this Plan based</w:t>
      </w:r>
      <w:r>
        <w:rPr>
          <w:rFonts w:ascii="Arial" w:cs="Arial" w:eastAsia="Arial" w:hAnsi="Arial"/>
          <w:sz w:val="22"/>
          <w:szCs w:val="22"/>
          <w:b w:val="1"/>
          <w:bCs w:val="1"/>
          <w:color w:val="auto"/>
        </w:rPr>
        <w:t xml:space="preserve"> </w:t>
      </w:r>
      <w:r>
        <w:rPr>
          <w:rFonts w:ascii="Arial" w:cs="Arial" w:eastAsia="Arial" w:hAnsi="Arial"/>
          <w:sz w:val="22"/>
          <w:szCs w:val="22"/>
          <w:color w:val="auto"/>
        </w:rPr>
        <w:t>on such employee’s level as determined by the Company, or who is otherwise selected to participate in this Plan by the Administrator.</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“Performance Period” </w:t>
      </w:r>
      <w:r>
        <w:rPr>
          <w:rFonts w:ascii="Arial" w:cs="Arial" w:eastAsia="Arial" w:hAnsi="Arial"/>
          <w:sz w:val="19"/>
          <w:szCs w:val="19"/>
          <w:color w:val="auto"/>
        </w:rPr>
        <w:t>means the period covered by an Award granted under this Plan. Unless otherwise determined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the Performance Period will be the period beginning on the first day of the Company’s first fiscal quarter and ending on the last day of the Company’s second fiscal quarter or the period beginning on the first day of the Company’s third fiscal quarter and ending on the last day of the Company’s fourth fiscal quarter, as applicable.</w:t>
      </w: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60"/>
          </w:cols>
          <w:pgMar w:left="900" w:top="369"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has the meaning ascribed to such term in Section 1 of this Plan.</w:t>
      </w:r>
    </w:p>
    <w:p>
      <w:pPr>
        <w:spacing w:after="0" w:line="247"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or other entity a majority of whose outstanding voting stock or voting power is</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beneficially owned directly or indirectly by the Company.</w:t>
      </w:r>
    </w:p>
    <w:p>
      <w:pPr>
        <w:spacing w:after="0" w:line="189"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 xml:space="preserve">“Target Bonus” </w:t>
      </w:r>
      <w:r>
        <w:rPr>
          <w:rFonts w:ascii="Arial" w:cs="Arial" w:eastAsia="Arial" w:hAnsi="Arial"/>
          <w:sz w:val="22"/>
          <w:szCs w:val="22"/>
          <w:color w:val="auto"/>
        </w:rPr>
        <w:t>with respect to an Award means the amount obtained by multiplying (i) the Participant’s Eligible Wages,</w:t>
      </w:r>
      <w:r>
        <w:rPr>
          <w:rFonts w:ascii="Arial" w:cs="Arial" w:eastAsia="Arial" w:hAnsi="Arial"/>
          <w:sz w:val="22"/>
          <w:szCs w:val="22"/>
          <w:b w:val="1"/>
          <w:bCs w:val="1"/>
          <w:color w:val="auto"/>
        </w:rPr>
        <w:t xml:space="preserve"> </w:t>
      </w:r>
      <w:r>
        <w:rPr>
          <w:rFonts w:ascii="Arial" w:cs="Arial" w:eastAsia="Arial" w:hAnsi="Arial"/>
          <w:sz w:val="22"/>
          <w:szCs w:val="22"/>
          <w:color w:val="auto"/>
        </w:rPr>
        <w:t>by (ii) such Participant’s Target Bonus Percentage as in effect at the end of the Performance Period applicable to such Award.</w:t>
      </w:r>
    </w:p>
    <w:p>
      <w:pPr>
        <w:spacing w:after="0" w:line="203"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b w:val="1"/>
          <w:bCs w:val="1"/>
          <w:color w:val="auto"/>
        </w:rPr>
        <w:t xml:space="preserve">“Target Bonus Percentage” </w:t>
      </w:r>
      <w:r>
        <w:rPr>
          <w:rFonts w:ascii="Arial" w:cs="Arial" w:eastAsia="Arial" w:hAnsi="Arial"/>
          <w:sz w:val="22"/>
          <w:szCs w:val="22"/>
          <w:color w:val="auto"/>
        </w:rPr>
        <w:t>means a Participant’s target bonus opportunity, expressed as a percentage of Eligible Wages,</w:t>
      </w:r>
      <w:r>
        <w:rPr>
          <w:rFonts w:ascii="Arial" w:cs="Arial" w:eastAsia="Arial" w:hAnsi="Arial"/>
          <w:sz w:val="22"/>
          <w:szCs w:val="22"/>
          <w:b w:val="1"/>
          <w:bCs w:val="1"/>
          <w:color w:val="auto"/>
        </w:rPr>
        <w:t xml:space="preserve"> </w:t>
      </w:r>
      <w:r>
        <w:rPr>
          <w:rFonts w:ascii="Arial" w:cs="Arial" w:eastAsia="Arial" w:hAnsi="Arial"/>
          <w:sz w:val="22"/>
          <w:szCs w:val="22"/>
          <w:color w:val="auto"/>
        </w:rPr>
        <w:t>as determined from time to time by the Company (or the Committee, with respect to any Executive Officer) based on such Participant’s level or such other target bonus opportunity percentage as may be determined from time to time by the Administrator.</w:t>
      </w:r>
    </w:p>
    <w:p>
      <w:pPr>
        <w:spacing w:after="0" w:line="20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52" w:lineRule="exact"/>
        <w:rPr>
          <w:rFonts w:ascii="Arial" w:cs="Arial" w:eastAsia="Arial" w:hAnsi="Arial"/>
          <w:sz w:val="22"/>
          <w:szCs w:val="22"/>
          <w:b w:val="1"/>
          <w:bCs w:val="1"/>
          <w:color w:val="auto"/>
        </w:rPr>
      </w:pPr>
    </w:p>
    <w:p>
      <w:pPr>
        <w:ind w:left="1300" w:hanging="648"/>
        <w:spacing w:after="0" w:line="250" w:lineRule="auto"/>
        <w:rPr>
          <w:rFonts w:ascii="Arial" w:cs="Arial" w:eastAsia="Arial" w:hAnsi="Arial"/>
          <w:sz w:val="22"/>
          <w:szCs w:val="22"/>
          <w:b w:val="1"/>
          <w:bCs w:val="1"/>
          <w:color w:val="auto"/>
        </w:rPr>
      </w:pPr>
      <w:r>
        <w:rPr>
          <w:rFonts w:ascii="Arial" w:cs="Arial" w:eastAsia="Arial" w:hAnsi="Arial"/>
          <w:sz w:val="20"/>
          <w:szCs w:val="20"/>
          <w:color w:val="auto"/>
        </w:rPr>
        <w:t>3.1</w:t>
      </w:r>
      <w:r>
        <w:rPr>
          <w:rFonts w:ascii="Arial" w:cs="Arial" w:eastAsia="Arial" w:hAnsi="Arial"/>
          <w:sz w:val="22"/>
          <w:szCs w:val="22"/>
          <w:b w:val="1"/>
          <w:bCs w:val="1"/>
          <w:i w:val="1"/>
          <w:iCs w:val="1"/>
          <w:color w:val="auto"/>
        </w:rPr>
        <w:t xml:space="preserve">The Administrator. </w:t>
      </w:r>
      <w:r>
        <w:rPr>
          <w:rFonts w:ascii="Arial" w:cs="Arial" w:eastAsia="Arial" w:hAnsi="Arial"/>
          <w:sz w:val="22"/>
          <w:szCs w:val="22"/>
          <w:color w:val="auto"/>
        </w:rPr>
        <w:t>This Plan shall be administered by the Administrator; provided, however, that, with respect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Participants who are not Executive Officers, the Chief Executive Officer may delegate to one or more officers of the Company or any Subsidiary some or all of the Administrator’s authority under this Plan with respect to one or more Awards.</w:t>
      </w:r>
    </w:p>
    <w:p>
      <w:pPr>
        <w:spacing w:after="0" w:line="209" w:lineRule="exact"/>
        <w:rPr>
          <w:rFonts w:ascii="Arial" w:cs="Arial" w:eastAsia="Arial" w:hAnsi="Arial"/>
          <w:sz w:val="22"/>
          <w:szCs w:val="22"/>
          <w:b w:val="1"/>
          <w:bCs w:val="1"/>
          <w:color w:val="auto"/>
        </w:rPr>
      </w:pPr>
    </w:p>
    <w:p>
      <w:pPr>
        <w:ind w:left="1300" w:hanging="648"/>
        <w:spacing w:after="0" w:line="291" w:lineRule="auto"/>
        <w:rPr>
          <w:rFonts w:ascii="Arial" w:cs="Arial" w:eastAsia="Arial" w:hAnsi="Arial"/>
          <w:sz w:val="22"/>
          <w:szCs w:val="22"/>
          <w:b w:val="1"/>
          <w:bCs w:val="1"/>
          <w:color w:val="auto"/>
        </w:rPr>
      </w:pPr>
      <w:r>
        <w:rPr>
          <w:rFonts w:ascii="Arial" w:cs="Arial" w:eastAsia="Arial" w:hAnsi="Arial"/>
          <w:sz w:val="20"/>
          <w:szCs w:val="20"/>
          <w:color w:val="auto"/>
        </w:rPr>
        <w:t>3.2</w:t>
      </w:r>
      <w:r>
        <w:rPr>
          <w:rFonts w:ascii="Arial" w:cs="Arial" w:eastAsia="Arial" w:hAnsi="Arial"/>
          <w:sz w:val="19"/>
          <w:szCs w:val="19"/>
          <w:b w:val="1"/>
          <w:bCs w:val="1"/>
          <w:i w:val="1"/>
          <w:iCs w:val="1"/>
          <w:color w:val="auto"/>
        </w:rPr>
        <w:t>Powers of the Administrator</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the express provisions of this Plan and, as applicable, the 2004 Plan,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Administrator shall have responsibility for the administration of this Plan in accordance with its terms, including without limitation the authority to (i) determine eligibility to participate in this Plan and, from those individuals determined to be eligible, the particular individuals who will receive an Award under this Plan, and (ii) establish the terms and conditions applicable to each Award. The Administrator shall have the authority to construe and interpret this Plan and any agreements or other document relating to Awards under this Plan, may adopt rules and regulations relating to the administration of this Plan, and shall exercise all other duties and powers conferred on it by this Plan. Any determination by the Administrator shall be final and binding on all Participants.</w:t>
      </w:r>
    </w:p>
    <w:p>
      <w:pPr>
        <w:spacing w:after="0" w:line="176" w:lineRule="exact"/>
        <w:rPr>
          <w:rFonts w:ascii="Arial" w:cs="Arial" w:eastAsia="Arial" w:hAnsi="Arial"/>
          <w:sz w:val="22"/>
          <w:szCs w:val="22"/>
          <w:b w:val="1"/>
          <w:bCs w:val="1"/>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Bonus Provisions.</w:t>
      </w:r>
    </w:p>
    <w:p>
      <w:pPr>
        <w:spacing w:after="0" w:line="252" w:lineRule="exact"/>
        <w:rPr>
          <w:rFonts w:ascii="Arial" w:cs="Arial" w:eastAsia="Arial" w:hAnsi="Arial"/>
          <w:sz w:val="22"/>
          <w:szCs w:val="22"/>
          <w:b w:val="1"/>
          <w:bCs w:val="1"/>
          <w:color w:val="auto"/>
        </w:rPr>
      </w:pPr>
    </w:p>
    <w:p>
      <w:pPr>
        <w:ind w:left="1300" w:hanging="648"/>
        <w:spacing w:after="0" w:line="263" w:lineRule="auto"/>
        <w:rPr>
          <w:rFonts w:ascii="Arial" w:cs="Arial" w:eastAsia="Arial" w:hAnsi="Arial"/>
          <w:sz w:val="22"/>
          <w:szCs w:val="22"/>
          <w:b w:val="1"/>
          <w:bCs w:val="1"/>
          <w:color w:val="auto"/>
        </w:rPr>
      </w:pPr>
      <w:r>
        <w:rPr>
          <w:rFonts w:ascii="Arial" w:cs="Arial" w:eastAsia="Arial" w:hAnsi="Arial"/>
          <w:sz w:val="20"/>
          <w:szCs w:val="20"/>
          <w:color w:val="auto"/>
        </w:rPr>
        <w:t>4.1</w:t>
      </w:r>
      <w:r>
        <w:rPr>
          <w:rFonts w:ascii="Arial" w:cs="Arial" w:eastAsia="Arial" w:hAnsi="Arial"/>
          <w:sz w:val="22"/>
          <w:szCs w:val="22"/>
          <w:b w:val="1"/>
          <w:bCs w:val="1"/>
          <w:i w:val="1"/>
          <w:iCs w:val="1"/>
          <w:color w:val="auto"/>
        </w:rPr>
        <w:t xml:space="preserve">Determination of Company Bonus. </w:t>
      </w:r>
      <w:r>
        <w:rPr>
          <w:rFonts w:ascii="Arial" w:cs="Arial" w:eastAsia="Arial" w:hAnsi="Arial"/>
          <w:sz w:val="22"/>
          <w:szCs w:val="22"/>
          <w:color w:val="auto"/>
        </w:rPr>
        <w:t>The Company Bonus payable with respect to an Award (if any) will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determined under clauses (a), (b), (c) and (d) of this Section 4.1.</w:t>
      </w:r>
    </w:p>
    <w:p>
      <w:pPr>
        <w:spacing w:after="0" w:line="202" w:lineRule="exact"/>
        <w:rPr>
          <w:sz w:val="20"/>
          <w:szCs w:val="20"/>
          <w:color w:val="auto"/>
        </w:rPr>
      </w:pPr>
    </w:p>
    <w:p>
      <w:pPr>
        <w:jc w:val="both"/>
        <w:ind w:left="1960" w:hanging="647"/>
        <w:spacing w:after="0" w:line="271" w:lineRule="auto"/>
        <w:tabs>
          <w:tab w:leader="none" w:pos="19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1"/>
          <w:szCs w:val="21"/>
          <w:u w:val="single" w:color="auto"/>
          <w:color w:val="auto"/>
        </w:rPr>
        <w:t xml:space="preserve">Company Performance Percentage. </w:t>
      </w:r>
      <w:r>
        <w:rPr>
          <w:rFonts w:ascii="Arial" w:cs="Arial" w:eastAsia="Arial" w:hAnsi="Arial"/>
          <w:sz w:val="21"/>
          <w:szCs w:val="21"/>
          <w:color w:val="auto"/>
        </w:rPr>
        <w:t>The Administrator shall establish one or more Company Performance</w:t>
      </w:r>
      <w:r>
        <w:rPr>
          <w:rFonts w:ascii="Arial" w:cs="Arial" w:eastAsia="Arial" w:hAnsi="Arial"/>
          <w:sz w:val="21"/>
          <w:szCs w:val="21"/>
          <w:u w:val="single" w:color="auto"/>
          <w:color w:val="auto"/>
        </w:rPr>
        <w:t xml:space="preserve"> </w:t>
      </w:r>
      <w:r>
        <w:rPr>
          <w:rFonts w:ascii="Arial" w:cs="Arial" w:eastAsia="Arial" w:hAnsi="Arial"/>
          <w:sz w:val="21"/>
          <w:szCs w:val="21"/>
          <w:color w:val="auto"/>
        </w:rPr>
        <w:t>Criteria for the applicable Performance Period and shall provide a formula for measuring the Company’s performance during such Performance Period relative to such Company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9" w:right="239" w:bottom="1440" w:gutter="0" w:footer="0" w:header="0"/>
        </w:sectPr>
      </w:pPr>
    </w:p>
    <w:bookmarkStart w:id="101" w:name="page102"/>
    <w:bookmarkEnd w:id="101"/>
    <w:p>
      <w:pPr>
        <w:jc w:val="both"/>
        <w:ind w:left="760"/>
        <w:spacing w:after="0" w:line="247" w:lineRule="auto"/>
        <w:rPr>
          <w:sz w:val="20"/>
          <w:szCs w:val="20"/>
          <w:color w:val="auto"/>
        </w:rPr>
      </w:pPr>
      <w:r>
        <w:rPr>
          <w:rFonts w:ascii="Arial" w:cs="Arial" w:eastAsia="Arial" w:hAnsi="Arial"/>
          <w:sz w:val="22"/>
          <w:szCs w:val="22"/>
          <w:color w:val="auto"/>
        </w:rPr>
        <w:t xml:space="preserve">Performance Criteria. The formula provided by the Administrator shall yield a measurement of performance ranging from a minimum of zero percent (0%) to two hundred percent (200%), or such other maximum as the Administrator shall determine. At the end of the applicable Performance Period and based upon the formula established by the Administrator, the Administrator shall determine the performance percentage achieved by the Company’s performance during such Performance Period (the </w:t>
      </w:r>
      <w:r>
        <w:rPr>
          <w:rFonts w:ascii="Arial" w:cs="Arial" w:eastAsia="Arial" w:hAnsi="Arial"/>
          <w:sz w:val="22"/>
          <w:szCs w:val="22"/>
          <w:b w:val="1"/>
          <w:bCs w:val="1"/>
          <w:color w:val="auto"/>
        </w:rPr>
        <w:t>“Company Performance</w:t>
      </w:r>
      <w:r>
        <w:rPr>
          <w:rFonts w:ascii="Arial" w:cs="Arial" w:eastAsia="Arial" w:hAnsi="Arial"/>
          <w:sz w:val="22"/>
          <w:szCs w:val="22"/>
          <w:color w:val="auto"/>
        </w:rPr>
        <w:t xml:space="preserve"> </w:t>
      </w:r>
      <w:r>
        <w:rPr>
          <w:rFonts w:ascii="Arial" w:cs="Arial" w:eastAsia="Arial" w:hAnsi="Arial"/>
          <w:sz w:val="22"/>
          <w:szCs w:val="22"/>
          <w:b w:val="1"/>
          <w:bCs w:val="1"/>
          <w:color w:val="auto"/>
        </w:rPr>
        <w:t>Percentage”</w:t>
      </w:r>
      <w:r>
        <w:rPr>
          <w:rFonts w:ascii="Arial" w:cs="Arial" w:eastAsia="Arial" w:hAnsi="Arial"/>
          <w:sz w:val="22"/>
          <w:szCs w:val="22"/>
          <w:color w:val="auto"/>
        </w:rPr>
        <w:t>).</w:t>
      </w:r>
    </w:p>
    <w:p>
      <w:pPr>
        <w:spacing w:after="0" w:line="221" w:lineRule="exact"/>
        <w:rPr>
          <w:sz w:val="20"/>
          <w:szCs w:val="20"/>
          <w:color w:val="auto"/>
        </w:rPr>
      </w:pPr>
    </w:p>
    <w:p>
      <w:pPr>
        <w:jc w:val="both"/>
        <w:ind w:left="760" w:hanging="647"/>
        <w:spacing w:after="0" w:line="286" w:lineRule="auto"/>
        <w:tabs>
          <w:tab w:leader="none" w:pos="7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9"/>
          <w:szCs w:val="19"/>
          <w:u w:val="single" w:color="auto"/>
          <w:color w:val="auto"/>
        </w:rPr>
        <w:t xml:space="preserve">Funding Percentage. </w:t>
      </w:r>
      <w:r>
        <w:rPr>
          <w:rFonts w:ascii="Arial" w:cs="Arial" w:eastAsia="Arial" w:hAnsi="Arial"/>
          <w:sz w:val="19"/>
          <w:szCs w:val="19"/>
          <w:color w:val="auto"/>
        </w:rPr>
        <w:t>In the event that the Company Performance Percentage for a Performance Period equals</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or exceeds such percentage as the Administrator determines in its discretion, the Administrator may allocate a portion of the Company Performance Percentage as it determines to be used for determining a Discretionary Bonus to be paid to Participants at the end of the applicable Performance Period pursuant to Section 4.2 below (such percentage is hereinafter referred to as the </w:t>
      </w:r>
      <w:r>
        <w:rPr>
          <w:rFonts w:ascii="Arial" w:cs="Arial" w:eastAsia="Arial" w:hAnsi="Arial"/>
          <w:sz w:val="19"/>
          <w:szCs w:val="19"/>
          <w:b w:val="1"/>
          <w:bCs w:val="1"/>
          <w:color w:val="auto"/>
        </w:rPr>
        <w:t>“Discretionary Funding Percentage”</w:t>
      </w:r>
      <w:r>
        <w:rPr>
          <w:rFonts w:ascii="Arial" w:cs="Arial" w:eastAsia="Arial" w:hAnsi="Arial"/>
          <w:sz w:val="19"/>
          <w:szCs w:val="19"/>
          <w:color w:val="auto"/>
        </w:rPr>
        <w:t xml:space="preserve">). The remainder of the Company Performance Percentage not allocated by the Administrator pursuant to the foregoing sentence shall equal the </w:t>
      </w:r>
      <w:r>
        <w:rPr>
          <w:rFonts w:ascii="Arial" w:cs="Arial" w:eastAsia="Arial" w:hAnsi="Arial"/>
          <w:sz w:val="19"/>
          <w:szCs w:val="19"/>
          <w:b w:val="1"/>
          <w:bCs w:val="1"/>
          <w:color w:val="auto"/>
        </w:rPr>
        <w:t>“Company Funding Percentage”</w:t>
      </w:r>
      <w:r>
        <w:rPr>
          <w:rFonts w:ascii="Arial" w:cs="Arial" w:eastAsia="Arial" w:hAnsi="Arial"/>
          <w:sz w:val="19"/>
          <w:szCs w:val="19"/>
          <w:color w:val="auto"/>
        </w:rPr>
        <w:t xml:space="preserve"> and shall be used for determining the Company Bonus to be paid to Participants at the end of the applicable Performance Period pursuant to Section 4.1(d) below. By way of example and assuming the Administrator allocates ten percent (10%) of the Company Performance Percentage to the Discretionary Funding Percentage, if the Company Performance Percentage for a Performance Period equals one hundred and fifty percent (150%), a Discretionary Funding Percentage may be allocated by the Administrator for such Performance Period in an amount not to exceed fifteen percent (15%) and, in such case, the Company Funding Percentage for such Performance Period shall not be less than one hundred and thirty-five percent (135%).</w:t>
      </w:r>
    </w:p>
    <w:p>
      <w:pPr>
        <w:spacing w:after="0" w:line="190" w:lineRule="exact"/>
        <w:rPr>
          <w:sz w:val="20"/>
          <w:szCs w:val="20"/>
          <w:color w:val="auto"/>
        </w:rPr>
      </w:pPr>
    </w:p>
    <w:p>
      <w:pPr>
        <w:jc w:val="both"/>
        <w:ind w:left="760" w:hanging="647"/>
        <w:spacing w:after="0" w:line="260" w:lineRule="auto"/>
        <w:tabs>
          <w:tab w:leader="none" w:pos="7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1"/>
          <w:szCs w:val="21"/>
          <w:u w:val="single" w:color="auto"/>
          <w:color w:val="auto"/>
        </w:rPr>
        <w:t xml:space="preserve">Individual Performance. </w:t>
      </w:r>
      <w:r>
        <w:rPr>
          <w:rFonts w:ascii="Arial" w:cs="Arial" w:eastAsia="Arial" w:hAnsi="Arial"/>
          <w:sz w:val="21"/>
          <w:szCs w:val="21"/>
          <w:color w:val="auto"/>
        </w:rPr>
        <w:t>At the end of each Performance Period, the Administrator shall evaluate, or cause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 xml:space="preserve">be evaluated, the performance of each Participant during the applicable Performance Period and shall designate a measurement for such Participant’s performance during the applicable Performance Period ranging from a minimum of zero (0.0) up to a maximum of three (3.0), or such other amount as determined by the Administrator (the </w:t>
      </w:r>
      <w:r>
        <w:rPr>
          <w:rFonts w:ascii="Arial" w:cs="Arial" w:eastAsia="Arial" w:hAnsi="Arial"/>
          <w:sz w:val="21"/>
          <w:szCs w:val="21"/>
          <w:b w:val="1"/>
          <w:bCs w:val="1"/>
          <w:color w:val="auto"/>
        </w:rPr>
        <w:t>“Individual Performance Factor”</w:t>
      </w:r>
      <w:r>
        <w:rPr>
          <w:rFonts w:ascii="Arial" w:cs="Arial" w:eastAsia="Arial" w:hAnsi="Arial"/>
          <w:sz w:val="21"/>
          <w:szCs w:val="21"/>
          <w:color w:val="auto"/>
        </w:rPr>
        <w:t>). The Individual Performance Factor applicable to a Participant shall be determined in accordance with instructions and/or procedures established from time to time by the Administrator.</w:t>
      </w:r>
    </w:p>
    <w:p>
      <w:pPr>
        <w:spacing w:after="0" w:line="208" w:lineRule="exact"/>
        <w:rPr>
          <w:sz w:val="20"/>
          <w:szCs w:val="20"/>
          <w:color w:val="auto"/>
        </w:rPr>
      </w:pPr>
    </w:p>
    <w:p>
      <w:pPr>
        <w:jc w:val="both"/>
        <w:ind w:left="760" w:hanging="647"/>
        <w:spacing w:after="0" w:line="271" w:lineRule="auto"/>
        <w:tabs>
          <w:tab w:leader="none" w:pos="7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1"/>
          <w:szCs w:val="21"/>
          <w:u w:val="single" w:color="auto"/>
          <w:color w:val="auto"/>
        </w:rPr>
        <w:t xml:space="preserve">Bonus Determination. </w:t>
      </w:r>
      <w:r>
        <w:rPr>
          <w:rFonts w:ascii="Arial" w:cs="Arial" w:eastAsia="Arial" w:hAnsi="Arial"/>
          <w:sz w:val="21"/>
          <w:szCs w:val="21"/>
          <w:color w:val="auto"/>
        </w:rPr>
        <w:t>The amount of the Company Bonus payable to a Participant for the applicable</w:t>
      </w:r>
      <w:r>
        <w:rPr>
          <w:rFonts w:ascii="Arial" w:cs="Arial" w:eastAsia="Arial" w:hAnsi="Arial"/>
          <w:sz w:val="21"/>
          <w:szCs w:val="21"/>
          <w:u w:val="single" w:color="auto"/>
          <w:color w:val="auto"/>
        </w:rPr>
        <w:t xml:space="preserve"> </w:t>
      </w:r>
      <w:r>
        <w:rPr>
          <w:rFonts w:ascii="Arial" w:cs="Arial" w:eastAsia="Arial" w:hAnsi="Arial"/>
          <w:sz w:val="21"/>
          <w:szCs w:val="21"/>
          <w:color w:val="auto"/>
        </w:rPr>
        <w:t>Performance Period shall be determined by multiplying (i) the Participant’s Target Bonus, by (ii) the Company Funding Percentage, by (iii) the Individual Performance Factor applicable to such</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20"/>
          </w:cols>
          <w:pgMar w:left="1440" w:top="375" w:right="239" w:bottom="1440" w:gutter="0" w:footer="0" w:header="0"/>
        </w:sectPr>
      </w:pPr>
    </w:p>
    <w:bookmarkStart w:id="102" w:name="page103"/>
    <w:bookmarkEnd w:id="102"/>
    <w:p>
      <w:pPr>
        <w:jc w:val="both"/>
        <w:ind w:left="1300"/>
        <w:spacing w:after="0" w:line="259" w:lineRule="auto"/>
        <w:rPr>
          <w:sz w:val="20"/>
          <w:szCs w:val="20"/>
          <w:color w:val="auto"/>
        </w:rPr>
      </w:pPr>
      <w:r>
        <w:rPr>
          <w:rFonts w:ascii="Arial" w:cs="Arial" w:eastAsia="Arial" w:hAnsi="Arial"/>
          <w:sz w:val="21"/>
          <w:szCs w:val="21"/>
          <w:color w:val="auto"/>
        </w:rPr>
        <w:t xml:space="preserve">Participant; provided, however, the Administrator may in its sole discretion increase, reduce or eliminate such Bonus based on such factors as the Administrator determines appropriate; provided, further, that in no event shall (x) the Company Bonus for any Award exceed an amount equal to three (3) times the Target Bonus for such Award, or (y) the aggregate amount of all Company Bonuses under this Plan for a Performance Period exceed the Company Bonus Pool (defined below) for that Performance Period. For purposes hereof, </w:t>
      </w:r>
      <w:r>
        <w:rPr>
          <w:rFonts w:ascii="Arial" w:cs="Arial" w:eastAsia="Arial" w:hAnsi="Arial"/>
          <w:sz w:val="21"/>
          <w:szCs w:val="21"/>
          <w:b w:val="1"/>
          <w:bCs w:val="1"/>
          <w:color w:val="auto"/>
        </w:rPr>
        <w:t>“Company Bonus Pool”</w:t>
      </w:r>
      <w:r>
        <w:rPr>
          <w:rFonts w:ascii="Arial" w:cs="Arial" w:eastAsia="Arial" w:hAnsi="Arial"/>
          <w:sz w:val="21"/>
          <w:szCs w:val="21"/>
          <w:color w:val="auto"/>
        </w:rPr>
        <w:t xml:space="preserve"> means the amount obtained by multiplying the aggregate of all Target Bonuses for Awards granted during the Performance Period (excluding Awards that terminate pursuant to Section 4.4) by the Company Funding Percentage.</w:t>
      </w:r>
    </w:p>
    <w:p>
      <w:pPr>
        <w:spacing w:after="0" w:line="184"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2"/>
          <w:szCs w:val="22"/>
          <w:b w:val="1"/>
          <w:bCs w:val="1"/>
          <w:i w:val="1"/>
          <w:iCs w:val="1"/>
          <w:color w:val="auto"/>
        </w:rPr>
        <w:t xml:space="preserve">Determination of Discretionary Bonuses. </w:t>
      </w:r>
      <w:r>
        <w:rPr>
          <w:rFonts w:ascii="Arial" w:cs="Arial" w:eastAsia="Arial" w:hAnsi="Arial"/>
          <w:sz w:val="22"/>
          <w:szCs w:val="22"/>
          <w:color w:val="auto"/>
        </w:rPr>
        <w:t>In addition to any Company Bonus payable to a Participant pursuant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Section 4.1 above and subject to the limitations in this Section 4.2, the Administrator may award Discretionary Bonuses to one or more Participants in any amount as it determines appropriate in its sole discretion. The aggregate of all Discretionary Bonuses payable by the Administrator during a Performance Period shall not exceed the Discretionary Bonus Pool (defined below) for that Performance Period. For purposes hereof, </w:t>
      </w:r>
      <w:r>
        <w:rPr>
          <w:rFonts w:ascii="Arial" w:cs="Arial" w:eastAsia="Arial" w:hAnsi="Arial"/>
          <w:sz w:val="22"/>
          <w:szCs w:val="22"/>
          <w:b w:val="1"/>
          <w:bCs w:val="1"/>
          <w:color w:val="auto"/>
        </w:rPr>
        <w:t>“Discretionary Bonus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Pool” </w:t>
      </w:r>
      <w:r>
        <w:rPr>
          <w:rFonts w:ascii="Arial" w:cs="Arial" w:eastAsia="Arial" w:hAnsi="Arial"/>
          <w:sz w:val="22"/>
          <w:szCs w:val="22"/>
          <w:color w:val="auto"/>
        </w:rPr>
        <w:t>means the amount obtained by multiplying the aggregate of all Target Bonuses for Awards granted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 (excluding Awards that terminate pursuant to Section 4.4) by the Discretionary Funding Percentage.</w:t>
      </w:r>
    </w:p>
    <w:p>
      <w:pPr>
        <w:spacing w:after="0" w:line="222"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b w:val="1"/>
          <w:bCs w:val="1"/>
          <w:i w:val="1"/>
          <w:iCs w:val="1"/>
          <w:color w:val="auto"/>
        </w:rPr>
        <w:t xml:space="preserve">Newly Hired Employees. </w:t>
      </w:r>
      <w:r>
        <w:rPr>
          <w:rFonts w:ascii="Arial" w:cs="Arial" w:eastAsia="Arial" w:hAnsi="Arial"/>
          <w:sz w:val="19"/>
          <w:szCs w:val="19"/>
          <w:color w:val="auto"/>
        </w:rPr>
        <w:t>Unless otherwise provided by the Administrator, in the event that an individual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commences employment with the Company during a Performance Period at a level that has been determined by the Company to be eligible for participation in this Plan for that Performance Period, such individual shall be eligible to receive a Bonus under this Plan for that Performance Period in accordance with this Section 4, provided that such individual’s Target Bonus shall be based on the Eligible Wages the individual actually received during that Performance Period. In addition, an individual must be employed by the Company for at least one month of a Performance Period to be eligible to receive a Bonus during such Performance Period.</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b w:val="1"/>
          <w:bCs w:val="1"/>
          <w:i w:val="1"/>
          <w:iCs w:val="1"/>
          <w:color w:val="auto"/>
        </w:rPr>
        <w:t>Termination of Employment.</w:t>
      </w:r>
    </w:p>
    <w:p>
      <w:pPr>
        <w:spacing w:after="0" w:line="270"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Unless otherwise expressly provided under a separate Company plan or written contract with the Company, in the event that a Participant’s employment with the Company and its Subsidiaries terminates (regardless of the reason for such termination of employment, whether voluntarily or involuntarily, with or without cause, or due to the Participant’s death or disability) at any time during the Performance Period applicable to an Award granted to that Participant, such Award shall immediately terminate upon such termination of employment, and the Participant shall not be entitled to any Bonus payment in respect of such Award.</w:t>
      </w:r>
    </w:p>
    <w:p>
      <w:pPr>
        <w:spacing w:after="0" w:line="200" w:lineRule="exact"/>
        <w:rPr>
          <w:sz w:val="20"/>
          <w:szCs w:val="20"/>
          <w:color w:val="auto"/>
        </w:rPr>
      </w:pPr>
    </w:p>
    <w:p>
      <w:pPr>
        <w:spacing w:after="0" w:line="21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60"/>
          </w:cols>
          <w:pgMar w:left="900" w:top="375" w:right="239" w:bottom="1440" w:gutter="0" w:footer="0" w:header="0"/>
        </w:sectPr>
      </w:pPr>
    </w:p>
    <w:bookmarkStart w:id="103" w:name="page104"/>
    <w:bookmarkEnd w:id="103"/>
    <w:p>
      <w:pPr>
        <w:jc w:val="both"/>
        <w:ind w:left="760" w:hanging="647"/>
        <w:spacing w:after="0" w:line="260" w:lineRule="auto"/>
        <w:tabs>
          <w:tab w:leader="none" w:pos="7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1"/>
          <w:szCs w:val="21"/>
          <w:color w:val="auto"/>
        </w:rPr>
        <w:t>Unless otherwise expressly provided under a separate Company plan or written contract with the Company, in the event that a Participant’s employment with the Company and its Subsidiaries terminates (regardless of the reason for such termination of employment, whether voluntarily or involuntarily, with or without cause, or due to the Participant’s death or disability) after the close of the Performance Period but prior to the Company paying out Bonuses to Participants with respect to such Performance Period, such Participant’s eligibility for a Bonus shall immediately terminate upon such termination of employment, and the Participant shall not be entitled to any Bonus payment.</w:t>
      </w:r>
    </w:p>
    <w:p>
      <w:pPr>
        <w:spacing w:after="0" w:line="208" w:lineRule="exact"/>
        <w:rPr>
          <w:sz w:val="20"/>
          <w:szCs w:val="20"/>
          <w:color w:val="auto"/>
        </w:rPr>
      </w:pPr>
    </w:p>
    <w:p>
      <w:pPr>
        <w:jc w:val="both"/>
        <w:ind w:left="100" w:hanging="647"/>
        <w:spacing w:after="0" w:line="289" w:lineRule="auto"/>
        <w:tabs>
          <w:tab w:leader="none" w:pos="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b w:val="1"/>
          <w:bCs w:val="1"/>
          <w:i w:val="1"/>
          <w:iCs w:val="1"/>
          <w:color w:val="auto"/>
        </w:rPr>
        <w:t xml:space="preserve">Adjustments; Early Termination. </w:t>
      </w:r>
      <w:r>
        <w:rPr>
          <w:rFonts w:ascii="Arial" w:cs="Arial" w:eastAsia="Arial" w:hAnsi="Arial"/>
          <w:sz w:val="19"/>
          <w:szCs w:val="19"/>
          <w:color w:val="auto"/>
        </w:rPr>
        <w:t>The Administrator shall have discretion to adjust the performance measures,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goals, relative weights of the measures, and other provisions of then-outstanding Awards under this Plan to reflect (1) any material change in corporate capitalization, any corporate transaction (such as a reorganization, combination, separation, merger, acquisition, or any combination of the foregoing), or any complete or partial liquidation of the Company, (2) any change in accounting policies or practices or applicable law, (3) the effects of any special charges to the Company’s earnings, or (4) any other special, material or nonrecurring circumstances or extraordinary events. Notwithstanding any other provision herein, the Administrator shall have discretion to terminate any Award granted hereunder in connection with any merger, reorganization or other corporation transaction, as the Administrator may determine in its sole discretion.</w:t>
      </w:r>
    </w:p>
    <w:p>
      <w:pPr>
        <w:spacing w:after="0" w:line="185" w:lineRule="exact"/>
        <w:rPr>
          <w:sz w:val="20"/>
          <w:szCs w:val="20"/>
          <w:color w:val="auto"/>
        </w:rPr>
      </w:pPr>
    </w:p>
    <w:p>
      <w:pPr>
        <w:jc w:val="both"/>
        <w:ind w:left="100" w:hanging="647"/>
        <w:spacing w:after="0" w:line="290" w:lineRule="auto"/>
        <w:tabs>
          <w:tab w:leader="none" w:pos="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b w:val="1"/>
          <w:bCs w:val="1"/>
          <w:i w:val="1"/>
          <w:iCs w:val="1"/>
          <w:color w:val="auto"/>
        </w:rPr>
        <w:t xml:space="preserve">Administrator Discretion to Determine Bonuses. </w:t>
      </w:r>
      <w:r>
        <w:rPr>
          <w:rFonts w:ascii="Arial" w:cs="Arial" w:eastAsia="Arial" w:hAnsi="Arial"/>
          <w:sz w:val="19"/>
          <w:szCs w:val="19"/>
          <w:color w:val="auto"/>
        </w:rPr>
        <w:t>The Administrator has the sole discretion to determine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goals and criteria for each Award (in accordance with this Section 4) and whether all or any portion of the amount so calculated will be paid, subject in all cases to the terms, conditions and limits of this Plan and of any other written commitment authorized by the Company. To this same extent, the Administrator may at any time establish additional conditions and terms of an Award or for the payment of Bonuses (including but not limited to the achievement of other financial, strategic or individual goals, which may be objective or subjective) as the Administrator may deem desirable in carrying out the purposes of this Plan and may take into account such other factors as the Administrator deems appropriate in administering any aspect of this Plan.</w:t>
      </w:r>
    </w:p>
    <w:p>
      <w:pPr>
        <w:spacing w:after="0" w:line="184" w:lineRule="exact"/>
        <w:rPr>
          <w:sz w:val="20"/>
          <w:szCs w:val="20"/>
          <w:color w:val="auto"/>
        </w:rPr>
      </w:pPr>
    </w:p>
    <w:p>
      <w:pPr>
        <w:jc w:val="both"/>
        <w:ind w:left="100" w:hanging="647"/>
        <w:spacing w:after="0" w:line="282" w:lineRule="auto"/>
        <w:tabs>
          <w:tab w:leader="none" w:pos="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9"/>
          <w:szCs w:val="19"/>
          <w:b w:val="1"/>
          <w:bCs w:val="1"/>
          <w:i w:val="1"/>
          <w:iCs w:val="1"/>
          <w:color w:val="auto"/>
        </w:rPr>
        <w:t xml:space="preserve">Form and Time of Payment. </w:t>
      </w:r>
      <w:r>
        <w:rPr>
          <w:rFonts w:ascii="Arial" w:cs="Arial" w:eastAsia="Arial" w:hAnsi="Arial"/>
          <w:sz w:val="19"/>
          <w:szCs w:val="19"/>
          <w:color w:val="auto"/>
        </w:rPr>
        <w:t>Any Bonuses shall be paid in cash (subject to tax withholding pursuant to Section 5.5)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soon as reasonably practicable following the determination of the Bonus amount pursuant to Sections 4.1 and 4.2 of this Plan, but in no event later than (a) March 15 of the year following the year in which such Bonus is earned, or</w:t>
      </w:r>
    </w:p>
    <w:p>
      <w:pPr>
        <w:spacing w:after="0" w:line="1" w:lineRule="exact"/>
        <w:rPr>
          <w:sz w:val="20"/>
          <w:szCs w:val="20"/>
          <w:color w:val="auto"/>
        </w:rPr>
      </w:pPr>
    </w:p>
    <w:p>
      <w:pPr>
        <w:jc w:val="both"/>
        <w:ind w:left="100" w:firstLine="5"/>
        <w:spacing w:after="0" w:line="227" w:lineRule="auto"/>
        <w:tabs>
          <w:tab w:leader="none" w:pos="415"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later, the last day of the period ending on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following the end of the Company’s fiscal year in which such Bonus is earned, in each case, in accordance with Treasury Regulation Section 1.409A-1(b)(4)(i).</w:t>
      </w: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20"/>
          </w:cols>
          <w:pgMar w:left="1440" w:top="375" w:right="239" w:bottom="1440" w:gutter="0" w:footer="0" w:header="0"/>
        </w:sectPr>
      </w:pPr>
    </w:p>
    <w:bookmarkStart w:id="104" w:name="page105"/>
    <w:bookmarkEnd w:id="104"/>
    <w:p>
      <w:pPr>
        <w:ind w:left="660" w:hanging="652"/>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5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0"/>
          <w:szCs w:val="20"/>
          <w:color w:val="auto"/>
        </w:rPr>
        <w:t>5.1</w:t>
      </w:r>
      <w:r>
        <w:rPr>
          <w:rFonts w:ascii="Arial" w:cs="Arial" w:eastAsia="Arial" w:hAnsi="Arial"/>
          <w:sz w:val="18"/>
          <w:szCs w:val="18"/>
          <w:b w:val="1"/>
          <w:bCs w:val="1"/>
          <w:i w:val="1"/>
          <w:iCs w:val="1"/>
          <w:color w:val="auto"/>
        </w:rPr>
        <w:t>Rights of Participants.</w:t>
      </w:r>
    </w:p>
    <w:p>
      <w:pPr>
        <w:spacing w:after="0" w:line="270" w:lineRule="exact"/>
        <w:rPr>
          <w:sz w:val="20"/>
          <w:szCs w:val="20"/>
          <w:color w:val="auto"/>
        </w:rPr>
      </w:pPr>
    </w:p>
    <w:p>
      <w:pPr>
        <w:jc w:val="both"/>
        <w:ind w:left="1960" w:hanging="647"/>
        <w:spacing w:after="0" w:line="289" w:lineRule="auto"/>
        <w:tabs>
          <w:tab w:leader="none" w:pos="19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9"/>
          <w:szCs w:val="19"/>
          <w:u w:val="single" w:color="auto"/>
          <w:color w:val="auto"/>
        </w:rPr>
        <w:t xml:space="preserve">No Right to Awards or Continued Employment. </w:t>
      </w:r>
      <w:r>
        <w:rPr>
          <w:rFonts w:ascii="Arial" w:cs="Arial" w:eastAsia="Arial" w:hAnsi="Arial"/>
          <w:sz w:val="19"/>
          <w:szCs w:val="19"/>
          <w:color w:val="auto"/>
        </w:rPr>
        <w:t>Neither the establishment of this Plan, nor the provision for</w:t>
      </w:r>
      <w:r>
        <w:rPr>
          <w:rFonts w:ascii="Arial" w:cs="Arial" w:eastAsia="Arial" w:hAnsi="Arial"/>
          <w:sz w:val="19"/>
          <w:szCs w:val="19"/>
          <w:u w:val="single" w:color="auto"/>
          <w:color w:val="auto"/>
        </w:rPr>
        <w:t xml:space="preserve"> </w:t>
      </w:r>
      <w:r>
        <w:rPr>
          <w:rFonts w:ascii="Arial" w:cs="Arial" w:eastAsia="Arial" w:hAnsi="Arial"/>
          <w:sz w:val="19"/>
          <w:szCs w:val="19"/>
          <w:color w:val="auto"/>
        </w:rPr>
        <w:t>or payment of any amounts hereunder, nor any action of the Company or any of its officers, employees or directors in respect of this Plan shall be held or construed to confer upon any person any legal right to receive, an Award or any other benefit under the Plan. Nothing contained in this Plan (or in any other documents evidencing any Award under this Plan) shall confer upon any employee or Participant any right to continue in the employ of the Company or any Subsidiary, constitute any contract or agreement of employment, nor shall interfere in any way with the right of the Company or any Subsidiary to change any person’s compensation or other benefits, or to terminate his employment, with or without cause. Nothing in this Section 5.1(a), however, is intended to adversely affect any express independent right of such person under a separate written employment contract.</w:t>
      </w:r>
    </w:p>
    <w:p>
      <w:pPr>
        <w:spacing w:after="0" w:line="200" w:lineRule="exact"/>
        <w:rPr>
          <w:sz w:val="20"/>
          <w:szCs w:val="20"/>
          <w:color w:val="auto"/>
        </w:rPr>
      </w:pPr>
    </w:p>
    <w:p>
      <w:pPr>
        <w:spacing w:after="0" w:line="241"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1"/>
          <w:szCs w:val="21"/>
          <w:u w:val="single" w:color="auto"/>
          <w:color w:val="auto"/>
        </w:rPr>
        <w:t xml:space="preserve">Plan Not Funded. </w:t>
      </w:r>
      <w:r>
        <w:rPr>
          <w:rFonts w:ascii="Arial" w:cs="Arial" w:eastAsia="Arial" w:hAnsi="Arial"/>
          <w:sz w:val="21"/>
          <w:szCs w:val="21"/>
          <w:color w:val="auto"/>
        </w:rPr>
        <w:t>Awards payable under this Plan shall be payable from the general assets of the Company,</w:t>
      </w:r>
      <w:r>
        <w:rPr>
          <w:rFonts w:ascii="Arial" w:cs="Arial" w:eastAsia="Arial" w:hAnsi="Arial"/>
          <w:sz w:val="21"/>
          <w:szCs w:val="21"/>
          <w:u w:val="single" w:color="auto"/>
          <w:color w:val="auto"/>
        </w:rPr>
        <w:t xml:space="preserve"> </w:t>
      </w:r>
      <w:r>
        <w:rPr>
          <w:rFonts w:ascii="Arial" w:cs="Arial" w:eastAsia="Arial" w:hAnsi="Arial"/>
          <w:sz w:val="21"/>
          <w:szCs w:val="21"/>
          <w:color w:val="auto"/>
        </w:rPr>
        <w:t>and no special or separate reserve, fund or deposit shall be made to assure payment of such Awards. No Participant or other person shall have any right, title or interest in any fund or in any specific asset of the Company by reason of any Award hereunder. Neither the provisions of this Plan (nor of any related documents), nor the creation or adoption of this Plan, nor any action taken pursuant to the provisions of this Plan shall create, or be construed to create, a trust of any kind or a fiduciary relationship between the Company and any Participant or other person. To the extent that a Participant or other person acquires a right to receive payment pursuant to any Award hereunder, such right shall be no greater than the right of any unsecured general creditor of the Company.</w:t>
      </w:r>
    </w:p>
    <w:p>
      <w:pPr>
        <w:spacing w:after="0" w:line="207"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2"/>
          <w:szCs w:val="22"/>
          <w:b w:val="1"/>
          <w:bCs w:val="1"/>
          <w:i w:val="1"/>
          <w:iCs w:val="1"/>
          <w:color w:val="auto"/>
        </w:rPr>
        <w:t xml:space="preserve">Non-Transferability of Benefits and Interests. </w:t>
      </w:r>
      <w:r>
        <w:rPr>
          <w:rFonts w:ascii="Arial" w:cs="Arial" w:eastAsia="Arial" w:hAnsi="Arial"/>
          <w:sz w:val="22"/>
          <w:szCs w:val="22"/>
          <w:color w:val="auto"/>
        </w:rPr>
        <w:t>Except as expressly provided by the Administrator, all Awards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non-transferable, and no benefit payable under this Plan shall be subject in any manner to sale, transfer, anticipation, alienation, assignment, pledge, encumbrance or charge.</w:t>
      </w:r>
    </w:p>
    <w:p>
      <w:pPr>
        <w:spacing w:after="0" w:line="213"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2"/>
          <w:szCs w:val="22"/>
          <w:b w:val="1"/>
          <w:bCs w:val="1"/>
          <w:i w:val="1"/>
          <w:iCs w:val="1"/>
          <w:color w:val="auto"/>
        </w:rPr>
        <w:t xml:space="preserve">Discretion of Company and Administrator. </w:t>
      </w:r>
      <w:r>
        <w:rPr>
          <w:rFonts w:ascii="Arial" w:cs="Arial" w:eastAsia="Arial" w:hAnsi="Arial"/>
          <w:sz w:val="22"/>
          <w:szCs w:val="22"/>
          <w:color w:val="auto"/>
        </w:rPr>
        <w:t>Any decision made or action taken by, or inaction of, the Company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Administrator arising out of or in connection with the creation, amendment, construction, administration, interpretation and effect of the Plan that is within its authority hereunder or applicable law shall be within the absolute discretion of such person or entity and shall be conclusive and binding upon all persons. Neither the Administrator, nor any person acting at the direction thereof, nor any member of the Company’s Board of Directors shall be liable for any act,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9" w:right="239" w:bottom="1440" w:gutter="0" w:footer="0" w:header="0"/>
        </w:sectPr>
      </w:pPr>
    </w:p>
    <w:bookmarkStart w:id="105" w:name="page106"/>
    <w:bookmarkEnd w:id="105"/>
    <w:p>
      <w:pPr>
        <w:ind w:left="640" w:right="20"/>
        <w:spacing w:after="0" w:line="263" w:lineRule="auto"/>
        <w:rPr>
          <w:sz w:val="20"/>
          <w:szCs w:val="20"/>
          <w:color w:val="auto"/>
        </w:rPr>
      </w:pPr>
      <w:r>
        <w:rPr>
          <w:rFonts w:ascii="Arial" w:cs="Arial" w:eastAsia="Arial" w:hAnsi="Arial"/>
          <w:sz w:val="22"/>
          <w:szCs w:val="22"/>
          <w:color w:val="auto"/>
        </w:rPr>
        <w:t>omission, interpretation, construction or determination made in good faith in connection with this Plan (or any Award made under this Plan).</w:t>
      </w:r>
    </w:p>
    <w:p>
      <w:pPr>
        <w:spacing w:after="0" w:line="202"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2"/>
          <w:szCs w:val="22"/>
          <w:b w:val="1"/>
          <w:bCs w:val="1"/>
          <w:i w:val="1"/>
          <w:iCs w:val="1"/>
          <w:color w:val="auto"/>
        </w:rPr>
        <w:t xml:space="preserve">Governing Law. </w:t>
      </w:r>
      <w:r>
        <w:rPr>
          <w:rFonts w:ascii="Arial" w:cs="Arial" w:eastAsia="Arial" w:hAnsi="Arial"/>
          <w:sz w:val="22"/>
          <w:szCs w:val="22"/>
          <w:color w:val="auto"/>
        </w:rPr>
        <w:t>All questions pertaining to the construction, regulation, validity and effect of the provisions of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Plan shall be determined in accordance with the laws of the State of Delaware, without regard to the choice of law principles thereof.</w:t>
      </w:r>
    </w:p>
    <w:p>
      <w:pPr>
        <w:spacing w:after="0" w:line="21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2"/>
          <w:szCs w:val="22"/>
          <w:b w:val="1"/>
          <w:bCs w:val="1"/>
          <w:i w:val="1"/>
          <w:iCs w:val="1"/>
          <w:color w:val="auto"/>
        </w:rPr>
        <w:t xml:space="preserve">Tax Withholding. </w:t>
      </w:r>
      <w:r>
        <w:rPr>
          <w:rFonts w:ascii="Arial" w:cs="Arial" w:eastAsia="Arial" w:hAnsi="Arial"/>
          <w:sz w:val="22"/>
          <w:szCs w:val="22"/>
          <w:color w:val="auto"/>
        </w:rPr>
        <w:t>Upon the payment of any Bonus, the Company shall have the right to deduct the amount of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federal, state or local taxes that the Company or any Subsidiary may be required to withhold with respect to such payment.</w:t>
      </w:r>
    </w:p>
    <w:p>
      <w:pPr>
        <w:spacing w:after="0" w:line="213" w:lineRule="exact"/>
        <w:rPr>
          <w:sz w:val="20"/>
          <w:szCs w:val="20"/>
          <w:color w:val="auto"/>
        </w:rPr>
      </w:pPr>
    </w:p>
    <w:p>
      <w:pPr>
        <w:jc w:val="both"/>
        <w:ind w:left="640" w:hanging="647"/>
        <w:spacing w:after="0" w:line="312" w:lineRule="auto"/>
        <w:tabs>
          <w:tab w:leader="none" w:pos="6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9"/>
          <w:szCs w:val="19"/>
          <w:b w:val="1"/>
          <w:bCs w:val="1"/>
          <w:i w:val="1"/>
          <w:iCs w:val="1"/>
          <w:color w:val="auto"/>
        </w:rPr>
        <w:t xml:space="preserve">No Vested Rights; Amendments, Suspension or Termination of Plan. </w:t>
      </w:r>
      <w:r>
        <w:rPr>
          <w:rFonts w:ascii="Arial" w:cs="Arial" w:eastAsia="Arial" w:hAnsi="Arial"/>
          <w:sz w:val="19"/>
          <w:szCs w:val="19"/>
          <w:color w:val="auto"/>
        </w:rPr>
        <w:t>No Participant shall have, at any time,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vested right to any benefit under this Plan. The Company or the Administrator may at any time terminate, amend, modify or suspend this Plan, in whole or in part and/or with respect to any or all Participants.</w:t>
      </w:r>
    </w:p>
    <w:p>
      <w:pPr>
        <w:spacing w:after="0" w:line="161"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2"/>
          <w:szCs w:val="22"/>
          <w:b w:val="1"/>
          <w:bCs w:val="1"/>
          <w:i w:val="1"/>
          <w:iCs w:val="1"/>
          <w:color w:val="auto"/>
        </w:rPr>
        <w:t xml:space="preserve">Captions; Construction. </w:t>
      </w:r>
      <w:r>
        <w:rPr>
          <w:rFonts w:ascii="Arial" w:cs="Arial" w:eastAsia="Arial" w:hAnsi="Arial"/>
          <w:sz w:val="22"/>
          <w:szCs w:val="22"/>
          <w:color w:val="auto"/>
        </w:rPr>
        <w:t>Captions and headings are given to the sections and subsections of this Plan solely as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convenience to facilitate reference. Such headings shall not be deemed in any way material or relevant to the construction or interpretation of this Plan or any provision thereof. The masculine pronoun shall include the feminine pronoun and the feminine pronoun shall include the masculine pronoun and the singular pronoun shall include the plural pronoun and the plural pronoun shall include the singular pronoun, unless the context clearly indicates otherwise.</w:t>
      </w:r>
    </w:p>
    <w:p>
      <w:pPr>
        <w:spacing w:after="0" w:line="234"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2"/>
          <w:szCs w:val="22"/>
          <w:b w:val="1"/>
          <w:bCs w:val="1"/>
          <w:i w:val="1"/>
          <w:iCs w:val="1"/>
          <w:color w:val="auto"/>
        </w:rPr>
        <w:t xml:space="preserve">Non-Exclusivity of Plan. </w:t>
      </w:r>
      <w:r>
        <w:rPr>
          <w:rFonts w:ascii="Arial" w:cs="Arial" w:eastAsia="Arial" w:hAnsi="Arial"/>
          <w:sz w:val="22"/>
          <w:szCs w:val="22"/>
          <w:color w:val="auto"/>
        </w:rPr>
        <w:t>Nothing in this Plan shall limit or be deemed to limit the authority of the Company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 awards or authorize any other compensation under any other plan or authority.</w:t>
      </w:r>
    </w:p>
    <w:p>
      <w:pPr>
        <w:spacing w:after="0" w:line="202"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21"/>
          <w:szCs w:val="21"/>
          <w:b w:val="1"/>
          <w:bCs w:val="1"/>
          <w:i w:val="1"/>
          <w:iCs w:val="1"/>
          <w:color w:val="auto"/>
        </w:rPr>
        <w:t xml:space="preserve">Code Section 409A. </w:t>
      </w:r>
      <w:r>
        <w:rPr>
          <w:rFonts w:ascii="Arial" w:cs="Arial" w:eastAsia="Arial" w:hAnsi="Arial"/>
          <w:sz w:val="21"/>
          <w:szCs w:val="21"/>
          <w:color w:val="auto"/>
        </w:rPr>
        <w:t>Company’s intent is that any payments and benefits paid under this Plan be exempt from,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comply with, Section 409A of the Code, and accordingly, to the maximum extent permitted, this Plan shall be interpreted and administered to be in accordance therewith. Each payment under this Plan shall be construed as a separate identified payment for purposes of Section 409A of the Code, and any payments described in this Plan that are due within the “short term deferral period” as defined in Section 409A of the Code shall not be treated as deferred compensation unless applicable law requires otherwise.</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19"/>
          <w:szCs w:val="19"/>
          <w:b w:val="1"/>
          <w:bCs w:val="1"/>
          <w:i w:val="1"/>
          <w:iCs w:val="1"/>
          <w:color w:val="auto"/>
        </w:rPr>
        <w:t xml:space="preserve">Effective Date. </w:t>
      </w:r>
      <w:r>
        <w:rPr>
          <w:rFonts w:ascii="Arial" w:cs="Arial" w:eastAsia="Arial" w:hAnsi="Arial"/>
          <w:sz w:val="19"/>
          <w:szCs w:val="19"/>
          <w:color w:val="auto"/>
        </w:rPr>
        <w:t>This Plan is effective as of August 5, 2015.</w:t>
      </w:r>
    </w:p>
    <w:p>
      <w:pPr>
        <w:spacing w:after="0" w:line="200" w:lineRule="exact"/>
        <w:rPr>
          <w:sz w:val="20"/>
          <w:szCs w:val="20"/>
          <w:color w:val="auto"/>
        </w:rPr>
      </w:pPr>
    </w:p>
    <w:p>
      <w:pPr>
        <w:spacing w:after="0" w:line="30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0"/>
          </w:cols>
          <w:pgMar w:left="900" w:top="37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color w:val="auto"/>
        </w:rPr>
        <w:t>Exhibit 21</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8020" w:type="dxa"/>
            <w:vAlign w:val="bottom"/>
            <w:gridSpan w:val="3"/>
          </w:tcPr>
          <w:p>
            <w:pPr>
              <w:jc w:val="center"/>
              <w:ind w:left="412"/>
              <w:spacing w:after="0"/>
              <w:rPr>
                <w:sz w:val="20"/>
                <w:szCs w:val="20"/>
                <w:color w:val="auto"/>
              </w:rPr>
            </w:pPr>
            <w:r>
              <w:rPr>
                <w:rFonts w:ascii="Arial" w:cs="Arial" w:eastAsia="Arial" w:hAnsi="Arial"/>
                <w:sz w:val="22"/>
                <w:szCs w:val="22"/>
                <w:b w:val="1"/>
                <w:bCs w:val="1"/>
                <w:color w:val="auto"/>
                <w:w w:val="99"/>
              </w:rPr>
              <w:t>WESTERN DIGITAL CORPORATION</w:t>
            </w:r>
          </w:p>
        </w:tc>
      </w:tr>
      <w:tr>
        <w:trPr>
          <w:trHeight w:val="459"/>
        </w:trPr>
        <w:tc>
          <w:tcPr>
            <w:tcW w:w="1400" w:type="dxa"/>
            <w:vAlign w:val="bottom"/>
          </w:tcPr>
          <w:p>
            <w:pPr>
              <w:spacing w:after="0"/>
              <w:rPr>
                <w:sz w:val="24"/>
                <w:szCs w:val="24"/>
                <w:color w:val="auto"/>
              </w:rPr>
            </w:pPr>
          </w:p>
        </w:tc>
        <w:tc>
          <w:tcPr>
            <w:tcW w:w="8020" w:type="dxa"/>
            <w:vAlign w:val="bottom"/>
            <w:gridSpan w:val="3"/>
          </w:tcPr>
          <w:p>
            <w:pPr>
              <w:jc w:val="center"/>
              <w:ind w:left="432"/>
              <w:spacing w:after="0"/>
              <w:rPr>
                <w:sz w:val="20"/>
                <w:szCs w:val="20"/>
                <w:color w:val="auto"/>
              </w:rPr>
            </w:pPr>
            <w:r>
              <w:rPr>
                <w:rFonts w:ascii="Arial" w:cs="Arial" w:eastAsia="Arial" w:hAnsi="Arial"/>
                <w:sz w:val="22"/>
                <w:szCs w:val="22"/>
                <w:b w:val="1"/>
                <w:bCs w:val="1"/>
                <w:color w:val="auto"/>
                <w:w w:val="98"/>
              </w:rPr>
              <w:t>SUBSIDIARIES OF THE COMPANY</w:t>
            </w:r>
          </w:p>
        </w:tc>
      </w:tr>
      <w:tr>
        <w:trPr>
          <w:trHeight w:val="648"/>
        </w:trPr>
        <w:tc>
          <w:tcPr>
            <w:tcW w:w="1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60" w:type="dxa"/>
            <w:vAlign w:val="bottom"/>
            <w:gridSpan w:val="2"/>
          </w:tcPr>
          <w:p>
            <w:pPr>
              <w:ind w:left="420"/>
              <w:spacing w:after="0"/>
              <w:rPr>
                <w:sz w:val="20"/>
                <w:szCs w:val="20"/>
                <w:color w:val="auto"/>
              </w:rPr>
            </w:pPr>
            <w:r>
              <w:rPr>
                <w:rFonts w:ascii="Arial" w:cs="Arial" w:eastAsia="Arial" w:hAnsi="Arial"/>
                <w:sz w:val="22"/>
                <w:szCs w:val="22"/>
                <w:b w:val="1"/>
                <w:bCs w:val="1"/>
                <w:color w:val="auto"/>
                <w:w w:val="92"/>
              </w:rPr>
              <w:t>State or Other Jurisdiction of</w:t>
            </w:r>
          </w:p>
        </w:tc>
      </w:tr>
      <w:tr>
        <w:trPr>
          <w:trHeight w:val="368"/>
        </w:trPr>
        <w:tc>
          <w:tcPr>
            <w:tcW w:w="14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Name of Entity</w:t>
            </w:r>
          </w:p>
        </w:tc>
        <w:tc>
          <w:tcPr>
            <w:tcW w:w="4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Incorporation or Organization</w:t>
            </w:r>
          </w:p>
        </w:tc>
      </w:tr>
      <w:tr>
        <w:trPr>
          <w:trHeight w:val="382"/>
        </w:trPr>
        <w:tc>
          <w:tcPr>
            <w:tcW w:w="6160" w:type="dxa"/>
            <w:vAlign w:val="bottom"/>
            <w:gridSpan w:val="2"/>
          </w:tcPr>
          <w:p>
            <w:pPr>
              <w:spacing w:after="0"/>
              <w:rPr>
                <w:sz w:val="20"/>
                <w:szCs w:val="20"/>
                <w:color w:val="auto"/>
              </w:rPr>
            </w:pPr>
            <w:r>
              <w:rPr>
                <w:rFonts w:ascii="Arial" w:cs="Arial" w:eastAsia="Arial" w:hAnsi="Arial"/>
                <w:sz w:val="22"/>
                <w:szCs w:val="22"/>
                <w:color w:val="auto"/>
              </w:rPr>
              <w:t>Arkeia Software SARL</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France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Arkeia Software, Inc..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Delaware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Fabrik, LLC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Delaware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G-Tech, LLC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California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HGSP (Shenzhen) Co.,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China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(Shenzhen) Co.,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China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(Thailand)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Thailand</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Asia Pte.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Singapore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Consulting (Shanghai) Co.,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China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Europe,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United Kingdom</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Japan,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Japan</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Malaysia Sdn. Bhd.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Malaysia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Netherlands B.V.</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Netherlands</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Philippines Corp.</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Philippines</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Singapore Pte.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Singapore</w:t>
            </w:r>
          </w:p>
        </w:tc>
      </w:tr>
      <w:tr>
        <w:trPr>
          <w:trHeight w:val="347"/>
        </w:trPr>
        <w:tc>
          <w:tcPr>
            <w:tcW w:w="6160" w:type="dxa"/>
            <w:vAlign w:val="bottom"/>
            <w:gridSpan w:val="2"/>
          </w:tcPr>
          <w:p>
            <w:pPr>
              <w:spacing w:after="0"/>
              <w:rPr>
                <w:sz w:val="20"/>
                <w:szCs w:val="20"/>
                <w:color w:val="auto"/>
              </w:rPr>
            </w:pPr>
            <w:r>
              <w:rPr>
                <w:rFonts w:ascii="Arial" w:cs="Arial" w:eastAsia="Arial" w:hAnsi="Arial"/>
                <w:sz w:val="22"/>
                <w:szCs w:val="22"/>
                <w:color w:val="auto"/>
                <w:w w:val="96"/>
              </w:rPr>
              <w:t>HGST Technologies Malaysia Sdn. Bhd. (formerly known as sTec</w:t>
            </w:r>
          </w:p>
        </w:tc>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5"/>
        </w:trPr>
        <w:tc>
          <w:tcPr>
            <w:tcW w:w="6160" w:type="dxa"/>
            <w:vAlign w:val="bottom"/>
            <w:gridSpan w:val="2"/>
          </w:tcPr>
          <w:p>
            <w:pPr>
              <w:spacing w:after="0"/>
              <w:rPr>
                <w:sz w:val="20"/>
                <w:szCs w:val="20"/>
                <w:color w:val="auto"/>
              </w:rPr>
            </w:pPr>
            <w:r>
              <w:rPr>
                <w:rFonts w:ascii="Arial" w:cs="Arial" w:eastAsia="Arial" w:hAnsi="Arial"/>
                <w:sz w:val="22"/>
                <w:szCs w:val="22"/>
                <w:color w:val="auto"/>
              </w:rPr>
              <w:t>Technology Sdn. Bhd.)</w:t>
            </w:r>
          </w:p>
        </w:tc>
        <w:tc>
          <w:tcPr>
            <w:tcW w:w="420" w:type="dxa"/>
            <w:vAlign w:val="bottom"/>
          </w:tcPr>
          <w:p>
            <w:pPr>
              <w:spacing w:after="0"/>
              <w:rPr>
                <w:sz w:val="23"/>
                <w:szCs w:val="23"/>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Malaysia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Technologies Santa Ana, Inc.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California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HGST, Inc.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Delaware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HICAP Properties Corp.</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Philippines</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Keen Personal Media, Inc.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Delaware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Pacifica Insurance Corporation</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Hawaii</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Read-Rite International</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Cayman Islands</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Read-Rite Philippines, Inc.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Philippines</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RS Patent Holding Corporation</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Delaware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Shenzhen Hailiang Storage Products Co.,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China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SiliconSystems, Inc.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California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SimpleTech, LLC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Delaware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Skyera, LLC</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Delaware</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STEC Bermuda, LP</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Bermuda</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STEC Electronics UK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United Kingdom</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STEC Europe B.V. (Netherlands)</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Netherlands</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STEC Germany GmbH</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Germany</w:t>
            </w:r>
          </w:p>
        </w:tc>
      </w:tr>
      <w:tr>
        <w:trPr>
          <w:trHeight w:val="378"/>
        </w:trPr>
        <w:tc>
          <w:tcPr>
            <w:tcW w:w="6160" w:type="dxa"/>
            <w:vAlign w:val="bottom"/>
            <w:gridSpan w:val="2"/>
          </w:tcPr>
          <w:p>
            <w:pPr>
              <w:spacing w:after="0"/>
              <w:rPr>
                <w:sz w:val="20"/>
                <w:szCs w:val="20"/>
                <w:color w:val="auto"/>
              </w:rPr>
            </w:pPr>
            <w:r>
              <w:rPr>
                <w:rFonts w:ascii="Arial" w:cs="Arial" w:eastAsia="Arial" w:hAnsi="Arial"/>
                <w:sz w:val="22"/>
                <w:szCs w:val="22"/>
                <w:color w:val="auto"/>
              </w:rPr>
              <w:t>STEC Hong Kong Ltd.</w:t>
            </w:r>
          </w:p>
        </w:tc>
        <w:tc>
          <w:tcPr>
            <w:tcW w:w="4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22"/>
                <w:szCs w:val="22"/>
                <w:color w:val="auto"/>
              </w:rPr>
              <w:t>Hong Kong</w:t>
            </w:r>
          </w:p>
        </w:tc>
      </w:tr>
    </w:tbl>
    <w:p>
      <w:pPr>
        <w:sectPr>
          <w:pgSz w:w="11900" w:h="16838" w:orient="portrait"/>
          <w:cols w:equalWidth="0" w:num="1">
            <w:col w:w="11380"/>
          </w:cols>
          <w:pgMar w:left="280" w:top="150" w:right="239" w:bottom="944" w:gutter="0" w:footer="0" w:header="0"/>
        </w:sectPr>
      </w:pPr>
    </w:p>
    <w:bookmarkStart w:id="107" w:name="page108"/>
    <w:bookmarkEnd w:id="107"/>
    <w:p>
      <w:pPr>
        <w:jc w:val="right"/>
        <w:spacing w:after="0"/>
        <w:rPr>
          <w:sz w:val="20"/>
          <w:szCs w:val="20"/>
          <w:color w:val="auto"/>
        </w:rPr>
      </w:pPr>
      <w:r>
        <w:rPr>
          <w:rFonts w:ascii="Arial" w:cs="Arial" w:eastAsia="Arial" w:hAnsi="Arial"/>
          <w:sz w:val="19"/>
          <w:szCs w:val="19"/>
          <w:color w:val="auto"/>
        </w:rPr>
        <w:t>Exhibit 21</w:t>
      </w:r>
    </w:p>
    <w:p>
      <w:pPr>
        <w:sectPr>
          <w:pgSz w:w="11900" w:h="16838" w:orient="portrait"/>
          <w:cols w:equalWidth="0" w:num="1">
            <w:col w:w="11380"/>
          </w:cols>
          <w:pgMar w:left="280" w:top="150" w:right="239"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STEC India Private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STEC International Holding, Inc.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STEC Italy SRL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STEC Japan GK</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STEC Memory Technology Service (Shanghai) Co. Ltd.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STEC R&amp;D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STEC Taiwan Holding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Suntech Realty, Inc.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Velobit, Inc.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Virident Systems Australia PTY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Virident Systems Private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Virident Systems, Inc.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Virident UK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Viviti Technologies Pte.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Viviti Technologies US, Inc.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WD Media (Malaysia) Sdn.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WD Media (Singapore) Pte.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WD Media, LLC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(Argentina) S.A.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(Deutschland) GmbH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(France) SARL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(Fremont), LLC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(I.S.)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(Malaysia) Sdn. Bhd.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(S.E. Asia) Pte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(Thailand) Company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(UK)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Canada Corporation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Capital, LLC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Capital Global,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India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California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China</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Cayman Islands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Cayman Islands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Philippines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Australia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India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Singapore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Malaysia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Singapore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Argentina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Malaysia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Singapore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Thailand</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Ontario, Canada</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Cayman Islands</w:t>
      </w:r>
    </w:p>
    <w:p>
      <w:pPr>
        <w:spacing w:after="0" w:line="159" w:lineRule="exact"/>
        <w:rPr>
          <w:sz w:val="20"/>
          <w:szCs w:val="20"/>
          <w:color w:val="auto"/>
        </w:rPr>
      </w:pPr>
    </w:p>
    <w:p>
      <w:pPr>
        <w:sectPr>
          <w:pgSz w:w="11900" w:h="16838" w:orient="portrait"/>
          <w:cols w:equalWidth="0" w:num="2">
            <w:col w:w="6160" w:space="720"/>
            <w:col w:w="4500"/>
          </w:cols>
          <w:pgMar w:left="280" w:top="150" w:right="239" w:bottom="817" w:gutter="0" w:footer="0" w:header="0"/>
          <w:type w:val="continuous"/>
        </w:sectPr>
      </w:pPr>
    </w:p>
    <w:p>
      <w:pPr>
        <w:spacing w:after="0"/>
        <w:rPr>
          <w:sz w:val="20"/>
          <w:szCs w:val="20"/>
          <w:color w:val="auto"/>
        </w:rPr>
      </w:pPr>
      <w:r>
        <w:rPr>
          <w:rFonts w:ascii="Arial" w:cs="Arial" w:eastAsia="Arial" w:hAnsi="Arial"/>
          <w:sz w:val="19"/>
          <w:szCs w:val="19"/>
          <w:color w:val="auto"/>
        </w:rPr>
        <w:t>Western Digital Do Brasil Comercio E Distribuicao De Produtos De</w:t>
      </w:r>
    </w:p>
    <w:p>
      <w:pPr>
        <w:sectPr>
          <w:pgSz w:w="11900" w:h="16838" w:orient="portrait"/>
          <w:cols w:equalWidth="0" w:num="1">
            <w:col w:w="11380"/>
          </w:cols>
          <w:pgMar w:left="280" w:top="150" w:right="239" w:bottom="817"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Informatica Ltda.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Hong Kong Limited</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Western Digital Information Technology (Shanghai) Company Ltd.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International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Ireland,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Japan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Korea,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Western Digital Latin America, Inc.</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Brazil</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Hong Kong</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China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Cayman Islands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Cayman Islands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Republic of Korea</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ectPr>
          <w:pgSz w:w="11900" w:h="16838" w:orient="portrait"/>
          <w:cols w:equalWidth="0" w:num="2">
            <w:col w:w="6160" w:space="720"/>
            <w:col w:w="4500"/>
          </w:cols>
          <w:pgMar w:left="280" w:top="150" w:right="239" w:bottom="817"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20"/>
          <w:szCs w:val="20"/>
          <w:color w:val="auto"/>
        </w:rPr>
        <w:t>Exhibit 21</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960" w:type="dxa"/>
            <w:vAlign w:val="bottom"/>
          </w:tcPr>
          <w:p>
            <w:pPr>
              <w:spacing w:after="0"/>
              <w:rPr>
                <w:sz w:val="20"/>
                <w:szCs w:val="20"/>
                <w:color w:val="auto"/>
              </w:rPr>
            </w:pPr>
            <w:r>
              <w:rPr>
                <w:rFonts w:ascii="Arial" w:cs="Arial" w:eastAsia="Arial" w:hAnsi="Arial"/>
                <w:sz w:val="22"/>
                <w:szCs w:val="22"/>
                <w:color w:val="auto"/>
              </w:rPr>
              <w:t>Western Digital Netherlands B.V.</w:t>
            </w:r>
          </w:p>
        </w:tc>
        <w:tc>
          <w:tcPr>
            <w:tcW w:w="3380" w:type="dxa"/>
            <w:vAlign w:val="bottom"/>
          </w:tcPr>
          <w:p>
            <w:pPr>
              <w:ind w:left="1940"/>
              <w:spacing w:after="0"/>
              <w:rPr>
                <w:sz w:val="20"/>
                <w:szCs w:val="20"/>
                <w:color w:val="auto"/>
              </w:rPr>
            </w:pPr>
            <w:r>
              <w:rPr>
                <w:rFonts w:ascii="Arial" w:cs="Arial" w:eastAsia="Arial" w:hAnsi="Arial"/>
                <w:sz w:val="22"/>
                <w:szCs w:val="22"/>
                <w:color w:val="auto"/>
                <w:w w:val="87"/>
              </w:rPr>
              <w:t>The Netherlands</w:t>
            </w:r>
          </w:p>
        </w:tc>
      </w:tr>
      <w:tr>
        <w:trPr>
          <w:trHeight w:val="378"/>
        </w:trPr>
        <w:tc>
          <w:tcPr>
            <w:tcW w:w="4960" w:type="dxa"/>
            <w:vAlign w:val="bottom"/>
          </w:tcPr>
          <w:p>
            <w:pPr>
              <w:spacing w:after="0"/>
              <w:rPr>
                <w:sz w:val="20"/>
                <w:szCs w:val="20"/>
                <w:color w:val="auto"/>
              </w:rPr>
            </w:pPr>
            <w:r>
              <w:rPr>
                <w:rFonts w:ascii="Arial" w:cs="Arial" w:eastAsia="Arial" w:hAnsi="Arial"/>
                <w:sz w:val="22"/>
                <w:szCs w:val="22"/>
                <w:color w:val="auto"/>
              </w:rPr>
              <w:t>Western Digital Taiwan Co., Ltd.</w:t>
            </w:r>
          </w:p>
        </w:tc>
        <w:tc>
          <w:tcPr>
            <w:tcW w:w="3380" w:type="dxa"/>
            <w:vAlign w:val="bottom"/>
          </w:tcPr>
          <w:p>
            <w:pPr>
              <w:ind w:left="1940"/>
              <w:spacing w:after="0"/>
              <w:rPr>
                <w:sz w:val="20"/>
                <w:szCs w:val="20"/>
                <w:color w:val="auto"/>
              </w:rPr>
            </w:pPr>
            <w:r>
              <w:rPr>
                <w:rFonts w:ascii="Arial" w:cs="Arial" w:eastAsia="Arial" w:hAnsi="Arial"/>
                <w:sz w:val="22"/>
                <w:szCs w:val="22"/>
                <w:color w:val="auto"/>
              </w:rPr>
              <w:t>Taiwan</w:t>
            </w:r>
          </w:p>
        </w:tc>
      </w:tr>
      <w:tr>
        <w:trPr>
          <w:trHeight w:val="378"/>
        </w:trPr>
        <w:tc>
          <w:tcPr>
            <w:tcW w:w="4960" w:type="dxa"/>
            <w:vAlign w:val="bottom"/>
          </w:tcPr>
          <w:p>
            <w:pPr>
              <w:spacing w:after="0"/>
              <w:rPr>
                <w:sz w:val="20"/>
                <w:szCs w:val="20"/>
                <w:color w:val="auto"/>
              </w:rPr>
            </w:pPr>
            <w:r>
              <w:rPr>
                <w:rFonts w:ascii="Arial" w:cs="Arial" w:eastAsia="Arial" w:hAnsi="Arial"/>
                <w:sz w:val="22"/>
                <w:szCs w:val="22"/>
                <w:color w:val="auto"/>
              </w:rPr>
              <w:t>Western Digital Technologies, Inc.</w:t>
            </w:r>
          </w:p>
        </w:tc>
        <w:tc>
          <w:tcPr>
            <w:tcW w:w="3380" w:type="dxa"/>
            <w:vAlign w:val="bottom"/>
          </w:tcPr>
          <w:p>
            <w:pPr>
              <w:ind w:left="194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380"/>
          </w:cols>
          <w:pgMar w:left="280" w:top="15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38" w:lineRule="exact"/>
        <w:rPr>
          <w:sz w:val="20"/>
          <w:szCs w:val="20"/>
          <w:color w:val="auto"/>
        </w:rPr>
      </w:pPr>
    </w:p>
    <w:p>
      <w:pPr>
        <w:ind w:right="40" w:firstLine="648"/>
        <w:spacing w:after="0" w:line="290" w:lineRule="auto"/>
        <w:rPr>
          <w:sz w:val="20"/>
          <w:szCs w:val="20"/>
          <w:color w:val="auto"/>
        </w:rPr>
      </w:pPr>
      <w:r>
        <w:rPr>
          <w:rFonts w:ascii="Arial" w:cs="Arial" w:eastAsia="Arial" w:hAnsi="Arial"/>
          <w:sz w:val="17"/>
          <w:szCs w:val="17"/>
          <w:color w:val="auto"/>
        </w:rPr>
        <w:t>We consent to the incorporation by reference in the registration statements on Form S-8 (Nos. 333-41423, 333-42991, 33-56128, 333-122475, 333-129813, 333-155661, 333-163133, 333-180286, 333-185194, 333-190290, 333-191216, 333-191910, and 333-202646) of Western Digital Corporation of our reports dated August 21, 2015, with respect to the consolidated balance sheets of Western Digital Corporation and subsidiaries as of July 3, 2015 and June 27, 2014, and the related consolidated statements of income, comprehensive income, shareholders’ equity, and cash flows for each of the years in the three-year period ended July 3, 2015, and the related financial statement schedule, and the effectiveness of internal control over financial reporting as of July 3, 2015, which reports appear in the July 3, 2015, Annual Report on Form 10-K of Western Digital Corporation.</w:t>
      </w:r>
    </w:p>
    <w:p>
      <w:pPr>
        <w:spacing w:after="0" w:line="10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21,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1160" w:hanging="180"/>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ind w:right="60" w:firstLine="980"/>
        <w:spacing w:after="0" w:line="334" w:lineRule="auto"/>
        <w:tabs>
          <w:tab w:leader="none" w:pos="11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20" w:firstLine="980"/>
        <w:spacing w:after="0" w:line="308" w:lineRule="auto"/>
        <w:tabs>
          <w:tab w:leader="none" w:pos="1152"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40" w:firstLine="980"/>
        <w:spacing w:after="0" w:line="264"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right="60" w:firstLine="972"/>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sz w:val="20"/>
          <w:szCs w:val="20"/>
          <w:color w:val="auto"/>
        </w:rPr>
      </w:pPr>
    </w:p>
    <w:p>
      <w:pPr>
        <w:ind w:right="20" w:firstLine="972"/>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sz w:val="20"/>
          <w:szCs w:val="20"/>
          <w:color w:val="auto"/>
        </w:rPr>
      </w:pPr>
    </w:p>
    <w:p>
      <w:pPr>
        <w:ind w:right="560" w:firstLine="972"/>
        <w:spacing w:after="0" w:line="334"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right="40" w:firstLine="972"/>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right="680" w:firstLine="980"/>
        <w:spacing w:after="0" w:line="334" w:lineRule="auto"/>
        <w:tabs>
          <w:tab w:leader="none" w:pos="11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780" w:firstLine="972"/>
        <w:spacing w:after="0" w:line="308" w:lineRule="auto"/>
        <w:rPr>
          <w:sz w:val="20"/>
          <w:szCs w:val="20"/>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sz w:val="20"/>
          <w:szCs w:val="20"/>
          <w:color w:val="auto"/>
        </w:rPr>
      </w:pPr>
    </w:p>
    <w:p>
      <w:pPr>
        <w:ind w:right="460" w:firstLine="972"/>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8"/>
          <w:szCs w:val="18"/>
          <w:color w:val="auto"/>
        </w:rPr>
        <w:t>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2015</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Olivier C. Leonetti, certify that:</w:t>
      </w:r>
    </w:p>
    <w:p>
      <w:pPr>
        <w:spacing w:after="0" w:line="90" w:lineRule="exact"/>
        <w:rPr>
          <w:sz w:val="20"/>
          <w:szCs w:val="20"/>
          <w:color w:val="auto"/>
        </w:rPr>
      </w:pPr>
    </w:p>
    <w:p>
      <w:pPr>
        <w:ind w:left="1240" w:hanging="179"/>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ind w:right="260" w:firstLine="1061"/>
        <w:spacing w:after="0" w:line="264" w:lineRule="auto"/>
        <w:tabs>
          <w:tab w:leader="none" w:pos="12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right="560" w:firstLine="1061"/>
        <w:spacing w:after="0" w:line="308" w:lineRule="auto"/>
        <w:tabs>
          <w:tab w:leader="none" w:pos="1233"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right="40" w:firstLine="1061"/>
        <w:spacing w:after="0" w:line="264" w:lineRule="auto"/>
        <w:tabs>
          <w:tab w:leader="none" w:pos="12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right="160" w:firstLine="1053"/>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sz w:val="20"/>
          <w:szCs w:val="20"/>
          <w:color w:val="auto"/>
        </w:rPr>
      </w:pPr>
    </w:p>
    <w:p>
      <w:pPr>
        <w:ind w:right="20" w:firstLine="1053"/>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sz w:val="20"/>
          <w:szCs w:val="20"/>
          <w:color w:val="auto"/>
        </w:rPr>
      </w:pPr>
    </w:p>
    <w:p>
      <w:pPr>
        <w:ind w:right="480" w:firstLine="1053"/>
        <w:spacing w:after="0" w:line="334" w:lineRule="auto"/>
        <w:rPr>
          <w:sz w:val="20"/>
          <w:szCs w:val="20"/>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jc w:val="both"/>
        <w:ind w:right="420" w:firstLine="1053"/>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sz w:val="20"/>
          <w:szCs w:val="20"/>
          <w:color w:val="auto"/>
        </w:rPr>
      </w:pPr>
    </w:p>
    <w:p>
      <w:pPr>
        <w:ind w:right="600" w:firstLine="1061"/>
        <w:spacing w:after="0" w:line="334" w:lineRule="auto"/>
        <w:tabs>
          <w:tab w:leader="none" w:pos="123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right="700" w:firstLine="1053"/>
        <w:spacing w:after="0" w:line="308" w:lineRule="auto"/>
        <w:rPr>
          <w:sz w:val="20"/>
          <w:szCs w:val="20"/>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sz w:val="20"/>
          <w:szCs w:val="20"/>
          <w:color w:val="auto"/>
        </w:rPr>
      </w:pPr>
    </w:p>
    <w:p>
      <w:pPr>
        <w:ind w:right="380" w:firstLine="1053"/>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2015</w:t>
      </w:r>
    </w:p>
    <w:p>
      <w:pPr>
        <w:sectPr>
          <w:pgSz w:w="11900" w:h="16838" w:orient="portrait"/>
          <w:cols w:equalWidth="0" w:num="1">
            <w:col w:w="11420"/>
          </w:cols>
          <w:pgMar w:left="240" w:top="580" w:right="239" w:bottom="1440" w:gutter="0" w:footer="0" w:header="0"/>
        </w:sectPr>
      </w:pPr>
    </w:p>
    <w:bookmarkStart w:id="112" w:name="page113"/>
    <w:bookmarkEnd w:id="112"/>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440"/>
        <w:spacing w:after="0" w:line="308" w:lineRule="auto"/>
        <w:tabs>
          <w:tab w:leader="none" w:pos="64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July 3, 2015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700" w:hanging="260"/>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jc w:val="center"/>
        <w:ind w:left="652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8"/>
          <w:szCs w:val="18"/>
          <w:color w:val="auto"/>
        </w:rPr>
        <w:t>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2015</w:t>
      </w:r>
    </w:p>
    <w:p>
      <w:pPr>
        <w:sectPr>
          <w:pgSz w:w="11900" w:h="16838" w:orient="portrait"/>
          <w:cols w:equalWidth="0" w:num="1">
            <w:col w:w="11420"/>
          </w:cols>
          <w:pgMar w:left="240" w:top="580" w:right="239" w:bottom="1440" w:gutter="0" w:footer="0" w:header="0"/>
        </w:sectPr>
      </w:pPr>
    </w:p>
    <w:bookmarkStart w:id="113" w:name="page114"/>
    <w:bookmarkEnd w:id="113"/>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440"/>
        <w:spacing w:after="0" w:line="308" w:lineRule="auto"/>
        <w:tabs>
          <w:tab w:leader="none" w:pos="6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July 3, 2015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700" w:hanging="260"/>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OLIVIER C.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3"/>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decimal"/>
      <w:start w:val="5"/>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5"/>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5"/>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2019-12-29T15:44:58Z</dcterms:created>
  <dcterms:modified xsi:type="dcterms:W3CDTF">2019-12-29T15:44:58Z</dcterms:modified>
</cp:coreProperties>
</file>