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-199390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68" w:lineRule="exact"/>
        <w:rPr>
          <w:sz w:val="24"/>
          <w:szCs w:val="24"/>
          <w:color w:val="auto"/>
        </w:rPr>
      </w:pPr>
    </w:p>
    <w:p>
      <w:pPr>
        <w:jc w:val="center"/>
        <w:ind w:right="-99"/>
        <w:spacing w:after="0"/>
        <w:rPr>
          <w:sz w:val="20"/>
          <w:szCs w:val="20"/>
          <w:color w:val="auto"/>
        </w:rPr>
      </w:pPr>
      <w:r>
        <w:rPr>
          <w:rFonts w:ascii="Arial" w:cs="Arial" w:eastAsia="Arial" w:hAnsi="Arial"/>
          <w:sz w:val="14"/>
          <w:szCs w:val="14"/>
          <w:i w:val="1"/>
          <w:i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-98425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4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quarterly period ended September 30, 2016</w:t>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175260</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320675</wp:posOffset>
            </wp:positionV>
            <wp:extent cx="1646555" cy="45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WESTERN DIGITAL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167640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6200" w:type="dxa"/>
            <w:vAlign w:val="bottom"/>
            <w:gridSpan w:val="3"/>
          </w:tcPr>
          <w:p>
            <w:pPr>
              <w:jc w:val="center"/>
              <w:ind w:right="4220"/>
              <w:spacing w:after="0"/>
              <w:rPr>
                <w:sz w:val="20"/>
                <w:szCs w:val="20"/>
                <w:color w:val="auto"/>
              </w:rPr>
            </w:pPr>
            <w:r>
              <w:rPr>
                <w:rFonts w:ascii="Arial" w:cs="Arial" w:eastAsia="Arial" w:hAnsi="Arial"/>
                <w:sz w:val="16"/>
                <w:szCs w:val="16"/>
                <w:b w:val="1"/>
                <w:bCs w:val="1"/>
                <w:color w:val="auto"/>
                <w:w w:val="93"/>
              </w:rPr>
              <w:t>Delaware</w:t>
            </w:r>
          </w:p>
        </w:tc>
        <w:tc>
          <w:tcPr>
            <w:tcW w:w="960" w:type="dxa"/>
            <w:vAlign w:val="bottom"/>
          </w:tcPr>
          <w:p>
            <w:pPr>
              <w:jc w:val="right"/>
              <w:ind w:right="12"/>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81"/>
        </w:trPr>
        <w:tc>
          <w:tcPr>
            <w:tcW w:w="6200" w:type="dxa"/>
            <w:vAlign w:val="bottom"/>
            <w:gridSpan w:val="3"/>
          </w:tcPr>
          <w:p>
            <w:pPr>
              <w:jc w:val="center"/>
              <w:ind w:right="4240"/>
              <w:spacing w:after="0"/>
              <w:rPr>
                <w:sz w:val="20"/>
                <w:szCs w:val="20"/>
                <w:color w:val="auto"/>
              </w:rPr>
            </w:pPr>
            <w:r>
              <w:rPr>
                <w:rFonts w:ascii="Arial" w:cs="Arial" w:eastAsia="Arial" w:hAnsi="Arial"/>
                <w:sz w:val="13"/>
                <w:szCs w:val="13"/>
                <w:i w:val="1"/>
                <w:iCs w:val="1"/>
                <w:color w:val="auto"/>
                <w:w w:val="91"/>
              </w:rPr>
              <w:t>(State or other jurisdiction of</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88"/>
              </w:rPr>
              <w:t>(I.R.S. Employer</w:t>
            </w:r>
          </w:p>
        </w:tc>
        <w:tc>
          <w:tcPr>
            <w:tcW w:w="0" w:type="dxa"/>
            <w:vAlign w:val="bottom"/>
          </w:tcPr>
          <w:p>
            <w:pPr>
              <w:spacing w:after="0"/>
              <w:rPr>
                <w:sz w:val="1"/>
                <w:szCs w:val="1"/>
                <w:color w:val="auto"/>
              </w:rPr>
            </w:pPr>
          </w:p>
        </w:tc>
      </w:tr>
      <w:tr>
        <w:trPr>
          <w:trHeight w:val="160"/>
        </w:trPr>
        <w:tc>
          <w:tcPr>
            <w:tcW w:w="6200" w:type="dxa"/>
            <w:vAlign w:val="bottom"/>
            <w:gridSpan w:val="3"/>
          </w:tcPr>
          <w:p>
            <w:pPr>
              <w:jc w:val="center"/>
              <w:ind w:right="4240"/>
              <w:spacing w:after="0"/>
              <w:rPr>
                <w:sz w:val="20"/>
                <w:szCs w:val="20"/>
                <w:color w:val="auto"/>
              </w:rPr>
            </w:pPr>
            <w:r>
              <w:rPr>
                <w:rFonts w:ascii="Arial" w:cs="Arial" w:eastAsia="Arial" w:hAnsi="Arial"/>
                <w:sz w:val="13"/>
                <w:szCs w:val="13"/>
                <w:i w:val="1"/>
                <w:iCs w:val="1"/>
                <w:color w:val="auto"/>
                <w:w w:val="92"/>
              </w:rPr>
              <w:t>incorporation or organization)</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92"/>
              </w:rPr>
              <w:t>Identification No.)</w:t>
            </w:r>
          </w:p>
        </w:tc>
        <w:tc>
          <w:tcPr>
            <w:tcW w:w="0" w:type="dxa"/>
            <w:vAlign w:val="bottom"/>
          </w:tcPr>
          <w:p>
            <w:pPr>
              <w:spacing w:after="0"/>
              <w:rPr>
                <w:sz w:val="1"/>
                <w:szCs w:val="1"/>
                <w:color w:val="auto"/>
              </w:rPr>
            </w:pPr>
          </w:p>
        </w:tc>
      </w:tr>
      <w:tr>
        <w:trPr>
          <w:trHeight w:val="290"/>
        </w:trPr>
        <w:tc>
          <w:tcPr>
            <w:tcW w:w="6200" w:type="dxa"/>
            <w:vAlign w:val="bottom"/>
            <w:gridSpan w:val="3"/>
          </w:tcPr>
          <w:p>
            <w:pPr>
              <w:jc w:val="center"/>
              <w:ind w:right="4240"/>
              <w:spacing w:after="0"/>
              <w:rPr>
                <w:sz w:val="20"/>
                <w:szCs w:val="20"/>
                <w:color w:val="auto"/>
              </w:rPr>
            </w:pPr>
            <w:r>
              <w:rPr>
                <w:rFonts w:ascii="Arial" w:cs="Arial" w:eastAsia="Arial" w:hAnsi="Arial"/>
                <w:sz w:val="14"/>
                <w:szCs w:val="14"/>
                <w:b w:val="1"/>
                <w:bCs w:val="1"/>
                <w:color w:val="auto"/>
                <w:w w:val="92"/>
              </w:rPr>
              <w:t>3355 Michelson Drive, Suite 100</w:t>
            </w:r>
          </w:p>
        </w:tc>
        <w:tc>
          <w:tcPr>
            <w:tcW w:w="9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92612</w:t>
            </w:r>
          </w:p>
        </w:tc>
        <w:tc>
          <w:tcPr>
            <w:tcW w:w="0" w:type="dxa"/>
            <w:vAlign w:val="bottom"/>
          </w:tcPr>
          <w:p>
            <w:pPr>
              <w:spacing w:after="0"/>
              <w:rPr>
                <w:sz w:val="1"/>
                <w:szCs w:val="1"/>
                <w:color w:val="auto"/>
              </w:rPr>
            </w:pPr>
          </w:p>
        </w:tc>
      </w:tr>
      <w:tr>
        <w:trPr>
          <w:trHeight w:val="186"/>
        </w:trPr>
        <w:tc>
          <w:tcPr>
            <w:tcW w:w="6200" w:type="dxa"/>
            <w:vAlign w:val="bottom"/>
            <w:gridSpan w:val="3"/>
          </w:tcPr>
          <w:p>
            <w:pPr>
              <w:jc w:val="center"/>
              <w:ind w:right="4240"/>
              <w:spacing w:after="0"/>
              <w:rPr>
                <w:sz w:val="20"/>
                <w:szCs w:val="20"/>
                <w:color w:val="auto"/>
              </w:rPr>
            </w:pPr>
            <w:r>
              <w:rPr>
                <w:rFonts w:ascii="Arial" w:cs="Arial" w:eastAsia="Arial" w:hAnsi="Arial"/>
                <w:sz w:val="14"/>
                <w:szCs w:val="14"/>
                <w:b w:val="1"/>
                <w:bCs w:val="1"/>
                <w:color w:val="auto"/>
                <w:w w:val="98"/>
              </w:rPr>
              <w:t>Irvine, California</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00" w:type="dxa"/>
            <w:vAlign w:val="bottom"/>
            <w:gridSpan w:val="3"/>
          </w:tcPr>
          <w:p>
            <w:pPr>
              <w:jc w:val="center"/>
              <w:ind w:right="4240"/>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87"/>
              </w:rPr>
              <w:t>(Zip Code)</w:t>
            </w:r>
          </w:p>
        </w:tc>
        <w:tc>
          <w:tcPr>
            <w:tcW w:w="0" w:type="dxa"/>
            <w:vAlign w:val="bottom"/>
          </w:tcPr>
          <w:p>
            <w:pPr>
              <w:spacing w:after="0"/>
              <w:rPr>
                <w:sz w:val="1"/>
                <w:szCs w:val="1"/>
                <w:color w:val="auto"/>
              </w:rPr>
            </w:pPr>
          </w:p>
        </w:tc>
      </w:tr>
      <w:tr>
        <w:trPr>
          <w:trHeight w:val="375"/>
        </w:trPr>
        <w:tc>
          <w:tcPr>
            <w:tcW w:w="6200" w:type="dxa"/>
            <w:vAlign w:val="bottom"/>
            <w:gridSpan w:val="3"/>
          </w:tcPr>
          <w:p>
            <w:pPr>
              <w:ind w:left="1500"/>
              <w:spacing w:after="0"/>
              <w:rPr>
                <w:sz w:val="20"/>
                <w:szCs w:val="20"/>
                <w:color w:val="auto"/>
              </w:rPr>
            </w:pPr>
            <w:r>
              <w:rPr>
                <w:rFonts w:ascii="Arial" w:cs="Arial" w:eastAsia="Arial" w:hAnsi="Arial"/>
                <w:sz w:val="16"/>
                <w:szCs w:val="16"/>
                <w:b w:val="1"/>
                <w:bCs w:val="1"/>
                <w:color w:val="auto"/>
                <w:w w:val="91"/>
              </w:rPr>
              <w:t>Registrant’s telephone number, including area code: (949) 672-7000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620" w:type="dxa"/>
            <w:vAlign w:val="bottom"/>
          </w:tcPr>
          <w:p>
            <w:pPr>
              <w:spacing w:after="0"/>
              <w:rPr>
                <w:sz w:val="21"/>
                <w:szCs w:val="21"/>
                <w:color w:val="auto"/>
              </w:rPr>
            </w:pPr>
          </w:p>
        </w:tc>
        <w:tc>
          <w:tcPr>
            <w:tcW w:w="44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59" w:lineRule="exact"/>
        <w:rPr>
          <w:sz w:val="24"/>
          <w:szCs w:val="24"/>
          <w:color w:val="auto"/>
        </w:rPr>
      </w:pPr>
    </w:p>
    <w:p>
      <w:pPr>
        <w:ind w:right="4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400" w:firstLine="432"/>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firstLine="432"/>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517" w:right="319" w:bottom="1440"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2" w:lineRule="exact"/>
        <w:rPr>
          <w:sz w:val="24"/>
          <w:szCs w:val="24"/>
          <w:color w:val="auto"/>
        </w:rPr>
      </w:pPr>
    </w:p>
    <w:p>
      <w:pPr>
        <w:sectPr>
          <w:pgSz w:w="11900" w:h="16838" w:orient="portrait"/>
          <w:cols w:equalWidth="0" w:num="4">
            <w:col w:w="2280" w:space="720"/>
            <w:col w:w="4080" w:space="720"/>
            <w:col w:w="2580" w:space="720"/>
            <w:col w:w="240"/>
          </w:cols>
          <w:pgMar w:left="240" w:top="517" w:right="31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49" w:lineRule="exact"/>
        <w:rPr>
          <w:sz w:val="24"/>
          <w:szCs w:val="24"/>
          <w:color w:val="auto"/>
        </w:rPr>
      </w:pPr>
    </w:p>
    <w:p>
      <w:pPr>
        <w:sectPr>
          <w:pgSz w:w="11900" w:h="16838" w:orient="portrait"/>
          <w:cols w:equalWidth="0" w:num="4">
            <w:col w:w="2280" w:space="720"/>
            <w:col w:w="4080" w:space="720"/>
            <w:col w:w="2580" w:space="720"/>
            <w:col w:w="240"/>
          </w:cols>
          <w:pgMar w:left="240" w:top="517" w:right="319" w:bottom="1440" w:gutter="0" w:footer="0" w:header="0"/>
          <w:type w:val="continuous"/>
        </w:sectPr>
      </w:pPr>
    </w:p>
    <w:p>
      <w:pPr>
        <w:spacing w:after="0" w:line="28"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sectPr>
          <w:pgSz w:w="11900" w:h="16838" w:orient="portrait"/>
          <w:cols w:equalWidth="0" w:num="4">
            <w:col w:w="6980" w:space="140"/>
            <w:col w:w="200" w:space="80"/>
            <w:col w:w="120" w:space="160"/>
            <w:col w:w="3660"/>
          </w:cols>
          <w:pgMar w:left="240" w:top="517" w:right="319" w:bottom="1440" w:gutter="0" w:footer="0" w:header="0"/>
          <w:type w:val="continuous"/>
        </w:sectPr>
      </w:pPr>
    </w:p>
    <w:p>
      <w:pPr>
        <w:ind w:left="420"/>
        <w:spacing w:after="0"/>
        <w:rPr>
          <w:sz w:val="20"/>
          <w:szCs w:val="20"/>
          <w:color w:val="auto"/>
        </w:rPr>
      </w:pPr>
      <w:r>
        <w:rPr>
          <w:rFonts w:ascii="Arial" w:cs="Arial" w:eastAsia="Arial" w:hAnsi="Arial"/>
          <w:sz w:val="12"/>
          <w:szCs w:val="12"/>
          <w:color w:val="auto"/>
        </w:rPr>
        <w:t>As of the close of business on September 30, 2016, 285,473,906 shares of common stock, par value $0.01 per share, were outstanding.</w:t>
      </w:r>
    </w:p>
    <w:p>
      <w:pPr>
        <w:sectPr>
          <w:pgSz w:w="11900" w:h="16838" w:orient="portrait"/>
          <w:cols w:equalWidth="0" w:num="1">
            <w:col w:w="11340"/>
          </w:cols>
          <w:pgMar w:left="240" w:top="51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600" w:type="dxa"/>
            <w:vAlign w:val="bottom"/>
            <w:gridSpan w:val="5"/>
          </w:tcPr>
          <w:p>
            <w:pPr>
              <w:ind w:left="3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vMerge w:val="restart"/>
          </w:tcPr>
          <w:p>
            <w:pPr>
              <w:ind w:left="3140"/>
              <w:spacing w:after="0"/>
              <w:rPr>
                <w:sz w:val="20"/>
                <w:szCs w:val="20"/>
                <w:color w:val="auto"/>
              </w:rPr>
            </w:pPr>
            <w:r>
              <w:rPr>
                <w:rFonts w:ascii="Arial" w:cs="Arial" w:eastAsia="Arial" w:hAnsi="Arial"/>
                <w:sz w:val="20"/>
                <w:szCs w:val="20"/>
                <w:b w:val="1"/>
                <w:bCs w:val="1"/>
                <w:color w:val="auto"/>
              </w:rPr>
              <w:t>PART I. FINANCIAL INFORMATION</w:t>
            </w: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894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8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Statements (unaudited)</w:t>
            </w: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940" w:type="dxa"/>
            <w:vAlign w:val="bottom"/>
          </w:tcPr>
          <w:p>
            <w:pPr>
              <w:ind w:left="540"/>
              <w:spacing w:after="0" w:line="202" w:lineRule="exact"/>
              <w:rPr>
                <w:sz w:val="20"/>
                <w:szCs w:val="20"/>
                <w:color w:val="auto"/>
              </w:rPr>
            </w:pPr>
            <w:r>
              <w:rPr>
                <w:rFonts w:ascii="Arial" w:cs="Arial" w:eastAsia="Arial" w:hAnsi="Arial"/>
                <w:sz w:val="18"/>
                <w:szCs w:val="18"/>
                <w:color w:val="auto"/>
              </w:rPr>
              <w:t>Condensed Consolidated Balance Sheets — As of September 30, 2016 and July 1, 2016</w:t>
            </w:r>
          </w:p>
        </w:tc>
        <w:tc>
          <w:tcPr>
            <w:tcW w:w="900" w:type="dxa"/>
            <w:vAlign w:val="bottom"/>
            <w:gridSpan w:val="4"/>
          </w:tcPr>
          <w:p>
            <w:pPr>
              <w:jc w:val="center"/>
              <w:ind w:left="61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Condensed Consolidated Statements of Operations —Three Months Ended September 30, 2016 and October 2,</w:t>
            </w: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shd w:val="clear" w:color="auto" w:fill="CCEEFF"/>
          </w:tcPr>
          <w:p>
            <w:pPr>
              <w:spacing w:after="0"/>
              <w:rPr>
                <w:sz w:val="20"/>
                <w:szCs w:val="20"/>
                <w:color w:val="auto"/>
              </w:rPr>
            </w:pPr>
          </w:p>
        </w:tc>
        <w:tc>
          <w:tcPr>
            <w:tcW w:w="8940" w:type="dxa"/>
            <w:vAlign w:val="bottom"/>
            <w:shd w:val="clear" w:color="auto" w:fill="CCEEFF"/>
          </w:tcPr>
          <w:p>
            <w:pPr>
              <w:ind w:left="540"/>
              <w:spacing w:after="0" w:line="190" w:lineRule="exact"/>
              <w:rPr>
                <w:sz w:val="20"/>
                <w:szCs w:val="20"/>
                <w:color w:val="auto"/>
              </w:rPr>
            </w:pPr>
            <w:r>
              <w:rPr>
                <w:rFonts w:ascii="Arial" w:cs="Arial" w:eastAsia="Arial" w:hAnsi="Arial"/>
                <w:sz w:val="18"/>
                <w:szCs w:val="18"/>
                <w:color w:val="auto"/>
              </w:rPr>
              <w:t>2015</w:t>
            </w:r>
          </w:p>
        </w:tc>
        <w:tc>
          <w:tcPr>
            <w:tcW w:w="900" w:type="dxa"/>
            <w:vAlign w:val="bottom"/>
            <w:gridSpan w:val="4"/>
            <w:shd w:val="clear" w:color="auto" w:fill="CCEEFF"/>
          </w:tcPr>
          <w:p>
            <w:pPr>
              <w:jc w:val="center"/>
              <w:ind w:left="610"/>
              <w:spacing w:after="0" w:line="190"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tcBorders>
              <w:top w:val="single" w:sz="8" w:color="CCEEFF"/>
            </w:tcBorders>
          </w:tcPr>
          <w:p>
            <w:pPr>
              <w:spacing w:after="0"/>
              <w:rPr>
                <w:sz w:val="19"/>
                <w:szCs w:val="19"/>
                <w:color w:val="auto"/>
              </w:rPr>
            </w:pPr>
          </w:p>
        </w:tc>
        <w:tc>
          <w:tcPr>
            <w:tcW w:w="894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w w:val="90"/>
              </w:rPr>
              <w:t>Condensed Consolidated Statements of Comprehensive Income (Loss) —Three Months Ended September 30, 2016</w:t>
            </w:r>
          </w:p>
        </w:tc>
        <w:tc>
          <w:tcPr>
            <w:tcW w:w="7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8940" w:type="dxa"/>
            <w:vAlign w:val="bottom"/>
          </w:tcPr>
          <w:p>
            <w:pPr>
              <w:ind w:left="540"/>
              <w:spacing w:after="0" w:line="190" w:lineRule="exact"/>
              <w:rPr>
                <w:sz w:val="20"/>
                <w:szCs w:val="20"/>
                <w:color w:val="auto"/>
              </w:rPr>
            </w:pPr>
            <w:r>
              <w:rPr>
                <w:rFonts w:ascii="Arial" w:cs="Arial" w:eastAsia="Arial" w:hAnsi="Arial"/>
                <w:sz w:val="18"/>
                <w:szCs w:val="18"/>
                <w:color w:val="auto"/>
              </w:rPr>
              <w:t>and October 2, 2015</w:t>
            </w:r>
          </w:p>
        </w:tc>
        <w:tc>
          <w:tcPr>
            <w:tcW w:w="900" w:type="dxa"/>
            <w:vAlign w:val="bottom"/>
            <w:gridSpan w:val="4"/>
          </w:tcPr>
          <w:p>
            <w:pPr>
              <w:jc w:val="center"/>
              <w:ind w:left="610"/>
              <w:spacing w:after="0" w:line="190"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Condensed Consolidated Statements of Cash Flow —Three Months Ended September 30, 2016 and October 2,</w:t>
            </w: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shd w:val="clear" w:color="auto" w:fill="CCEEFF"/>
          </w:tcPr>
          <w:p>
            <w:pPr>
              <w:spacing w:after="0"/>
              <w:rPr>
                <w:sz w:val="16"/>
                <w:szCs w:val="16"/>
                <w:color w:val="auto"/>
              </w:rPr>
            </w:pPr>
          </w:p>
        </w:tc>
        <w:tc>
          <w:tcPr>
            <w:tcW w:w="8940" w:type="dxa"/>
            <w:vAlign w:val="bottom"/>
            <w:shd w:val="clear" w:color="auto" w:fill="CCEEFF"/>
          </w:tcPr>
          <w:p>
            <w:pPr>
              <w:ind w:left="540"/>
              <w:spacing w:after="0" w:line="190" w:lineRule="exact"/>
              <w:rPr>
                <w:sz w:val="20"/>
                <w:szCs w:val="20"/>
                <w:color w:val="auto"/>
              </w:rPr>
            </w:pPr>
            <w:r>
              <w:rPr>
                <w:rFonts w:ascii="Arial" w:cs="Arial" w:eastAsia="Arial" w:hAnsi="Arial"/>
                <w:sz w:val="18"/>
                <w:szCs w:val="18"/>
                <w:color w:val="auto"/>
              </w:rPr>
              <w:t>2015</w:t>
            </w:r>
          </w:p>
        </w:tc>
        <w:tc>
          <w:tcPr>
            <w:tcW w:w="900" w:type="dxa"/>
            <w:vAlign w:val="bottom"/>
            <w:gridSpan w:val="4"/>
            <w:shd w:val="clear" w:color="auto" w:fill="CCEEFF"/>
          </w:tcPr>
          <w:p>
            <w:pPr>
              <w:jc w:val="center"/>
              <w:ind w:left="610"/>
              <w:spacing w:after="0" w:line="190"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940" w:type="dxa"/>
            <w:vAlign w:val="bottom"/>
          </w:tcPr>
          <w:p>
            <w:pPr>
              <w:ind w:left="5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900" w:type="dxa"/>
            <w:vAlign w:val="bottom"/>
            <w:gridSpan w:val="4"/>
          </w:tcPr>
          <w:p>
            <w:pPr>
              <w:jc w:val="center"/>
              <w:ind w:left="61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gridSpan w:val="4"/>
            <w:shd w:val="clear" w:color="auto" w:fill="CCEEFF"/>
          </w:tcPr>
          <w:p>
            <w:pPr>
              <w:jc w:val="center"/>
              <w:ind w:left="63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gridSpan w:val="4"/>
          </w:tcPr>
          <w:p>
            <w:pPr>
              <w:jc w:val="center"/>
              <w:ind w:left="63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900" w:type="dxa"/>
            <w:vAlign w:val="bottom"/>
            <w:gridSpan w:val="4"/>
            <w:shd w:val="clear" w:color="auto" w:fill="CCEEFF"/>
          </w:tcPr>
          <w:p>
            <w:pPr>
              <w:jc w:val="center"/>
              <w:ind w:left="63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31"/>
        </w:trPr>
        <w:tc>
          <w:tcPr>
            <w:tcW w:w="880" w:type="dxa"/>
            <w:vAlign w:val="bottom"/>
            <w:tcBorders>
              <w:top w:val="single" w:sz="8" w:color="CCEEFF"/>
            </w:tcBorders>
          </w:tcPr>
          <w:p>
            <w:pPr>
              <w:spacing w:after="0"/>
              <w:rPr>
                <w:sz w:val="24"/>
                <w:szCs w:val="24"/>
                <w:color w:val="auto"/>
              </w:rPr>
            </w:pPr>
          </w:p>
        </w:tc>
        <w:tc>
          <w:tcPr>
            <w:tcW w:w="8940" w:type="dxa"/>
            <w:vAlign w:val="bottom"/>
            <w:tcBorders>
              <w:top w:val="single" w:sz="8" w:color="CCEEFF"/>
            </w:tcBorders>
          </w:tcPr>
          <w:p>
            <w:pPr>
              <w:ind w:left="3320"/>
              <w:spacing w:after="0"/>
              <w:rPr>
                <w:sz w:val="20"/>
                <w:szCs w:val="20"/>
                <w:color w:val="auto"/>
              </w:rPr>
            </w:pPr>
            <w:r>
              <w:rPr>
                <w:rFonts w:ascii="Arial" w:cs="Arial" w:eastAsia="Arial" w:hAnsi="Arial"/>
                <w:sz w:val="20"/>
                <w:szCs w:val="20"/>
                <w:b w:val="1"/>
                <w:bCs w:val="1"/>
                <w:color w:val="auto"/>
              </w:rPr>
              <w:t>PART II. OTHER INFORMATION</w:t>
            </w:r>
          </w:p>
        </w:tc>
        <w:tc>
          <w:tcPr>
            <w:tcW w:w="7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Legal Proceedings</w:t>
            </w:r>
          </w:p>
        </w:tc>
        <w:tc>
          <w:tcPr>
            <w:tcW w:w="900" w:type="dxa"/>
            <w:vAlign w:val="bottom"/>
            <w:gridSpan w:val="4"/>
            <w:shd w:val="clear" w:color="auto" w:fill="CCEEFF"/>
          </w:tcPr>
          <w:p>
            <w:pPr>
              <w:jc w:val="center"/>
              <w:ind w:left="63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1A.</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Risk Factors</w:t>
            </w:r>
          </w:p>
        </w:tc>
        <w:tc>
          <w:tcPr>
            <w:tcW w:w="900" w:type="dxa"/>
            <w:vAlign w:val="bottom"/>
            <w:gridSpan w:val="4"/>
          </w:tcPr>
          <w:p>
            <w:pPr>
              <w:jc w:val="center"/>
              <w:ind w:left="63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gridSpan w:val="4"/>
            <w:shd w:val="clear" w:color="auto" w:fill="CCEEFF"/>
          </w:tcPr>
          <w:p>
            <w:pPr>
              <w:jc w:val="center"/>
              <w:ind w:left="630"/>
              <w:spacing w:after="0" w:line="20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Defaults Upon Senior Securities</w:t>
            </w:r>
          </w:p>
        </w:tc>
        <w:tc>
          <w:tcPr>
            <w:tcW w:w="900" w:type="dxa"/>
            <w:vAlign w:val="bottom"/>
            <w:gridSpan w:val="4"/>
          </w:tcPr>
          <w:p>
            <w:pPr>
              <w:jc w:val="center"/>
              <w:ind w:left="630"/>
              <w:spacing w:after="0" w:line="20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Mine Safety Disclosures</w:t>
            </w:r>
          </w:p>
        </w:tc>
        <w:tc>
          <w:tcPr>
            <w:tcW w:w="900" w:type="dxa"/>
            <w:vAlign w:val="bottom"/>
            <w:gridSpan w:val="4"/>
            <w:shd w:val="clear" w:color="auto" w:fill="CCEEFF"/>
          </w:tcPr>
          <w:p>
            <w:pPr>
              <w:jc w:val="center"/>
              <w:ind w:left="630"/>
              <w:spacing w:after="0" w:line="20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Item 5.</w:t>
            </w: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Other Information</w:t>
            </w:r>
          </w:p>
        </w:tc>
        <w:tc>
          <w:tcPr>
            <w:tcW w:w="900" w:type="dxa"/>
            <w:vAlign w:val="bottom"/>
            <w:gridSpan w:val="4"/>
          </w:tcPr>
          <w:p>
            <w:pPr>
              <w:jc w:val="center"/>
              <w:ind w:left="630"/>
              <w:spacing w:after="0" w:line="20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Exhibits</w:t>
            </w:r>
          </w:p>
        </w:tc>
        <w:tc>
          <w:tcPr>
            <w:tcW w:w="900" w:type="dxa"/>
            <w:vAlign w:val="bottom"/>
            <w:gridSpan w:val="4"/>
            <w:shd w:val="clear" w:color="auto" w:fill="CCEEFF"/>
          </w:tcPr>
          <w:p>
            <w:pPr>
              <w:jc w:val="center"/>
              <w:ind w:left="630"/>
              <w:spacing w:after="0" w:line="20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77</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73"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3355 Michelson Drive, Suite 100, Irvine, California 92612. Our telephone number is (949) 672-7000, and our website is www.westerndigital.com. The information on our website is not incorporated in this Quarterly Report on Form 10-Q.</w:t>
      </w:r>
    </w:p>
    <w:p>
      <w:pPr>
        <w:spacing w:after="0" w:line="7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Western Digital, WD, the WD logo, the HGST logo, SanDisk and G-Technology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80" w:lineRule="exact"/>
        <w:rPr>
          <w:sz w:val="20"/>
          <w:szCs w:val="20"/>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concerning the anticipated benefits of our acquisition of SanDisk Corporation;</w:t>
      </w:r>
    </w:p>
    <w:p>
      <w:pPr>
        <w:spacing w:after="0" w:line="23" w:lineRule="exact"/>
        <w:rPr>
          <w:rFonts w:ascii="Arial" w:cs="Arial" w:eastAsia="Arial" w:hAnsi="Arial"/>
          <w:sz w:val="18"/>
          <w:szCs w:val="18"/>
          <w:color w:val="auto"/>
        </w:rPr>
      </w:pPr>
    </w:p>
    <w:p>
      <w:pPr>
        <w:ind w:left="1460" w:right="440" w:hanging="736"/>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integration of our HGST and WD subsidiaries following the decision by the Ministry of Commerce of the People’s Republic of China in October 2015;</w:t>
      </w: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growth of digital data and demand for digital storage;</w:t>
      </w:r>
    </w:p>
    <w:p>
      <w:pPr>
        <w:spacing w:after="0" w:line="9"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our business strategy, our ability to execute that strategy and its intended benefits;</w:t>
      </w:r>
    </w:p>
    <w:p>
      <w:pPr>
        <w:spacing w:after="0" w:line="9"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relationships with our customers, employees, suppliers and strategic partners;</w:t>
      </w:r>
    </w:p>
    <w:p>
      <w:pPr>
        <w:spacing w:after="0" w:line="9"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plans to develop and invest in new products and expand into new storage markets and into emerging economic markets;</w:t>
      </w:r>
    </w:p>
    <w:p>
      <w:pPr>
        <w:spacing w:after="0" w:line="9"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personal computer market and the emergence of new storage markets for our products;</w:t>
      </w:r>
    </w:p>
    <w:p>
      <w:pPr>
        <w:spacing w:after="0" w:line="9"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amount and timing of charges and cash expenditures associated with our restructuring activities;</w:t>
      </w:r>
    </w:p>
    <w:p>
      <w:pPr>
        <w:spacing w:after="0" w:line="9"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quarterly cash dividend policy;</w:t>
      </w:r>
    </w:p>
    <w:p>
      <w:pPr>
        <w:spacing w:after="0" w:line="9"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color w:val="auto"/>
        </w:rPr>
      </w:pP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color w:val="auto"/>
        </w:rPr>
      </w:pPr>
    </w:p>
    <w:p>
      <w:pPr>
        <w:ind w:left="1460" w:right="100" w:hanging="736"/>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w:t>
      </w:r>
    </w:p>
    <w:p>
      <w:pPr>
        <w:spacing w:after="0" w:line="9" w:lineRule="exact"/>
        <w:rPr>
          <w:rFonts w:ascii="Arial" w:cs="Arial" w:eastAsia="Arial" w:hAnsi="Arial"/>
          <w:sz w:val="18"/>
          <w:szCs w:val="18"/>
          <w:color w:val="auto"/>
        </w:rPr>
      </w:pPr>
    </w:p>
    <w:p>
      <w:pPr>
        <w:ind w:left="1460" w:right="100" w:hanging="736"/>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the sufficiency of our available liquidity to meet our working capital, debt, dividend and capital expenditure needs; and</w:t>
      </w:r>
    </w:p>
    <w:p>
      <w:pPr>
        <w:ind w:left="1460" w:hanging="736"/>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our debt financing plans.</w:t>
      </w:r>
    </w:p>
    <w:p>
      <w:pPr>
        <w:spacing w:after="0" w:line="103" w:lineRule="exact"/>
        <w:rPr>
          <w:sz w:val="20"/>
          <w:szCs w:val="20"/>
          <w:color w:val="auto"/>
        </w:rPr>
      </w:pPr>
    </w:p>
    <w:p>
      <w:pPr>
        <w:ind w:right="120" w:firstLine="392"/>
        <w:spacing w:after="0" w:line="273" w:lineRule="auto"/>
        <w:rPr>
          <w:sz w:val="20"/>
          <w:szCs w:val="20"/>
          <w:color w:val="auto"/>
        </w:rPr>
      </w:pPr>
      <w:r>
        <w:rPr>
          <w:rFonts w:ascii="Arial" w:cs="Arial" w:eastAsia="Arial" w:hAnsi="Arial"/>
          <w:sz w:val="17"/>
          <w:szCs w:val="17"/>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II, Item 1A of this Quarterly Report on Form 10-Q,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 FINANCIAL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4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Financial Statements (unaudited)</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22"/>
        </w:trPr>
        <w:tc>
          <w:tcPr>
            <w:tcW w:w="680" w:type="dxa"/>
            <w:vAlign w:val="bottom"/>
          </w:tcPr>
          <w:p>
            <w:pPr>
              <w:spacing w:after="0"/>
              <w:rPr>
                <w:sz w:val="24"/>
                <w:szCs w:val="24"/>
                <w:color w:val="auto"/>
              </w:rPr>
            </w:pPr>
          </w:p>
        </w:tc>
        <w:tc>
          <w:tcPr>
            <w:tcW w:w="7640" w:type="dxa"/>
            <w:vAlign w:val="bottom"/>
          </w:tcPr>
          <w:p>
            <w:pPr>
              <w:jc w:val="center"/>
              <w:ind w:left="2356"/>
              <w:spacing w:after="0"/>
              <w:rPr>
                <w:sz w:val="20"/>
                <w:szCs w:val="20"/>
                <w:color w:val="auto"/>
              </w:rPr>
            </w:pPr>
            <w:r>
              <w:rPr>
                <w:rFonts w:ascii="Arial" w:cs="Arial" w:eastAsia="Arial" w:hAnsi="Arial"/>
                <w:sz w:val="18"/>
                <w:szCs w:val="18"/>
                <w:b w:val="1"/>
                <w:bCs w:val="1"/>
                <w:color w:val="auto"/>
              </w:rPr>
              <w:t>WESTERN DIGITAL CORPORATION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7640" w:type="dxa"/>
            <w:vAlign w:val="bottom"/>
          </w:tcPr>
          <w:p>
            <w:pPr>
              <w:jc w:val="center"/>
              <w:ind w:left="2336"/>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7640" w:type="dxa"/>
            <w:vAlign w:val="bottom"/>
          </w:tcPr>
          <w:p>
            <w:pPr>
              <w:jc w:val="center"/>
              <w:ind w:left="2356"/>
              <w:spacing w:after="0"/>
              <w:rPr>
                <w:sz w:val="20"/>
                <w:szCs w:val="20"/>
                <w:color w:val="auto"/>
              </w:rPr>
            </w:pPr>
            <w:r>
              <w:rPr>
                <w:rFonts w:ascii="Arial" w:cs="Arial" w:eastAsia="Arial" w:hAnsi="Arial"/>
                <w:sz w:val="18"/>
                <w:szCs w:val="18"/>
                <w:b w:val="1"/>
                <w:bCs w:val="1"/>
                <w:color w:val="auto"/>
                <w:w w:val="90"/>
              </w:rPr>
              <w:t>(in millions, except par value)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7640" w:type="dxa"/>
            <w:vAlign w:val="bottom"/>
          </w:tcPr>
          <w:p>
            <w:pPr>
              <w:jc w:val="center"/>
              <w:ind w:left="2336"/>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04"/>
        </w:trPr>
        <w:tc>
          <w:tcPr>
            <w:tcW w:w="6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4"/>
                <w:szCs w:val="24"/>
                <w:color w:val="auto"/>
              </w:rPr>
            </w:pPr>
          </w:p>
        </w:tc>
        <w:tc>
          <w:tcPr>
            <w:tcW w:w="1160" w:type="dxa"/>
            <w:vAlign w:val="bottom"/>
          </w:tcPr>
          <w:p>
            <w:pPr>
              <w:jc w:val="right"/>
              <w:ind w:right="480"/>
              <w:spacing w:after="0"/>
              <w:rPr>
                <w:sz w:val="20"/>
                <w:szCs w:val="20"/>
                <w:color w:val="auto"/>
              </w:rPr>
            </w:pPr>
            <w:r>
              <w:rPr>
                <w:rFonts w:ascii="Arial" w:cs="Arial" w:eastAsia="Arial" w:hAnsi="Arial"/>
                <w:sz w:val="14"/>
                <w:szCs w:val="14"/>
                <w:b w:val="1"/>
                <w:bCs w:val="1"/>
                <w:color w:val="auto"/>
              </w:rPr>
              <w:t>July 1,</w:t>
            </w:r>
          </w:p>
        </w:tc>
      </w:tr>
      <w:tr>
        <w:trPr>
          <w:trHeight w:val="192"/>
        </w:trPr>
        <w:tc>
          <w:tcPr>
            <w:tcW w:w="680" w:type="dxa"/>
            <w:vAlign w:val="bottom"/>
            <w:tcBorders>
              <w:bottom w:val="single" w:sz="8" w:color="CCEEFF"/>
            </w:tcBorders>
          </w:tcPr>
          <w:p>
            <w:pPr>
              <w:spacing w:after="0"/>
              <w:rPr>
                <w:sz w:val="16"/>
                <w:szCs w:val="16"/>
                <w:color w:val="auto"/>
              </w:rPr>
            </w:pPr>
          </w:p>
        </w:tc>
        <w:tc>
          <w:tcPr>
            <w:tcW w:w="7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r>
      <w:tr>
        <w:trPr>
          <w:trHeight w:val="223"/>
        </w:trPr>
        <w:tc>
          <w:tcPr>
            <w:tcW w:w="68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jc w:val="center"/>
              <w:ind w:left="2316"/>
              <w:spacing w:after="0"/>
              <w:rPr>
                <w:sz w:val="20"/>
                <w:szCs w:val="20"/>
                <w:color w:val="auto"/>
              </w:rPr>
            </w:pPr>
            <w:r>
              <w:rPr>
                <w:rFonts w:ascii="Arial" w:cs="Arial" w:eastAsia="Arial" w:hAnsi="Arial"/>
                <w:sz w:val="16"/>
                <w:szCs w:val="16"/>
                <w:b w:val="1"/>
                <w:bCs w:val="1"/>
                <w:color w:val="auto"/>
                <w:w w:val="93"/>
              </w:rPr>
              <w:t>ASSETS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24"/>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83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8,151</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227</w:t>
            </w:r>
          </w:p>
        </w:tc>
      </w:tr>
      <w:tr>
        <w:trPr>
          <w:trHeight w:val="33"/>
        </w:trPr>
        <w:tc>
          <w:tcPr>
            <w:tcW w:w="8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1,461</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2,109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2,129</w:t>
            </w:r>
          </w:p>
        </w:tc>
      </w:tr>
      <w:tr>
        <w:trPr>
          <w:trHeight w:val="33"/>
        </w:trPr>
        <w:tc>
          <w:tcPr>
            <w:tcW w:w="8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w:t>
            </w:r>
          </w:p>
        </w:tc>
      </w:tr>
      <w:tr>
        <w:trPr>
          <w:trHeight w:val="217"/>
        </w:trPr>
        <w:tc>
          <w:tcPr>
            <w:tcW w:w="680" w:type="dxa"/>
            <w:vAlign w:val="bottom"/>
          </w:tcPr>
          <w:p>
            <w:pPr>
              <w:spacing w:after="0"/>
              <w:rPr>
                <w:sz w:val="18"/>
                <w:szCs w:val="18"/>
                <w:color w:val="auto"/>
              </w:rPr>
            </w:pPr>
          </w:p>
        </w:tc>
        <w:tc>
          <w:tcPr>
            <w:tcW w:w="76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9,123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12,584</w:t>
            </w:r>
          </w:p>
        </w:tc>
      </w:tr>
      <w:tr>
        <w:trPr>
          <w:trHeight w:val="33"/>
        </w:trPr>
        <w:tc>
          <w:tcPr>
            <w:tcW w:w="8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3,503</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Notes receivable and investments in Flash Ventures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1,217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1,171</w:t>
            </w:r>
          </w:p>
        </w:tc>
      </w:tr>
      <w:tr>
        <w:trPr>
          <w:trHeight w:val="33"/>
        </w:trPr>
        <w:tc>
          <w:tcPr>
            <w:tcW w:w="6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7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9,951</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4,791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5,034</w:t>
            </w:r>
          </w:p>
        </w:tc>
      </w:tr>
      <w:tr>
        <w:trPr>
          <w:trHeight w:val="33"/>
        </w:trPr>
        <w:tc>
          <w:tcPr>
            <w:tcW w:w="8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619</w:t>
            </w:r>
          </w:p>
        </w:tc>
      </w:tr>
      <w:tr>
        <w:trPr>
          <w:trHeight w:val="217"/>
        </w:trPr>
        <w:tc>
          <w:tcPr>
            <w:tcW w:w="680" w:type="dxa"/>
            <w:vAlign w:val="bottom"/>
          </w:tcPr>
          <w:p>
            <w:pPr>
              <w:spacing w:after="0"/>
              <w:rPr>
                <w:sz w:val="18"/>
                <w:szCs w:val="18"/>
                <w:color w:val="auto"/>
              </w:rPr>
            </w:pPr>
          </w:p>
        </w:tc>
        <w:tc>
          <w:tcPr>
            <w:tcW w:w="76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29,010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32,862</w:t>
            </w:r>
          </w:p>
        </w:tc>
      </w:tr>
      <w:tr>
        <w:trPr>
          <w:trHeight w:val="73"/>
        </w:trPr>
        <w:tc>
          <w:tcPr>
            <w:tcW w:w="680" w:type="dxa"/>
            <w:vAlign w:val="bottom"/>
            <w:tcBorders>
              <w:bottom w:val="single" w:sz="8" w:color="CCEEFF"/>
            </w:tcBorders>
          </w:tcPr>
          <w:p>
            <w:pPr>
              <w:spacing w:after="0"/>
              <w:rPr>
                <w:sz w:val="6"/>
                <w:szCs w:val="6"/>
                <w:color w:val="auto"/>
              </w:rPr>
            </w:pPr>
          </w:p>
        </w:tc>
        <w:tc>
          <w:tcPr>
            <w:tcW w:w="76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90"/>
        </w:trPr>
        <w:tc>
          <w:tcPr>
            <w:tcW w:w="680" w:type="dxa"/>
            <w:vAlign w:val="bottom"/>
            <w:tcBorders>
              <w:bottom w:val="single" w:sz="8" w:color="CCEEFF"/>
            </w:tcBorders>
            <w:shd w:val="clear" w:color="auto" w:fill="CCEEFF"/>
          </w:tcPr>
          <w:p>
            <w:pPr>
              <w:spacing w:after="0"/>
              <w:rPr>
                <w:sz w:val="16"/>
                <w:szCs w:val="16"/>
                <w:color w:val="auto"/>
              </w:rPr>
            </w:pPr>
          </w:p>
        </w:tc>
        <w:tc>
          <w:tcPr>
            <w:tcW w:w="7640" w:type="dxa"/>
            <w:vAlign w:val="bottom"/>
            <w:tcBorders>
              <w:bottom w:val="single" w:sz="8" w:color="CCEEFF"/>
            </w:tcBorders>
            <w:shd w:val="clear" w:color="auto" w:fill="CCEEFF"/>
          </w:tcPr>
          <w:p>
            <w:pPr>
              <w:jc w:val="center"/>
              <w:ind w:left="2316"/>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224"/>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83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1,888</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Accounts payable to related parties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168</w:t>
            </w:r>
          </w:p>
        </w:tc>
      </w:tr>
      <w:tr>
        <w:trPr>
          <w:trHeight w:val="33"/>
        </w:trPr>
        <w:tc>
          <w:tcPr>
            <w:tcW w:w="8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995</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392</w:t>
            </w:r>
          </w:p>
        </w:tc>
      </w:tr>
      <w:tr>
        <w:trPr>
          <w:trHeight w:val="33"/>
        </w:trPr>
        <w:tc>
          <w:tcPr>
            <w:tcW w:w="8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warranty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Bridge loan</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2,995</w:t>
            </w:r>
          </w:p>
        </w:tc>
      </w:tr>
      <w:tr>
        <w:trPr>
          <w:trHeight w:val="33"/>
        </w:trPr>
        <w:tc>
          <w:tcPr>
            <w:tcW w:w="8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339</w:t>
            </w:r>
          </w:p>
        </w:tc>
      </w:tr>
      <w:tr>
        <w:trPr>
          <w:trHeight w:val="217"/>
        </w:trPr>
        <w:tc>
          <w:tcPr>
            <w:tcW w:w="680" w:type="dxa"/>
            <w:vAlign w:val="bottom"/>
          </w:tcPr>
          <w:p>
            <w:pPr>
              <w:spacing w:after="0"/>
              <w:rPr>
                <w:sz w:val="18"/>
                <w:szCs w:val="18"/>
                <w:color w:val="auto"/>
              </w:rPr>
            </w:pPr>
          </w:p>
        </w:tc>
        <w:tc>
          <w:tcPr>
            <w:tcW w:w="76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3,919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6,949</w:t>
            </w:r>
          </w:p>
        </w:tc>
      </w:tr>
      <w:tr>
        <w:trPr>
          <w:trHeight w:val="33"/>
        </w:trPr>
        <w:tc>
          <w:tcPr>
            <w:tcW w:w="8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13,660</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1,261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1,108</w:t>
            </w:r>
          </w:p>
        </w:tc>
      </w:tr>
      <w:tr>
        <w:trPr>
          <w:trHeight w:val="33"/>
        </w:trPr>
        <w:tc>
          <w:tcPr>
            <w:tcW w:w="68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80" w:type="dxa"/>
            <w:vAlign w:val="bottom"/>
            <w:tcBorders>
              <w:bottom w:val="single" w:sz="8" w:color="CCEEFF"/>
            </w:tcBorders>
            <w:shd w:val="clear" w:color="auto" w:fill="CCEEFF"/>
          </w:tcPr>
          <w:p>
            <w:pPr>
              <w:spacing w:after="0"/>
              <w:rPr>
                <w:sz w:val="20"/>
                <w:szCs w:val="20"/>
                <w:color w:val="auto"/>
              </w:rPr>
            </w:pPr>
          </w:p>
        </w:tc>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21,717</w:t>
            </w:r>
          </w:p>
        </w:tc>
      </w:tr>
      <w:tr>
        <w:trPr>
          <w:trHeight w:val="224"/>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Commitments and contingencies (Notes 4, 5, 6 and 8)</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83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Preferred stock, $0.01 par value; authorized — 5 shares; issued and outstanding — none</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Common stock, $0.01 par value; authorized — 450 shares; issued — 312 shares; outstanding — 285 shares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4,492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4,429</w:t>
            </w:r>
          </w:p>
        </w:tc>
      </w:tr>
      <w:tr>
        <w:trPr>
          <w:trHeight w:val="33"/>
        </w:trPr>
        <w:tc>
          <w:tcPr>
            <w:tcW w:w="8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8,329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8,848</w:t>
            </w:r>
          </w:p>
        </w:tc>
      </w:tr>
      <w:tr>
        <w:trPr>
          <w:trHeight w:val="33"/>
        </w:trPr>
        <w:tc>
          <w:tcPr>
            <w:tcW w:w="8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 — common shares at cost; 27 shares and 28 shares, respectively</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(2,238)</w:t>
            </w:r>
          </w:p>
        </w:tc>
      </w:tr>
      <w:tr>
        <w:trPr>
          <w:trHeight w:val="217"/>
        </w:trPr>
        <w:tc>
          <w:tcPr>
            <w:tcW w:w="680" w:type="dxa"/>
            <w:vAlign w:val="bottom"/>
          </w:tcPr>
          <w:p>
            <w:pPr>
              <w:spacing w:after="0"/>
              <w:rPr>
                <w:sz w:val="18"/>
                <w:szCs w:val="18"/>
                <w:color w:val="auto"/>
              </w:rPr>
            </w:pPr>
          </w:p>
        </w:tc>
        <w:tc>
          <w:tcPr>
            <w:tcW w:w="76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10,775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11,145</w:t>
            </w:r>
          </w:p>
        </w:tc>
      </w:tr>
      <w:tr>
        <w:trPr>
          <w:trHeight w:val="33"/>
        </w:trPr>
        <w:tc>
          <w:tcPr>
            <w:tcW w:w="68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6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32,862</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1"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40" w:type="dxa"/>
            <w:vAlign w:val="bottom"/>
          </w:tcPr>
          <w:p>
            <w:pPr>
              <w:jc w:val="right"/>
              <w:ind w:right="240"/>
              <w:spacing w:after="0" w:line="15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2,405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04"/>
        </w:trPr>
        <w:tc>
          <w:tcPr>
            <w:tcW w:w="88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Employee termination, asset impairment and other charges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880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Interest and other income (expense):</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800" w:type="dxa"/>
            <w:vAlign w:val="bottom"/>
          </w:tcPr>
          <w:p>
            <w:pPr>
              <w:ind w:left="720"/>
              <w:spacing w:after="0"/>
              <w:rPr>
                <w:sz w:val="20"/>
                <w:szCs w:val="20"/>
                <w:color w:val="auto"/>
              </w:rPr>
            </w:pPr>
            <w:r>
              <w:rPr>
                <w:rFonts w:ascii="Arial" w:cs="Arial" w:eastAsia="Arial" w:hAnsi="Arial"/>
                <w:sz w:val="16"/>
                <w:szCs w:val="16"/>
                <w:color w:val="auto"/>
              </w:rPr>
              <w:t>Total interest and other income (expense), net</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Income (loss)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8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73"/>
        </w:trPr>
        <w:tc>
          <w:tcPr>
            <w:tcW w:w="88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8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Weighted average shares outstanding:</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8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73"/>
        </w:trPr>
        <w:tc>
          <w:tcPr>
            <w:tcW w:w="88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80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4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October 2,</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283</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8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Actuarial pension gain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loss on foreign exchange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Net unrealized gain on available-for-sale securities</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w:t>
            </w:r>
          </w:p>
        </w:tc>
      </w:tr>
      <w:tr>
        <w:trPr>
          <w:trHeight w:val="3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 before tax</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Income tax expense related to items of other comprehensive income (loss)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comprehensive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259</w:t>
            </w:r>
          </w:p>
        </w:tc>
      </w:tr>
      <w:tr>
        <w:trPr>
          <w:trHeight w:val="33"/>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22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disposal of assets</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380"/>
              <w:spacing w:after="0"/>
              <w:rPr>
                <w:sz w:val="20"/>
                <w:szCs w:val="20"/>
                <w:color w:val="auto"/>
              </w:rPr>
            </w:pPr>
            <w:r>
              <w:rPr>
                <w:rFonts w:ascii="Arial" w:cs="Arial" w:eastAsia="Arial" w:hAnsi="Arial"/>
                <w:sz w:val="14"/>
                <w:szCs w:val="14"/>
                <w:color w:val="auto"/>
              </w:rPr>
              <w:t>Write-off of issuance costs and amortization of debt discounts</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settlement of convertible debt</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380"/>
              <w:spacing w:after="0"/>
              <w:rPr>
                <w:sz w:val="20"/>
                <w:szCs w:val="20"/>
                <w:color w:val="auto"/>
              </w:rPr>
            </w:pPr>
            <w:r>
              <w:rPr>
                <w:rFonts w:ascii="Arial" w:cs="Arial" w:eastAsia="Arial" w:hAnsi="Arial"/>
                <w:sz w:val="14"/>
                <w:szCs w:val="14"/>
                <w:color w:val="auto"/>
              </w:rPr>
              <w:t>Non-cash portion of employee termination, asset impairment and other charges</w:t>
            </w:r>
          </w:p>
        </w:tc>
        <w:tc>
          <w:tcPr>
            <w:tcW w:w="200" w:type="dxa"/>
            <w:vAlign w:val="bottom"/>
          </w:tcPr>
          <w:p>
            <w:pPr>
              <w:spacing w:after="0"/>
              <w:rPr>
                <w:sz w:val="16"/>
                <w:szCs w:val="16"/>
                <w:color w:val="auto"/>
              </w:rPr>
            </w:pP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non-cash operating activities, net</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380"/>
              <w:spacing w:after="0"/>
              <w:rPr>
                <w:sz w:val="20"/>
                <w:szCs w:val="20"/>
                <w:color w:val="auto"/>
              </w:rPr>
            </w:pPr>
            <w:r>
              <w:rPr>
                <w:rFonts w:ascii="Arial" w:cs="Arial" w:eastAsia="Arial" w:hAnsi="Arial"/>
                <w:sz w:val="14"/>
                <w:szCs w:val="14"/>
                <w:color w:val="auto"/>
              </w:rPr>
              <w:t>Changes in:</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72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720"/>
              <w:spacing w:after="0"/>
              <w:rPr>
                <w:sz w:val="20"/>
                <w:szCs w:val="20"/>
                <w:color w:val="auto"/>
              </w:rPr>
            </w:pPr>
            <w:r>
              <w:rPr>
                <w:rFonts w:ascii="Arial" w:cs="Arial" w:eastAsia="Arial" w:hAnsi="Arial"/>
                <w:sz w:val="14"/>
                <w:szCs w:val="14"/>
                <w:color w:val="auto"/>
              </w:rPr>
              <w:t>Accounts payable to related parties</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72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assets and liabilities, net</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1140"/>
              <w:spacing w:after="0"/>
              <w:rPr>
                <w:sz w:val="20"/>
                <w:szCs w:val="20"/>
                <w:color w:val="auto"/>
              </w:rPr>
            </w:pPr>
            <w:r>
              <w:rPr>
                <w:rFonts w:ascii="Arial" w:cs="Arial" w:eastAsia="Arial" w:hAnsi="Arial"/>
                <w:sz w:val="14"/>
                <w:szCs w:val="14"/>
                <w:color w:val="auto"/>
              </w:rPr>
              <w:t>Net cash provided by operations</w:t>
            </w:r>
          </w:p>
        </w:tc>
        <w:tc>
          <w:tcPr>
            <w:tcW w:w="200" w:type="dxa"/>
            <w:vAlign w:val="bottom"/>
          </w:tcPr>
          <w:p>
            <w:pPr>
              <w:spacing w:after="0"/>
              <w:rPr>
                <w:sz w:val="14"/>
                <w:szCs w:val="14"/>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the sale of equipment</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2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Flash Ventures</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Notes receivable issuances to Flash Ventures</w:t>
            </w:r>
          </w:p>
        </w:tc>
        <w:tc>
          <w:tcPr>
            <w:tcW w:w="2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 proceeds from Flash Ventures</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Strategic investments and other, net</w:t>
            </w:r>
          </w:p>
        </w:tc>
        <w:tc>
          <w:tcPr>
            <w:tcW w:w="2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74"/>
        </w:trPr>
        <w:tc>
          <w:tcPr>
            <w:tcW w:w="834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stock under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Taxes paid on vested stock awards under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Excess tax benefits from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acquired call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Repayment of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 issuance costs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(decrease) in 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end of period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(8,242)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3,992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(4,312)</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r>
      <w:tr>
        <w:trPr>
          <w:trHeight w:val="244"/>
        </w:trPr>
        <w:tc>
          <w:tcPr>
            <w:tcW w:w="5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(4,074)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w:t>
            </w:r>
          </w:p>
        </w:tc>
      </w:tr>
      <w:tr>
        <w:trPr>
          <w:trHeight w:val="276"/>
        </w:trPr>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8,151</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5,024</w:t>
            </w:r>
          </w:p>
        </w:tc>
      </w:tr>
      <w:tr>
        <w:trPr>
          <w:trHeight w:val="237"/>
        </w:trPr>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4,077</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5,081</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ectPr>
          <w:pgSz w:w="11900" w:h="16838" w:orient="portrait"/>
          <w:cols w:equalWidth="0" w:num="2">
            <w:col w:w="7620" w:space="720"/>
            <w:col w:w="308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income taxes</w:t>
            </w:r>
          </w:p>
        </w:tc>
        <w:tc>
          <w:tcPr>
            <w:tcW w:w="26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72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68"/>
        </w:trPr>
        <w:tc>
          <w:tcPr>
            <w:tcW w:w="6360" w:type="dxa"/>
            <w:vAlign w:val="bottom"/>
            <w:shd w:val="clear" w:color="auto" w:fill="CCEEFF"/>
          </w:tcPr>
          <w:p>
            <w:pPr>
              <w:spacing w:after="0"/>
              <w:rPr>
                <w:sz w:val="5"/>
                <w:szCs w:val="5"/>
                <w:color w:val="auto"/>
              </w:rPr>
            </w:pPr>
          </w:p>
        </w:tc>
        <w:tc>
          <w:tcPr>
            <w:tcW w:w="262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262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93</w:t>
            </w:r>
          </w:p>
        </w:tc>
        <w:tc>
          <w:tcPr>
            <w:tcW w:w="720" w:type="dxa"/>
            <w:vAlign w:val="bottom"/>
            <w:vMerge w:val="restart"/>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26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26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40"/>
              <w:spacing w:after="0"/>
              <w:rPr>
                <w:sz w:val="20"/>
                <w:szCs w:val="20"/>
                <w:color w:val="auto"/>
              </w:rPr>
            </w:pPr>
            <w:r>
              <w:rPr>
                <w:rFonts w:ascii="Arial" w:cs="Arial" w:eastAsia="Arial" w:hAnsi="Arial"/>
                <w:sz w:val="14"/>
                <w:szCs w:val="14"/>
                <w:color w:val="auto"/>
              </w:rPr>
              <w:t>Accrual of cash dividend declared</w:t>
            </w:r>
          </w:p>
        </w:tc>
        <w:tc>
          <w:tcPr>
            <w:tcW w:w="262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143</w:t>
            </w:r>
          </w:p>
        </w:tc>
        <w:tc>
          <w:tcPr>
            <w:tcW w:w="720" w:type="dxa"/>
            <w:vAlign w:val="bottom"/>
            <w:vMerge w:val="restart"/>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68"/>
        </w:trPr>
        <w:tc>
          <w:tcPr>
            <w:tcW w:w="636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2" w:lineRule="exact"/>
        <w:rPr>
          <w:sz w:val="20"/>
          <w:szCs w:val="20"/>
          <w:color w:val="auto"/>
        </w:rPr>
      </w:pPr>
    </w:p>
    <w:p>
      <w:pPr>
        <w:jc w:val="center"/>
        <w:ind w:left="280" w:right="272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Western Digital Corporation (the “Company” or “Western Digital”) is a leading developer, manufacturer and provider of data storage devices and solutions that address the needs of the information technology industry and the infrastructure that enables the storage of data. The Company also generates license and royalty revenue related to its intellectual property.</w:t>
      </w:r>
    </w:p>
    <w:p>
      <w:pPr>
        <w:spacing w:after="0" w:line="73"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The accounting policies followed by the Company are set forth in Part II, Item 8, Note 1 of the Notes to Consolidated Financial Statements included in the Company’s Annual Report on Form 10-K for the fiscal year ended July 1, 2016. In the opinion of management, all adjustments necessary to fairly state the unaudited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unaudited condensed consolidated financial statements should be read in conjunction with the consolidated financial statements and the notes thereto included in the Company’s Annual Report on Form 10-K for the fiscal year ended July 1, 2016. The results of operations for interim periods are not necessarily indicative of results to be expected for the full year.</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Company’s fiscal year ends on the Friday nearest to June 30 and typically consists of 52 weeks. Fiscal year 2017, which ends on June 30, 2017, and fiscal year 2016, which ended on July 1, 2016, are both comprised of 52 weeks, with all quarters presented consisting of 13 weeks.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Certain prior year amounts have been reclassified in the condensed consolidated statement of cash flows to conform to the current year presentation.</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Accounting Changes and Recent Accounting Pronouncements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April 2015, the Financial Accounting Standard Board (“FASB”) issued Accounting Standards Update (“ASU”) No. 2015-05, “Intangibles — Goodwill and Other — Internal-Use Software (Subtopic 350-40)” (“ASU 2015-05”), which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Company’s adoption of ASU 2015-05 at the beginning of the current year did not have a material impact on its condensed consolidated financial statements.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October 2016, the FASB issued ASU No. 2016-16, “Intra-Entity Transfers of Assets Other Than Inventory” (“ASU 2016-16”). The new standard removes the prohibition in ASC 740 against the immediate recognition of the current and deferred income tax effects of intra-entity transfers of assets other than inventory. The ASU is intended to reduce the complexity of U.S. GAAP and diversity in practice related to the tax consequences of certain types of intra-entity asset transfers, particularly those involving intellectual property. The new standard is effective for fiscal years beginning after December 15, 2017, which for the Company is the first quarter of 2019. Early adoption is permitted. The Company is currently evaluating the impact ASU 2016-16 will have on its consolidated financial statements.</w:t>
      </w:r>
    </w:p>
    <w:p>
      <w:pPr>
        <w:spacing w:after="0" w:line="8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August 2016, the FASB issued ASU No. 2016-15, “Statement of Cash Flows (Topic 230)” (“ASU 2016-15”). The new standard addresses certain cash flows issues regarding the classification of certain cash receipts and cash payments, which among others, includes the Company’s disclosure requirement related to debt prepayment or extinguishment costs and distributions received from equity method investees. The new standard is effective for fiscal years beginning after December 15, 2017, which for the Company is the first quarter of 2019. Early adoption is permitted. The Company expects to adopt this standard in the first quarter of 2019. The Company is currently evaluating the impact ASU 2016-15 will have on its consolidated financial statements and related disclosures.</w:t>
      </w:r>
    </w:p>
    <w:p>
      <w:pPr>
        <w:spacing w:after="0" w:line="85"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(“ASU 2016-09”). The new standard simplifies several aspects of the accounting for share-based payment transactions and states that, among other things, all excess tax benefits and tax deficiencies should be recognized as income tax expense or benefit in the income statement and an entity can make an entity-wide accounting policy election to either estimate the number of awards that are expected to vest or account for forfeitures when they occur. The new standard is effective for fiscal years beginning after December 15, 2016, and interim periods within those years, which for the Company is the first quarter of 2018. Early adoption is permitted. The Company expects to adopt this standard in the first quarter of 2018. The Company is currently evaluating the impact ASU 2016-09 will have on its consolidated financial statements and related disclosures.</w:t>
      </w:r>
    </w:p>
    <w:p>
      <w:pPr>
        <w:spacing w:after="0" w:line="59"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February 2016, the FASB issued ASU No. 2016-02, “Leases (Topic 842)” (“ASU 2016-02”). The new standard, among other things, requires lessees to recognize a right-of-use asset and a lease liability for leases. The new standard is effective for fiscal years beginning after December 15, 2018, which for the Company is the first quarter of 2020. Early adoption is permitted. The Company expects to adopt this standard in the first quarter of 2020. The Company is currently evaluating the impact ASU 2016-02 will have on its consolidated financial statements and related disclosures.</w:t>
      </w:r>
    </w:p>
    <w:p>
      <w:pPr>
        <w:spacing w:after="0" w:line="6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January 2016, the FASB issued ASU No. 2016-01, “Financial Instruments — Overall: Recognition and Measurement of Financial Assets and Financial Liabilities” (“ASU 2016-01”), which provides guidance related to accounting for equity investments, financial liabilities under the fair value option, and the presentation and disclosure requirements for financial instruments. In addition, the FASB clarified guidance related to the valuation allowance assessment when recognizing deferred tax assets resulting from unrealized losses on available-for-sale debt securities. ASU 2016-01 is effective for fiscal years beginning after December 15, 2017, which for the Company is the first quarter of 2019. Early adoption is not permitted. The Company is currently evaluating the impact ASU 2016-01 will have on its consolidated financial statements.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May 2014, the FASB issued ASU No. 2014-09, “Revenue from Contracts with Customers” (“ASU 2014-09”), which amends the guidance in former Accounting Standards Codification Topic 605, “Revenue Recognition,” to provide a single, comprehensive revenue recognition model for all contracts with customers. The new standard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The Company does not expect the proposed standard to materially change the timing of revenue recognition for product revenue; however, the proposed standard may accelerate the timing of revenue recognition for the Company’s license and royalty contracts. In August 2015, the FASB issued ASU 2015-14, which deferred the effective date of ASU 2015-14 by one year. The new standard allows for either a full retrospective or a modified retrospective transition method. Early application is permitted only as of annual reporting periods beginning after December 15, 2016, which for the Company is the first quarter of 2018. The Company has not yet selected a transition method and currently expects to adopt this standard in the first quarter of 2019.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Supplemental Financial Statement Data</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Accounts receivables</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From time to time, in connection with a factoring agreement, the Company sells trade accounts receivable without recourse to a third party purchaser in exchange for cash. During the three months ended September 30, 2016, the Company did not sell any trade accounts receivables. During the three months ended October 2, 2015, the Company sold trade accounts receivable and received cash proceeds of $200 million. The discounts on the trade accounts receivables sold during the three months ended October 2, 2015 were not material and were recorded within Other income (expense), net in the condensed consolidated statements of operations.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Inventories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4"/>
                <w:szCs w:val="14"/>
                <w:color w:val="auto"/>
              </w:rPr>
            </w:pPr>
          </w:p>
        </w:tc>
        <w:tc>
          <w:tcPr>
            <w:tcW w:w="1060" w:type="dxa"/>
            <w:vAlign w:val="bottom"/>
          </w:tcPr>
          <w:p>
            <w:pPr>
              <w:jc w:val="center"/>
              <w:ind w:right="361"/>
              <w:spacing w:after="0"/>
              <w:rPr>
                <w:sz w:val="20"/>
                <w:szCs w:val="20"/>
                <w:color w:val="auto"/>
              </w:rPr>
            </w:pPr>
            <w:r>
              <w:rPr>
                <w:rFonts w:ascii="Arial" w:cs="Arial" w:eastAsia="Arial" w:hAnsi="Arial"/>
                <w:sz w:val="14"/>
                <w:szCs w:val="14"/>
                <w:b w:val="1"/>
                <w:bCs w:val="1"/>
                <w:color w:val="auto"/>
                <w:w w:val="96"/>
              </w:rPr>
              <w:t>July 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2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4"/>
          </w:tcPr>
          <w:p>
            <w:pPr>
              <w:jc w:val="right"/>
              <w:ind w:right="42"/>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Raw materials and component parts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Work-in-process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Finished goods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2,129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i w:val="1"/>
                <w:iCs w:val="1"/>
                <w:color w:val="auto"/>
              </w:rPr>
              <w:t>Property, Plant and Equipment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24"/>
                <w:szCs w:val="24"/>
                <w:color w:val="auto"/>
              </w:rPr>
            </w:pPr>
          </w:p>
        </w:tc>
        <w:tc>
          <w:tcPr>
            <w:tcW w:w="1060" w:type="dxa"/>
            <w:vAlign w:val="bottom"/>
          </w:tcPr>
          <w:p>
            <w:pPr>
              <w:jc w:val="center"/>
              <w:ind w:right="361"/>
              <w:spacing w:after="0"/>
              <w:rPr>
                <w:sz w:val="20"/>
                <w:szCs w:val="20"/>
                <w:color w:val="auto"/>
              </w:rPr>
            </w:pPr>
            <w:r>
              <w:rPr>
                <w:rFonts w:ascii="Arial" w:cs="Arial" w:eastAsia="Arial" w:hAnsi="Arial"/>
                <w:sz w:val="14"/>
                <w:szCs w:val="14"/>
                <w:b w:val="1"/>
                <w:bCs w:val="1"/>
                <w:color w:val="auto"/>
                <w:w w:val="96"/>
              </w:rPr>
              <w:t>July 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2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4"/>
          </w:tcPr>
          <w:p>
            <w:pPr>
              <w:jc w:val="right"/>
              <w:ind w:right="42"/>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Land and buildings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1,900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Machinery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7,070</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Furniture and fixtures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Leasehold improvements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Construction-in-process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Property, plant and equipment, gross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9,632</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Accumulated depreciation</w:t>
            </w: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(6,228)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(6,129)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3,503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i w:val="1"/>
                <w:iCs w:val="1"/>
                <w:color w:val="auto"/>
              </w:rPr>
              <w:t>Goodwill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421"/>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July 1, 2016</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9,951</w:t>
            </w:r>
          </w:p>
        </w:tc>
        <w:tc>
          <w:tcPr>
            <w:tcW w:w="0" w:type="dxa"/>
            <w:vAlign w:val="bottom"/>
          </w:tcPr>
          <w:p>
            <w:pPr>
              <w:spacing w:after="0"/>
              <w:rPr>
                <w:sz w:val="1"/>
                <w:szCs w:val="1"/>
                <w:color w:val="auto"/>
              </w:rPr>
            </w:pPr>
          </w:p>
        </w:tc>
      </w:tr>
      <w:tr>
        <w:trPr>
          <w:trHeight w:val="224"/>
        </w:trPr>
        <w:tc>
          <w:tcPr>
            <w:tcW w:w="8340" w:type="dxa"/>
            <w:vAlign w:val="bottom"/>
          </w:tcPr>
          <w:p>
            <w:pPr>
              <w:ind w:left="280"/>
              <w:spacing w:after="0"/>
              <w:rPr>
                <w:sz w:val="20"/>
                <w:szCs w:val="20"/>
                <w:color w:val="auto"/>
              </w:rPr>
            </w:pPr>
            <w:r>
              <w:rPr>
                <w:rFonts w:ascii="Arial" w:cs="Arial" w:eastAsia="Arial" w:hAnsi="Arial"/>
                <w:sz w:val="16"/>
                <w:szCs w:val="16"/>
                <w:color w:val="auto"/>
              </w:rPr>
              <w:t>Purchase price adjustments to goodwill</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Balance at September 30, 2016</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9,967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purchase price adjustments resulted from adjustments to the assessment of fair value for certain acquired inventory and property and equipment and a portion of the deferred tax liability related to the acquisition of SanDisk Corporation (“SanDisk”). See Note 14 to the condensed consolidated financial statements for additional disclosures related to these adjustments.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Intangible Assets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Finite-lived intangible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3,539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3,539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2,435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2,435</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4,791</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5,034</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125" w:right="239" w:bottom="1440" w:gutter="0" w:footer="0" w:header="0"/>
        </w:sectPr>
      </w:pPr>
    </w:p>
    <w:p>
      <w:pPr>
        <w:ind w:left="220"/>
        <w:spacing w:after="0"/>
        <w:rPr>
          <w:sz w:val="20"/>
          <w:szCs w:val="20"/>
          <w:color w:val="auto"/>
        </w:rPr>
      </w:pPr>
      <w:r>
        <w:rPr>
          <w:rFonts w:ascii="Arial" w:cs="Arial" w:eastAsia="Arial" w:hAnsi="Arial"/>
          <w:sz w:val="18"/>
          <w:szCs w:val="18"/>
          <w:i w:val="1"/>
          <w:iCs w:val="1"/>
          <w:color w:val="auto"/>
        </w:rPr>
        <w:t>Product Warranty Liability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Changes in the warranty accrual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758190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Warranty accrual, beginning of period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Charges to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Utilization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Changes in estimate related to pre-existing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Warranty accrual,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120" w:type="dxa"/>
            <w:vAlign w:val="bottom"/>
          </w:tcPr>
          <w:p>
            <w:pPr>
              <w:jc w:val="right"/>
              <w:ind w:right="342"/>
              <w:spacing w:after="0"/>
              <w:rPr>
                <w:sz w:val="20"/>
                <w:szCs w:val="20"/>
                <w:color w:val="auto"/>
              </w:rPr>
            </w:pPr>
            <w:r>
              <w:rPr>
                <w:rFonts w:ascii="Arial" w:cs="Arial" w:eastAsia="Arial" w:hAnsi="Arial"/>
                <w:sz w:val="14"/>
                <w:szCs w:val="14"/>
                <w:b w:val="1"/>
                <w:bCs w:val="1"/>
                <w:color w:val="auto"/>
                <w:w w:val="98"/>
              </w:rPr>
              <w:t>October 2,</w:t>
            </w:r>
          </w:p>
        </w:tc>
      </w:tr>
      <w:tr>
        <w:trPr>
          <w:trHeight w:val="192"/>
        </w:trPr>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r>
      <w:tr>
        <w:trPr>
          <w:trHeight w:val="190"/>
        </w:trPr>
        <w:tc>
          <w:tcPr>
            <w:tcW w:w="20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r>
      <w:tr>
        <w:trPr>
          <w:trHeight w:val="303"/>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221</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45</w:t>
            </w:r>
          </w:p>
        </w:tc>
      </w:tr>
      <w:tr>
        <w:trPr>
          <w:trHeight w:val="270"/>
        </w:trPr>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70"/>
        </w:trPr>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6</w:t>
            </w:r>
          </w:p>
        </w:tc>
      </w:tr>
      <w:tr>
        <w:trPr>
          <w:trHeight w:val="33"/>
        </w:trPr>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218</w:t>
            </w:r>
          </w:p>
        </w:tc>
      </w:tr>
      <w:tr>
        <w:trPr>
          <w:trHeight w:val="33"/>
        </w:trPr>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7620" w:space="720"/>
            <w:col w:w="3080"/>
          </w:cols>
          <w:pgMar w:left="240" w:top="125" w:right="239" w:bottom="1440" w:gutter="0" w:footer="0" w:header="0"/>
          <w:type w:val="continuous"/>
        </w:sectPr>
      </w:pPr>
    </w:p>
    <w:p>
      <w:pPr>
        <w:ind w:left="260" w:right="1420" w:firstLine="162"/>
        <w:spacing w:after="0" w:line="375" w:lineRule="auto"/>
        <w:rPr>
          <w:sz w:val="20"/>
          <w:szCs w:val="20"/>
          <w:color w:val="auto"/>
        </w:rPr>
      </w:pPr>
      <w:r>
        <w:rPr>
          <w:rFonts w:ascii="Arial" w:cs="Arial" w:eastAsia="Arial" w:hAnsi="Arial"/>
          <w:sz w:val="18"/>
          <w:szCs w:val="18"/>
          <w:color w:val="auto"/>
        </w:rPr>
        <w:t xml:space="preserve">The long-term portion of the warranty accrual classified in other liabilities was $107 million at September 30, 2016 and July 1, 2016. </w:t>
      </w:r>
      <w:r>
        <w:rPr>
          <w:rFonts w:ascii="Arial" w:cs="Arial" w:eastAsia="Arial" w:hAnsi="Arial"/>
          <w:sz w:val="18"/>
          <w:szCs w:val="18"/>
          <w:i w:val="1"/>
          <w:iCs w:val="1"/>
          <w:color w:val="auto"/>
        </w:rPr>
        <w:t>Accumulated Other Comprehensive Income (Loss)</w:t>
      </w:r>
    </w:p>
    <w:p>
      <w:pPr>
        <w:spacing w:after="0" w:line="1"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Other comprehensive income (loss), net of tax refers to expenses, gains and losses that are recorded as an element of stockholders’ equity but are excluded from net income. The following table illustrates the changes in the balances of each component of accumulated other comprehensive income (loss):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Actuarial Pension</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4"/>
                <w:szCs w:val="14"/>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 Gains</w:t>
            </w: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(Losses) on Foreign</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Gains (Losses)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Exchange Contracts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5"/>
          </w:tcPr>
          <w:p>
            <w:pPr>
              <w:ind w:left="10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July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7"/>
        </w:trPr>
        <w:tc>
          <w:tcPr>
            <w:tcW w:w="5160" w:type="dxa"/>
            <w:vAlign w:val="bottom"/>
          </w:tcPr>
          <w:p>
            <w:pPr>
              <w:ind w:left="360"/>
              <w:spacing w:after="0"/>
              <w:rPr>
                <w:sz w:val="20"/>
                <w:szCs w:val="20"/>
                <w:color w:val="auto"/>
              </w:rPr>
            </w:pPr>
            <w:r>
              <w:rPr>
                <w:rFonts w:ascii="Arial" w:cs="Arial" w:eastAsia="Arial" w:hAnsi="Arial"/>
                <w:sz w:val="16"/>
                <w:szCs w:val="16"/>
                <w:color w:val="auto"/>
              </w:rPr>
              <w:t>Other comprehensive income before reclassifications</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w w:val="97"/>
              </w:rPr>
              <w:t>Amounts reclassified from accumulated 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5160" w:type="dxa"/>
            <w:vAlign w:val="bottom"/>
          </w:tcPr>
          <w:p>
            <w:pPr>
              <w:ind w:left="360"/>
              <w:spacing w:after="0"/>
              <w:rPr>
                <w:sz w:val="20"/>
                <w:szCs w:val="20"/>
                <w:color w:val="auto"/>
              </w:rPr>
            </w:pPr>
            <w:r>
              <w:rPr>
                <w:rFonts w:ascii="Arial" w:cs="Arial" w:eastAsia="Arial" w:hAnsi="Arial"/>
                <w:sz w:val="16"/>
                <w:szCs w:val="16"/>
                <w:color w:val="auto"/>
                <w:w w:val="98"/>
              </w:rPr>
              <w:t>Income tax expense related to items of other comprehensive income</w:t>
            </w:r>
          </w:p>
        </w:tc>
        <w:tc>
          <w:tcPr>
            <w:tcW w:w="14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current-period 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Balance at September 30, 2016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illustrates the significant amounts reclassified out of each component of accumulated comprehensive income (loss) (“AOCI”):</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AOCI Component</w:t>
            </w:r>
          </w:p>
        </w:tc>
        <w:tc>
          <w:tcPr>
            <w:tcW w:w="160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October 2,</w:t>
            </w:r>
          </w:p>
        </w:tc>
        <w:tc>
          <w:tcPr>
            <w:tcW w:w="228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2"/>
              </w:rPr>
              <w:t>Statement of Operations Line Item</w:t>
            </w:r>
          </w:p>
        </w:tc>
        <w:tc>
          <w:tcPr>
            <w:tcW w:w="0" w:type="dxa"/>
            <w:vAlign w:val="bottom"/>
          </w:tcPr>
          <w:p>
            <w:pPr>
              <w:spacing w:after="0"/>
              <w:rPr>
                <w:sz w:val="1"/>
                <w:szCs w:val="1"/>
                <w:color w:val="auto"/>
              </w:rPr>
            </w:pPr>
          </w:p>
        </w:tc>
      </w:tr>
      <w:tr>
        <w:trPr>
          <w:trHeight w:val="186"/>
        </w:trPr>
        <w:tc>
          <w:tcPr>
            <w:tcW w:w="5340" w:type="dxa"/>
            <w:vAlign w:val="bottom"/>
            <w:vMerge w:val="continue"/>
          </w:tcPr>
          <w:p>
            <w:pPr>
              <w:spacing w:after="0"/>
              <w:rPr>
                <w:sz w:val="16"/>
                <w:szCs w:val="16"/>
                <w:color w:val="auto"/>
              </w:rPr>
            </w:pPr>
          </w:p>
        </w:tc>
        <w:tc>
          <w:tcPr>
            <w:tcW w:w="16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holding gain (loss) on cash flow hedging activities: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8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2960" w:type="dxa"/>
            <w:vAlign w:val="bottom"/>
          </w:tcPr>
          <w:p>
            <w:pPr>
              <w:ind w:left="140"/>
              <w:spacing w:after="0"/>
              <w:rPr>
                <w:sz w:val="20"/>
                <w:szCs w:val="20"/>
                <w:color w:val="auto"/>
              </w:rPr>
            </w:pPr>
            <w:r>
              <w:rPr>
                <w:rFonts w:ascii="Arial" w:cs="Arial" w:eastAsia="Arial" w:hAnsi="Arial"/>
                <w:sz w:val="16"/>
                <w:szCs w:val="16"/>
                <w:color w:val="auto"/>
              </w:rPr>
              <w:t>Cost of revenue</w:t>
            </w:r>
          </w:p>
        </w:tc>
      </w:tr>
      <w:tr>
        <w:trPr>
          <w:trHeight w:val="33"/>
        </w:trPr>
        <w:tc>
          <w:tcPr>
            <w:tcW w:w="5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6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r>
      <w:tr>
        <w:trPr>
          <w:trHeight w:val="244"/>
        </w:trPr>
        <w:tc>
          <w:tcPr>
            <w:tcW w:w="5380" w:type="dxa"/>
            <w:vAlign w:val="bottom"/>
          </w:tcPr>
          <w:p>
            <w:pPr>
              <w:ind w:left="500"/>
              <w:spacing w:after="0"/>
              <w:rPr>
                <w:sz w:val="20"/>
                <w:szCs w:val="20"/>
                <w:color w:val="auto"/>
              </w:rPr>
            </w:pPr>
            <w:r>
              <w:rPr>
                <w:rFonts w:ascii="Arial" w:cs="Arial" w:eastAsia="Arial" w:hAnsi="Arial"/>
                <w:sz w:val="16"/>
                <w:szCs w:val="16"/>
                <w:color w:val="auto"/>
              </w:rPr>
              <w:t>Unrealized holding gain (loss) on cash flow hedging activities</w:t>
            </w:r>
          </w:p>
        </w:tc>
        <w:tc>
          <w:tcPr>
            <w:tcW w:w="6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960" w:type="dxa"/>
            <w:vAlign w:val="bottom"/>
          </w:tcPr>
          <w:p>
            <w:pPr>
              <w:spacing w:after="0"/>
              <w:rPr>
                <w:sz w:val="21"/>
                <w:szCs w:val="21"/>
                <w:color w:val="auto"/>
              </w:rPr>
            </w:pPr>
          </w:p>
        </w:tc>
      </w:tr>
      <w:tr>
        <w:trPr>
          <w:trHeight w:val="20"/>
        </w:trPr>
        <w:tc>
          <w:tcPr>
            <w:tcW w:w="5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w w:val="99"/>
              </w:rPr>
              <w:t>Note 4.</w:t>
            </w:r>
          </w:p>
        </w:tc>
        <w:tc>
          <w:tcPr>
            <w:tcW w:w="7720" w:type="dxa"/>
            <w:vAlign w:val="bottom"/>
            <w:gridSpan w:val="2"/>
          </w:tcPr>
          <w:p>
            <w:pPr>
              <w:ind w:left="20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8340" w:type="dxa"/>
            <w:vAlign w:val="bottom"/>
            <w:gridSpan w:val="3"/>
          </w:tcPr>
          <w:p>
            <w:pPr>
              <w:ind w:left="420"/>
              <w:spacing w:after="0"/>
              <w:rPr>
                <w:sz w:val="20"/>
                <w:szCs w:val="20"/>
                <w:color w:val="auto"/>
              </w:rPr>
            </w:pPr>
            <w:r>
              <w:rPr>
                <w:rFonts w:ascii="Arial" w:cs="Arial" w:eastAsia="Arial" w:hAnsi="Arial"/>
                <w:sz w:val="18"/>
                <w:szCs w:val="18"/>
                <w:color w:val="auto"/>
              </w:rPr>
              <w:t>Debt consisted of the following as of September 30, 2016 and July 1, 2016:</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6"/>
        </w:trPr>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24"/>
                <w:szCs w:val="24"/>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b w:val="1"/>
                <w:bCs w:val="1"/>
                <w:color w:val="auto"/>
              </w:rPr>
              <w:t>July 1,</w:t>
            </w:r>
          </w:p>
        </w:tc>
      </w:tr>
      <w:tr>
        <w:trPr>
          <w:trHeight w:val="192"/>
        </w:trPr>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21"/>
                <w:szCs w:val="21"/>
                <w:color w:val="auto"/>
              </w:rPr>
            </w:pPr>
          </w:p>
        </w:tc>
      </w:tr>
      <w:tr>
        <w:trPr>
          <w:trHeight w:val="256"/>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 maturing 2021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U.S. Term Loan B maturing 2023</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3,750</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B-1 maturing 2023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Euro Term Loan B maturing 2023</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987</w:t>
            </w:r>
          </w:p>
        </w:tc>
      </w:tr>
      <w:tr>
        <w:trPr>
          <w:trHeight w:val="270"/>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Euro Term Loan B-1 maturing 2023</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990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7.375% senior secured notes due 2023</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1,875</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10.500% senior unsecured notes due 2024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Convertible senior notes</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439</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Bridge loans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3,000</w:t>
            </w:r>
          </w:p>
        </w:tc>
      </w:tr>
      <w:tr>
        <w:trPr>
          <w:trHeight w:val="217"/>
        </w:trPr>
        <w:tc>
          <w:tcPr>
            <w:tcW w:w="8340" w:type="dxa"/>
            <w:vAlign w:val="bottom"/>
            <w:gridSpan w:val="3"/>
          </w:tcPr>
          <w:p>
            <w:pPr>
              <w:ind w:left="280"/>
              <w:spacing w:after="0"/>
              <w:rPr>
                <w:sz w:val="20"/>
                <w:szCs w:val="20"/>
                <w:color w:val="auto"/>
              </w:rPr>
            </w:pPr>
            <w:r>
              <w:rPr>
                <w:rFonts w:ascii="Arial" w:cs="Arial" w:eastAsia="Arial" w:hAnsi="Arial"/>
                <w:sz w:val="16"/>
                <w:szCs w:val="16"/>
                <w:color w:val="auto"/>
              </w:rPr>
              <w:t>Total debt</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13,370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17,526</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Issuance costs and debt discounts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7"/>
        </w:trPr>
        <w:tc>
          <w:tcPr>
            <w:tcW w:w="8340" w:type="dxa"/>
            <w:vAlign w:val="bottom"/>
            <w:gridSpan w:val="3"/>
          </w:tcPr>
          <w:p>
            <w:pPr>
              <w:ind w:left="500"/>
              <w:spacing w:after="0"/>
              <w:rPr>
                <w:sz w:val="20"/>
                <w:szCs w:val="20"/>
                <w:color w:val="auto"/>
              </w:rPr>
            </w:pPr>
            <w:r>
              <w:rPr>
                <w:rFonts w:ascii="Arial" w:cs="Arial" w:eastAsia="Arial" w:hAnsi="Arial"/>
                <w:sz w:val="16"/>
                <w:szCs w:val="16"/>
                <w:color w:val="auto"/>
              </w:rPr>
              <w:t>Subtotal</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13,133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16,994</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Less bridge loans and current portion of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(3,334)</w:t>
            </w:r>
          </w:p>
        </w:tc>
      </w:tr>
      <w:tr>
        <w:trPr>
          <w:trHeight w:val="244"/>
        </w:trPr>
        <w:tc>
          <w:tcPr>
            <w:tcW w:w="620" w:type="dxa"/>
            <w:vAlign w:val="bottom"/>
          </w:tcPr>
          <w:p>
            <w:pPr>
              <w:spacing w:after="0"/>
              <w:rPr>
                <w:sz w:val="21"/>
                <w:szCs w:val="21"/>
                <w:color w:val="auto"/>
              </w:rPr>
            </w:pPr>
          </w:p>
        </w:tc>
        <w:tc>
          <w:tcPr>
            <w:tcW w:w="7720" w:type="dxa"/>
            <w:vAlign w:val="bottom"/>
            <w:gridSpan w:val="2"/>
          </w:tcPr>
          <w:p>
            <w:pPr>
              <w:ind w:left="100"/>
              <w:spacing w:after="0"/>
              <w:rPr>
                <w:sz w:val="20"/>
                <w:szCs w:val="20"/>
                <w:color w:val="auto"/>
              </w:rPr>
            </w:pPr>
            <w:r>
              <w:rPr>
                <w:rFonts w:ascii="Arial" w:cs="Arial" w:eastAsia="Arial" w:hAnsi="Arial"/>
                <w:sz w:val="16"/>
                <w:szCs w:val="16"/>
                <w:color w:val="auto"/>
              </w:rPr>
              <w:t>Long-term debt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13,055</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13,660</w:t>
            </w:r>
          </w:p>
        </w:tc>
      </w:tr>
      <w:tr>
        <w:trPr>
          <w:trHeight w:val="20"/>
        </w:trPr>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2"/>
        </w:trPr>
        <w:tc>
          <w:tcPr>
            <w:tcW w:w="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107" w:lineRule="exact"/>
        <w:rPr>
          <w:sz w:val="20"/>
          <w:szCs w:val="20"/>
          <w:color w:val="auto"/>
        </w:rPr>
      </w:pPr>
    </w:p>
    <w:p>
      <w:pPr>
        <w:ind w:left="340" w:right="80" w:hanging="332"/>
        <w:spacing w:after="0" w:line="216"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Euro Term Loan B and Euro Term Loan B-1 outstanding principal amounts as of September 30, 2016 and July 1, 2016 were based upon the Euro to U.S. dollar exchange rate as of those respective dates.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Term Loans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the first quarter ended September 30, 2016, the Company settled in full the principal amounts of the $3.75 billion U.S. Term Loan B and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€885 million Euro Term Loan B, plus accrued interest. In connection with the settlement of the U.S. Term Loan B and Euro Term Loan B,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recognized a loss on debt extinguishment of $227 million consisting of unamortized issuance costs and debt discount fees.</w:t>
      </w:r>
    </w:p>
    <w:p>
      <w:pPr>
        <w:spacing w:after="0" w:line="103"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On August 17, 2016, the Company borrowed $3.0 billion under a new U.S. dollar-denominated term loan (“U.S. Term Loan B-1”) under the Credit Agreement (as defined below) and used the proceeds of this new loan and cash of $750 million to prepay in full the U.S. Term Loan B previously outstanding under the Credit Agreement. The U.S. Term Loan B-1 has an interest rate equal to, at the Company’s option, either an adjusted LIBOR rate, subject to a</w:t>
      </w:r>
    </w:p>
    <w:p>
      <w:pPr>
        <w:jc w:val="both"/>
        <w:ind w:right="20"/>
        <w:spacing w:after="0" w:line="255" w:lineRule="auto"/>
        <w:rPr>
          <w:sz w:val="20"/>
          <w:szCs w:val="20"/>
          <w:color w:val="auto"/>
        </w:rPr>
      </w:pPr>
      <w:r>
        <w:rPr>
          <w:rFonts w:ascii="Arial" w:cs="Arial" w:eastAsia="Arial" w:hAnsi="Arial"/>
          <w:sz w:val="18"/>
          <w:szCs w:val="18"/>
          <w:color w:val="auto"/>
        </w:rPr>
        <w:t>0.75% floor, plus 3.75% or a base rate plus 2.75% (4.50% at September 30, 2016). Principal payments on U.S. Term Loan B-1 of 0.25% are due quarterly and began on September 30, 2016 with the balance due on April 29, 2023. The U.S. Term Loan B-1 issuance costs of $5 million are amortized to interest expense over the term of the loan. As of September 30, 2016, issuance costs of $5 million remain unamortized.</w:t>
      </w:r>
    </w:p>
    <w:p>
      <w:pPr>
        <w:spacing w:after="0" w:line="8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September 22, 2016, the Company borrowed €885 million under a new Euro-denominated term loan (“Euro Term Loan B-1”) under the Credit Agreement and used the proceeds of this new loan to prepay in full the Euro Term Loan B previously outstanding under the Credit Agreement. The Euro Term Loan B-1 has an interest rate equal to an adjusted EURIBOR rate, subject to a 0.75% floor, plus 3.25% (4.00% at September 30, 2016). Principal payments on Euro Term Loan B-1 of 0.25% are due quarterly and began on September 30, 2016 with the balance due on April 29, 2023. The Euro Term Loan B-1 issuance costs of $2 million are amortized to interest expense over the term of the loan. As of September 30, 2016, issuance costs of $2 million remain unamortized.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April 29, 2016, the Company entered into a new credit agreement (the “Credit Agreement”) that provided for a $4.125 billion Term Loan A,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$3.750 billion U.S. Term Loan B, a €885 million Euro Term Loan B and a $1.0 billion revolving credit facility. As described above, during the first quarter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30, 2016, the U.S. Term Loan B and Euro Term Loan B were settled and replaced with the $3.0 billion U.S. Term Loan B-1 and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€885 million Euro Term Loan B-1, respectively.</w:t>
      </w:r>
    </w:p>
    <w:p>
      <w:pPr>
        <w:spacing w:after="0" w:line="10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revolving credit facility includes a $200 million sublimit for letters of credit. As of September 30, 2016, the revolving credit facility was not drawn upon, and there was no outstanding balance. Beginning in September 2017, we are required to make quarterly principal payments on Term Loan A totaling $206 million in 2018, $309 million in 2019, $413 million in 2020 and the remaining balance of $3.197 billion due in 2021. As of September 30, 2016, Term Loan A had an outstanding balance of $4.125 billion with a variable interest rate of 2.526%.</w:t>
      </w:r>
    </w:p>
    <w:p>
      <w:pPr>
        <w:spacing w:after="0" w:line="79"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The obligations under the Credit Agreement are guaranteed by HGST, Inc., WD Media, LLC, Western Digital (Fremont), LLC and Western Digital Technologies, Inc. (“WDT”) (together referred to as the “WD Guarantors”), and are secured on a first-priority basis by a lien on substantially all the assets and properties of the Company and the WD Guarantors, including all of the capital stock held by these entities (subject to a 65% limitation on pledges of capital stock of foreign subsidiaries and domestic holding companies of foreign subsidiaries), subject to certain exceptions.</w:t>
      </w:r>
    </w:p>
    <w:p>
      <w:pPr>
        <w:spacing w:after="0" w:line="6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term loans and the revolving credit loans under the Credit Agreement may be prepaid in whole or in part at any time without premium or penalty, subject to certain conditions, except that the U.S. Term Loan B-1 and the Euro Term Loan B-1 require us to pay a 1.0% prepayment fee if the loans thereunder are repaid in connection with certain “repricing” transactions on or before February 17, 2017, with respect to U.S. Term Loan B-1, and March 22, 2017, with respect to Euro Term Loan B-1.</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Credit Agreement requires the Company to comply with certain financial covenants, such as a leverage ratio and an interest coverage ratio. In addition, the documents governing substantially all of our outstanding debt, including the Credit Agreement, require the Company to comply with customary covenants that limit or restrict the Company’s and its subsidiaries’ ability to incur liens and indebtedness; make certain restricted payments, acquisitions, investments, loans and guarantees; and enter into certain transactions with affiliates, mergers and consolidations.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Additional Bridge Facility</w:t>
      </w:r>
    </w:p>
    <w:p>
      <w:pPr>
        <w:spacing w:after="0" w:line="117"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On May 12, 2016, WDT entered into a short-term senior secured bridge credit agreement providing for $3.0 billion in aggregate principal amount of senior secured bridge loans. On July 21, 2016, the Company repaid in full the $3.0 billion aggregate principal amount outstanding, together with accrued interest.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20" w:firstLine="392"/>
        <w:spacing w:after="0" w:line="297" w:lineRule="auto"/>
        <w:rPr>
          <w:sz w:val="20"/>
          <w:szCs w:val="20"/>
          <w:color w:val="auto"/>
        </w:rPr>
      </w:pPr>
      <w:r>
        <w:rPr>
          <w:rFonts w:ascii="Arial" w:cs="Arial" w:eastAsia="Arial" w:hAnsi="Arial"/>
          <w:sz w:val="16"/>
          <w:szCs w:val="16"/>
          <w:color w:val="auto"/>
        </w:rPr>
        <w:t>On April 13, 2016, the Company completed an offering of its $1.875 billion aggregate principal amount of 7.375% senior secured notes due 2023 (the “Secured Notes”) and $3.350 billion aggregate principal amount of 10.500% senior unsecured notes due 2024 (the “Unsecured Notes” and, together with the Secured Notes, the “Notes”). The Company is not required to make principal payments on the Notes prior to their respective maturity dates, except that the Company may be required to offer to purchase the Notes upon the occurrence of a change of control (as defined in the indentures governing the Notes) or with the proceeds of certain non-ordinary course asset sales. Interest payments on the Notes are due semi-annually in arrears.</w:t>
      </w:r>
    </w:p>
    <w:p>
      <w:pPr>
        <w:spacing w:after="0" w:line="50" w:lineRule="exact"/>
        <w:rPr>
          <w:sz w:val="20"/>
          <w:szCs w:val="20"/>
          <w:color w:val="auto"/>
        </w:rPr>
      </w:pPr>
    </w:p>
    <w:p>
      <w:pPr>
        <w:ind w:right="60" w:firstLine="392"/>
        <w:spacing w:after="0" w:line="277" w:lineRule="auto"/>
        <w:rPr>
          <w:sz w:val="20"/>
          <w:szCs w:val="20"/>
          <w:color w:val="auto"/>
        </w:rPr>
      </w:pPr>
      <w:r>
        <w:rPr>
          <w:rFonts w:ascii="Arial" w:cs="Arial" w:eastAsia="Arial" w:hAnsi="Arial"/>
          <w:sz w:val="18"/>
          <w:szCs w:val="18"/>
          <w:color w:val="auto"/>
        </w:rPr>
        <w:t>The Notes are guaranteed by the WD Guarantors, and the Secured Notes and related guarantees are secured on an equal and ratable basis by liens on the same assets that secure indebtedness under the Credit Agreement.</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 Exchange Options and Call Options</w:t>
      </w:r>
    </w:p>
    <w:p>
      <w:pPr>
        <w:spacing w:after="0" w:line="117"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As of July 1, 2016, the Company had outstanding, through the acquisition of SanDisk, $129 million aggregate principal amount of its 1.5% Convertible Senior Notes due 2017 (the “2017 Notes”) and $310 million aggregate principal amount of its 0.5% Convertible Senior Notes due 2020 (the “2020 Notes” and, together with the 2017 Notes, the “Convertible Notes”). The 2017 Notes mature on August 15, 2017 and the 2020 Notes mature on November 15, 2020.</w:t>
      </w:r>
    </w:p>
    <w:p>
      <w:pPr>
        <w:spacing w:after="0" w:line="3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During the three months ended September 30, 2016, the Company paid to the holders of the Convertible Notes for conversion and repurchase, $490 million of cash and 0.3 million shares of the Company’s common stock with an aggregate value of $16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of September 30, 2016, $37 million principal amount of the 2020 Notes and less than $1 million principal amount of the 2017 Notes were outstanding. For the 2020 Notes that remain outstanding, the conversion rate is 10.9006 units of reference property per $1,000 principal amount of the 2020 Notes, corresponding to 2.6020 shares of the Company’s common stock and $735.79 of cash, subject to adjustments under the indenture. The 2020 Notes are not currently exchangeable into reference property.</w:t>
      </w:r>
    </w:p>
    <w:p>
      <w:pPr>
        <w:spacing w:after="0" w:line="7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Convertible Notes were bifurcated into a debt host and exchange option for accounting purposes. The exchange options are accounted for as a derivative liability because they are predominantly settled in cash. Changes in the fair value of the exchange options are reported in Other income (expense), net in the condensed consolidated statements of operations until the Company extinguishes the related debt. The exchange options are measured and reported at fair value on a recurring basis, within Level 3 of the fair value hierarchy. The fair value of the unredeemed and unsettled exchange options was reported in accrued expenses and other liabilities in the condensed consolidated balance sheets. See Note 10 to the condensed consolidated financial statements for additional disclosures related to the fair values of the exchange options. For the three months ended September 30, 2016, the change in the fair value of the outstanding exchange options related to the Convertible Notes resulted in an immaterial gain.</w:t>
      </w:r>
    </w:p>
    <w:p>
      <w:pPr>
        <w:spacing w:after="0" w:line="70"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In connection with the SanDisk acquisition, the Company assumed the outstanding call options entered into by SanDisk at the inception of the respective Convertible Notes, which were structured to reduce the potential economic dilution associated with the conversion of Convertible Notes. The call options are derivative instruments classified as an asset that result in the Company receiving cash and shares that partially offset the Company’s obligation upon conversion of the Convertible Notes. The fair value of the unredeemed and unsettled call options was reported in other current assets and other non-current assets in the condensed consolidated balance sheets. During the three months ended September 30, 2016, under the call options, the Company received $61 million of cash and 0.1 million shares of the Company’s common stock which had an aggregate value of $11 million. During the three months ended September 30, 2016, the Company recognized an immaterial non-cash loss related to the change in value in the outstanding call options. The value of the call options at September 30, 2016 was immaterial.</w:t>
      </w:r>
    </w:p>
    <w:p>
      <w:pPr>
        <w:spacing w:after="0" w:line="7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exchange and repurchase of the Convertible Notes and related settlement of the call options during the three months ended September 30, 2016 resulted in a net loss of $5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Commitments, Contingencies and Related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Flash Ventures</w:t>
      </w:r>
    </w:p>
    <w:p>
      <w:pPr>
        <w:spacing w:after="0" w:line="11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Company’s business ventures with Toshiba Corporation (“Toshiba”) consist of three separate legal entities: Flash Partners Ltd. (“Flash Partners”), Flash Alliance Ltd. (“Flash Alliance”) and Flash Forward Ltd (“Flash Forward” and together with Flash Partners and Flash Alliance, “Flash Ventures”). The Company has a 49.9% ownership interest and Toshiba has a 50.1% ownership interest in each of these entities. Through these ventures, the Company and Toshiba collaborate in the development and manufacture of NAND flash memory products, which are manufactured by Toshiba at its wafer fabrication facilities located in Yokkaichi, Japan, using semiconductor manufacturing equipment individually owned or leased by each Flash Ventures entity. The entities within Flash Ventures purchase wafers from Toshiba at cost and then resell those wafers to the Company and Toshiba at cost plus a markup.</w:t>
      </w:r>
    </w:p>
    <w:p>
      <w:pPr>
        <w:spacing w:after="0" w:line="5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 Company accounts for its ownership position of each entity with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variable interest entities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spacing w:after="0" w:line="87"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During the three months ended September 30, 2016, the Company purchased NAND flash memory wafers from Flash Ventures and made loans to, and investments in, Flash Ventures totaling $127 million and $20 million, respectively, and received loan repayments from Flash Ventures of $120 million. At September 30, 2016 and July 1, 2016, the Company had accounts payable balances due to Flash Ventures of $190 million and $168 million, respectively.</w:t>
      </w:r>
    </w:p>
    <w:p>
      <w:pPr>
        <w:spacing w:after="0" w:line="39"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September 30, 2016, is presented below. Flash Ventures’ investments are denominated in Japanese yen and the maximum possible loss exposure excludes any cumulative translation adjustment due to revaluation from the Japanese yen to the U.S. dollar.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563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608</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guarantees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1,151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Prepayments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34</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Maximum estimable loss exposure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2,356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 is committed to purchase its provided three-month forecast of Flash Ventures’ NAND wafer supply, which generally equals 50% of Flash Ventures’ output.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investments to the extent that each Flash Ventures entity’s operating cash flow is insufficient to fund these investments.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as of September 30, 2016, the notes receivable from and equity investments in Flash Ventures: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060" w:type="dxa"/>
            <w:vAlign w:val="bottom"/>
          </w:tcPr>
          <w:p>
            <w:pPr>
              <w:jc w:val="right"/>
              <w:ind w:right="461"/>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Partners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Notes receivable, Flash Alliance</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235</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Forward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Partners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202</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Flash Alliance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Forward</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100</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notes receivable and investments in Flash Ventures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4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assesses financing receivable credit quality through financial and operational reviews of the borrower and creditworthiness, including credit rating agency ratings, of significant investors of the borrower, where material or known. Impairments, when required for credit worthiness, are recorded in Other income (expense), net in the condensed consolidated statements of operations.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Off-Balance Sheet Liabilities</w:t>
      </w:r>
    </w:p>
    <w:p>
      <w:pPr>
        <w:spacing w:after="0" w:line="11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Flash Ventures sells and leases back from a consortium of financial institutions a portion of its tools and has entered into equipment lease agreements of which the Company guarantees half of the total outstanding obligations.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the Company.</w:t>
      </w:r>
    </w:p>
    <w:p>
      <w:pPr>
        <w:spacing w:after="0" w:line="6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at September 30,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Lease Amounts</w:t>
            </w:r>
          </w:p>
        </w:tc>
        <w:tc>
          <w:tcPr>
            <w:tcW w:w="760" w:type="dxa"/>
            <w:vAlign w:val="bottom"/>
            <w:tcBorders>
              <w:bottom w:val="single" w:sz="8" w:color="auto"/>
            </w:tcBorders>
          </w:tcPr>
          <w:p>
            <w:pPr>
              <w:spacing w:after="0"/>
              <w:rPr>
                <w:sz w:val="16"/>
                <w:szCs w:val="16"/>
                <w:color w:val="auto"/>
              </w:rPr>
            </w:pPr>
          </w:p>
        </w:tc>
      </w:tr>
      <w:tr>
        <w:trPr>
          <w:trHeight w:val="156"/>
        </w:trPr>
        <w:tc>
          <w:tcPr>
            <w:tcW w:w="8340" w:type="dxa"/>
            <w:vAlign w:val="bottom"/>
          </w:tcPr>
          <w:p>
            <w:pPr>
              <w:spacing w:after="0"/>
              <w:rPr>
                <w:sz w:val="13"/>
                <w:szCs w:val="13"/>
                <w:color w:val="auto"/>
              </w:rPr>
            </w:pPr>
          </w:p>
        </w:tc>
        <w:tc>
          <w:tcPr>
            <w:tcW w:w="1520" w:type="dxa"/>
            <w:vAlign w:val="bottom"/>
            <w:gridSpan w:val="2"/>
          </w:tcPr>
          <w:p>
            <w:pPr>
              <w:jc w:val="center"/>
              <w:spacing w:after="0" w:line="157" w:lineRule="exact"/>
              <w:rPr>
                <w:sz w:val="20"/>
                <w:szCs w:val="20"/>
                <w:color w:val="auto"/>
              </w:rPr>
            </w:pPr>
            <w:r>
              <w:rPr>
                <w:rFonts w:ascii="Arial" w:cs="Arial" w:eastAsia="Arial" w:hAnsi="Arial"/>
                <w:sz w:val="14"/>
                <w:szCs w:val="14"/>
                <w:i w:val="1"/>
                <w:iCs w:val="1"/>
                <w:color w:val="auto"/>
                <w:w w:val="92"/>
              </w:rPr>
              <w:t>(Japanese yen, in</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i w:val="1"/>
                <w:iCs w:val="1"/>
                <w:color w:val="auto"/>
                <w:w w:val="97"/>
              </w:rPr>
              <w:t>(U.S. dollar, in millions)</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125</w:t>
            </w:r>
          </w:p>
        </w:tc>
        <w:tc>
          <w:tcPr>
            <w:tcW w:w="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lease agreements, in annual installments as of September 30, 2016 in U.S. dollars based upon the Japanese yen to U.S. dollar exchange rate at September 30, 2016: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Payment of Principal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Purchase Option</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Annual Installments</w:t>
            </w: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at Final</w:t>
            </w:r>
          </w:p>
        </w:tc>
        <w:tc>
          <w:tcPr>
            <w:tcW w:w="120" w:type="dxa"/>
            <w:vAlign w:val="bottom"/>
          </w:tcPr>
          <w:p>
            <w:pPr>
              <w:spacing w:after="0"/>
              <w:rPr>
                <w:sz w:val="12"/>
                <w:szCs w:val="12"/>
                <w:color w:val="auto"/>
              </w:rPr>
            </w:pPr>
          </w:p>
        </w:tc>
        <w:tc>
          <w:tcPr>
            <w:tcW w:w="13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Guarantee Amount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Terms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1</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2</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4</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5</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44"/>
        </w:trPr>
        <w:tc>
          <w:tcPr>
            <w:tcW w:w="6760" w:type="dxa"/>
            <w:vAlign w:val="bottom"/>
            <w:gridSpan w:val="2"/>
          </w:tcPr>
          <w:p>
            <w:pPr>
              <w:ind w:left="280"/>
              <w:spacing w:after="0"/>
              <w:rPr>
                <w:sz w:val="20"/>
                <w:szCs w:val="20"/>
                <w:color w:val="auto"/>
              </w:rPr>
            </w:pPr>
            <w:r>
              <w:rPr>
                <w:rFonts w:ascii="Arial" w:cs="Arial" w:eastAsia="Arial" w:hAnsi="Arial"/>
                <w:sz w:val="16"/>
                <w:szCs w:val="16"/>
                <w:color w:val="auto"/>
              </w:rPr>
              <w:t>Total guarantee obligations</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and Toshiba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September 30, 2016, no amounts have been accrued in the consolidated financial statements with respect to these indemnification guarantees.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60" w:firstLine="392"/>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80"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Solely for purposes of this note, “WD” refers to Western Digital Corporation or one or more of its subsidiaries excluding HGST prior to the closing of the Company’s acquisition of HGST on March 8, 2012 (the “HGST Closing Date”) and SanDisk prior to May 12, 2016 (the “SanDisk Closing Date”). HGST refers to Hitachi Global Storage Technologies Holdings Pte. Ltd. or one or more of its subsidiaries as of the HGST Closing Date, and SanDisk refers to SanDisk Corporation or one or more of its subsidiaries as of the SanDisk Closing Date and “the Company” refers to Western Digital Corporation and all of its subsidiaries on a consolidated basis including HGST and SanDisk.</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Intellectual Property Litigation</w:t>
      </w:r>
    </w:p>
    <w:p>
      <w:pPr>
        <w:spacing w:after="0" w:line="117"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In June 2008, Convolve, Inc. (“Convolve”) filed a complaint in the Eastern District of Texas against WD, HGST, and two other companies alleging infringement of U.S. Patent Nos. 6,314,473 and 4,916,635. The complaint sought unspecified monetary damages and injunctive relief. In October 2008, Convolve amended its complaint to allege infringement of only the ’473 patent. The ’473 patent allegedly relates to interface technology to select between certain modes of a disk drive’s operations relating to speed and noise. In July 2011, a verdict was rendered against WD and HGST in an amount that is not material to the Company’s financial position, results of operations or cash flows, for which the Company previously recorded an accrual. In March 2015, WD and HGST filed Notices of Appeal with the United States District Court for the Federal Circuit (“Federal Circuit”). In April 2015, Convolve filed a motion for reconsideration of the final judgment, and in May 2015, the Federal Circuit deactivated the appeal pending the Court’s decision on reconsideration. WD and HGST intend to continue to defend themselves vigorously in this matter.</w:t>
      </w:r>
    </w:p>
    <w:p>
      <w:pPr>
        <w:spacing w:after="0" w:line="71" w:lineRule="exact"/>
        <w:rPr>
          <w:sz w:val="20"/>
          <w:szCs w:val="20"/>
          <w:color w:val="auto"/>
        </w:rPr>
      </w:pPr>
    </w:p>
    <w:p>
      <w:pPr>
        <w:jc w:val="both"/>
        <w:ind w:right="180" w:firstLine="392"/>
        <w:spacing w:after="0" w:line="259" w:lineRule="auto"/>
        <w:rPr>
          <w:sz w:val="20"/>
          <w:szCs w:val="20"/>
          <w:color w:val="auto"/>
        </w:rPr>
      </w:pPr>
      <w:r>
        <w:rPr>
          <w:rFonts w:ascii="Arial" w:cs="Arial" w:eastAsia="Arial" w:hAnsi="Arial"/>
          <w:sz w:val="18"/>
          <w:szCs w:val="18"/>
          <w:color w:val="auto"/>
        </w:rPr>
        <w:t>In May 2016, Lambeth Magnetic Structures, LLC (“Lambeth”) filed a complaint in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The Company intends to defend itself vigorously in this matter.</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Antitrust</w:t>
      </w:r>
    </w:p>
    <w:p>
      <w:pPr>
        <w:spacing w:after="0" w:line="117" w:lineRule="exact"/>
        <w:rPr>
          <w:sz w:val="20"/>
          <w:szCs w:val="20"/>
          <w:color w:val="auto"/>
        </w:rPr>
      </w:pPr>
    </w:p>
    <w:p>
      <w:pPr>
        <w:ind w:right="40" w:firstLine="392"/>
        <w:spacing w:after="0" w:line="287" w:lineRule="auto"/>
        <w:rPr>
          <w:sz w:val="20"/>
          <w:szCs w:val="20"/>
          <w:color w:val="auto"/>
        </w:rPr>
      </w:pPr>
      <w:r>
        <w:rPr>
          <w:rFonts w:ascii="Arial" w:cs="Arial" w:eastAsia="Arial" w:hAnsi="Arial"/>
          <w:sz w:val="16"/>
          <w:szCs w:val="16"/>
          <w:color w:val="auto"/>
        </w:rPr>
        <w:t xml:space="preserve">On June 25, 2010, Ritz Camera &amp; Image, LLC (“Ritz”) filed a complaint captioned </w:t>
      </w:r>
      <w:r>
        <w:rPr>
          <w:rFonts w:ascii="Arial" w:cs="Arial" w:eastAsia="Arial" w:hAnsi="Arial"/>
          <w:sz w:val="16"/>
          <w:szCs w:val="16"/>
          <w:i w:val="1"/>
          <w:iCs w:val="1"/>
          <w:color w:val="auto"/>
        </w:rPr>
        <w:t>Ritz Camera &amp; Image, LLC v. SanDisk Corporation, Inc.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Eliyahou Harari </w:t>
      </w:r>
      <w:r>
        <w:rPr>
          <w:rFonts w:ascii="Arial" w:cs="Arial" w:eastAsia="Arial" w:hAnsi="Arial"/>
          <w:sz w:val="16"/>
          <w:szCs w:val="16"/>
          <w:color w:val="auto"/>
        </w:rPr>
        <w:t>in the U.S. District Court for the Northern District of California, alleging that SanDisk violated federal antitrust laws by conspiring to</w:t>
      </w:r>
      <w:r>
        <w:rPr>
          <w:rFonts w:ascii="Arial" w:cs="Arial" w:eastAsia="Arial" w:hAnsi="Arial"/>
          <w:sz w:val="16"/>
          <w:szCs w:val="16"/>
          <w:i w:val="1"/>
          <w:iCs w:val="1"/>
          <w:color w:val="auto"/>
        </w:rPr>
        <w:t xml:space="preserve"> </w:t>
      </w:r>
      <w:r>
        <w:rPr>
          <w:rFonts w:ascii="Arial" w:cs="Arial" w:eastAsia="Arial" w:hAnsi="Arial"/>
          <w:sz w:val="16"/>
          <w:szCs w:val="16"/>
          <w:color w:val="auto"/>
        </w:rPr>
        <w:t>monopolize and monopolizing the market for flash memory products. The lawsuit purports to be on behalf of direct purchasers of flash memory products sold by SanDisk and SanDisk-controlled joint ventures from June 25, 2006 through the present. The complaint alleged that SanDisk created and maintained a monopoly by fraudulently obtaining patents and using them to restrain competition and by allegedly converting other patents for its competitive use. The complaint sought damages, injunctive relief, and fees and costs. On February 24, 2011, the District Court granted in part SanDisk’s motion to dismiss, which resulted in Dr. Harari being dismissed as a defendant. Between 2013 and 2014, the District Court granted Ritz’s motion to substitute in as named plaintiff Albert Giuliano, the Chapter 7 Trustee of the Ritz bankruptcy estate, and the Trustee’s motions to add as named plaintiffs CPM Electronics Inc., E.S.E. Electronics, Inc. and Mflash, Inc. On May 14, 2015, the District Court granted in part plaintiffs’ motion for class certification. On April 29, 2016, the court granted SanDisk’s motion for summary judgment and entered judgment in SanDisk's favor as to all of the plaintiffs’ claims. On May 31, 2016, the plaintiffs filed a notice of appeal to the U.S. Court of Appeals for the Federal Circuit. The appeal is currently pending.</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firstLine="392"/>
        <w:spacing w:after="0" w:line="268" w:lineRule="auto"/>
        <w:rPr>
          <w:sz w:val="20"/>
          <w:szCs w:val="20"/>
          <w:color w:val="auto"/>
        </w:rPr>
      </w:pPr>
      <w:r>
        <w:rPr>
          <w:rFonts w:ascii="Arial" w:cs="Arial" w:eastAsia="Arial" w:hAnsi="Arial"/>
          <w:sz w:val="17"/>
          <w:szCs w:val="17"/>
          <w:color w:val="auto"/>
        </w:rPr>
        <w:t>On July 15, 2010, Samsung Electronics Co., Ltd. (“Samsung”) filed an action against Panasonic and SD-3C LLC (“SD-3C”) in the U.S. District Court for the Northern District of California, alleging that defendants violated federal antitrust laws and California antitrust and unfair competition laws relating to the licensing practices and operations of SD-3C. The complaint seeks damages, restitution, injunctive and declaratory relief, and fees and costs. SanDisk is not a defendant in this case, but it established SD-3C along with Panasonic and Toshiba, and the complaint includes various factual allegations concerning SanDisk. As a member of SD-3C, SanDisk could be responsible for a portion of any monetary award. Other requested relief, if granted, could result in a loss of revenue to SanDisk. On August 25, 2011, the District Court granted the defendants’ motion to dismiss, dismissing Samsung’s patent misuse claim with prejudice and all other claims with leave to amend. Samsung filed an amended complaint on September 16, 2011. On January 3, 2012, the District Court granted the defendants’ motion to dismiss Samsung’s amended complaint without leave to amend. Samsung appealed. On April 4, 2014, the U.S. Court of Appeals for the Ninth Circuit reversed the District Court’s dismissal and remanded the case to the District Court for further proceedings. Samsung filed a third amended complaint on January 20, 2015. On September 30, 2015, the District Court granted in part the defendants’ motion to dismiss with leave to amend. On October 21, 2015, Samsung filed a fourth amended complaint. On November 4, 2015, the defendants filed a motion to dismiss. On September 26, 2016, the District Court stayed the litigation pending the outcome of an ongoing arbitration between Samsung and Toshiba. The District Court denied the motion to dismiss without prejudice to refiling after the stay is lifted.</w:t>
      </w:r>
    </w:p>
    <w:p>
      <w:pPr>
        <w:spacing w:after="0" w:line="8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 xml:space="preserve">On March 15, 2011, a complaint was filed against SanDisk, SD-3C, Panasonic Corporation, Panasonic Corporation of North America, Toshiba and Toshiba America Electronic Components, Inc. in the U.S. District Court for the Northern District of California. The lawsuit purports to be on behalf of a nationwide class of indirect purchasers of Secure Digital (“SD”) cards. The complaint asserts claims under federal antitrust laws and California antitrust and unfair competition laws, as well as common law claims. The complaint seeks damages, restitution, injunctive relief, and fees and costs. The plaintiffs allege that the defendants conspired to artificially inflate the royalty costs associated with manufacturing SD™ cards, which in turn allegedly caused the plaintiffs to pay higher prices for SD cards. The allegations are similar to and incorporate allegations in </w:t>
      </w:r>
      <w:r>
        <w:rPr>
          <w:rFonts w:ascii="Arial" w:cs="Arial" w:eastAsia="Arial" w:hAnsi="Arial"/>
          <w:sz w:val="17"/>
          <w:szCs w:val="17"/>
          <w:i w:val="1"/>
          <w:iCs w:val="1"/>
          <w:color w:val="auto"/>
        </w:rPr>
        <w:t>Samsung Electronics Co., Ltd. v. Panasonic Corp., et al.</w:t>
      </w:r>
      <w:r>
        <w:rPr>
          <w:rFonts w:ascii="Arial" w:cs="Arial" w:eastAsia="Arial" w:hAnsi="Arial"/>
          <w:sz w:val="17"/>
          <w:szCs w:val="17"/>
          <w:color w:val="auto"/>
        </w:rPr>
        <w:t>, described above. On May 21, 2012, the District Court granted the defendants’ motion to dismiss the complaint with prejudice. The plaintiffs appealed. On May 14, 2014, the U.S. Court of Appeals for the Ninth Circuit reversed the District Court’s dismissal and remanded the case to the District Court for further proceedings. On February 3, 2015, the plaintiffs filed a second amended complaint in the District Court. On September 30, 2015, the District Court granted the defendants’ motion to dismiss with leave to amend. On November 4, 2015, the plaintiffs filed a third amended complaint. On November 25, 2015, the defendants filed a motion to dismiss the plaintiffs’ federal law claims. On October 3, 2016, the District Court granted the defendants’ motion with leave to amend. On October 21, 2016, the defendants filed a motion to dismiss the plaintiffs’ remaining claims. Discovery is presently stayed until after completion of the pleading stage. The Company intends to defend itself vigorously in this matter.</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Securities</w:t>
      </w:r>
    </w:p>
    <w:p>
      <w:pPr>
        <w:spacing w:after="0" w:line="117" w:lineRule="exact"/>
        <w:rPr>
          <w:sz w:val="20"/>
          <w:szCs w:val="20"/>
          <w:color w:val="auto"/>
        </w:rPr>
      </w:pPr>
    </w:p>
    <w:p>
      <w:pPr>
        <w:ind w:right="40" w:firstLine="392"/>
        <w:spacing w:after="0" w:line="284" w:lineRule="auto"/>
        <w:rPr>
          <w:sz w:val="20"/>
          <w:szCs w:val="20"/>
          <w:color w:val="auto"/>
        </w:rPr>
      </w:pPr>
      <w:r>
        <w:rPr>
          <w:rFonts w:ascii="Arial" w:cs="Arial" w:eastAsia="Arial" w:hAnsi="Arial"/>
          <w:sz w:val="16"/>
          <w:szCs w:val="16"/>
          <w:color w:val="auto"/>
        </w:rPr>
        <w:t>Beginning on March 30, 2015, SanDisk and two officers, Sanjay Mehrotra and Judy Bruner, were named in three putative class action lawsuits filed in the United States District Court for the Northern District of California. Two complaints are allegedly brought on behalf of a class of purchasers of SanDisk’s securities between October 16, 2014 and March 25, 2015, and one is brought on behalf of a purported class of purchasers of SanDisk’s securities between April 16, 2014 and April 15, 2015. The complaints generally allege violations of federal securities laws arising out of alleged misstatements or omissions by the defendants during the alleged class periods. The complaints seek, among other things, damages and fees and costs. On July 9, 2015, the Court consolidated the cases and appointed Union Asset Management Holding AG and KBC Asset Management NV as lead plaintiffs. The lead plaintiffs filed an amended complaint in August 2015. On January 22, 2016, the court granted the defendants’ motion to dismiss and dismissed the amended complaint with leave to amend. On February 22, 2016, the court issued an order appointing as new lead plaintiffs Bristol Pension Fund; City of Milford, Connecticut Pension</w:t>
      </w:r>
    </w:p>
    <w:p>
      <w:pPr>
        <w:spacing w:after="0" w:line="1" w:lineRule="exact"/>
        <w:rPr>
          <w:sz w:val="20"/>
          <w:szCs w:val="20"/>
          <w:color w:val="auto"/>
        </w:rPr>
      </w:pPr>
    </w:p>
    <w:p>
      <w:pPr>
        <w:jc w:val="both"/>
        <w:ind w:right="100" w:firstLine="8"/>
        <w:spacing w:after="0" w:line="253"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Retirement Board; Pavers and Road Builders Pension, Annuity and Welfare Funds; the Newport News Employees’ Retirement Fund; and Massachusetts Laborers’ Pension Fund (collectively, the “Institutional Investor Group”). On March 23, 2016, the Institutional Investor Group filed an amended complaint. The defendants filed a motion to dismiss on April 29, 2016. On June 24, 2016, the court granted the motion and dismissed the amended complaint with leave to amend. On July 15, 2016, the Institutional Investor Group filed a further amended complaint. The Company filed a motion to dismiss on August 19, 2016. The Company intends to defend itself vigorously in this matter.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firstLine="392"/>
        <w:spacing w:after="0" w:line="269" w:lineRule="auto"/>
        <w:rPr>
          <w:sz w:val="20"/>
          <w:szCs w:val="20"/>
          <w:color w:val="auto"/>
        </w:rPr>
      </w:pPr>
      <w:r>
        <w:rPr>
          <w:rFonts w:ascii="Arial" w:cs="Arial" w:eastAsia="Arial" w:hAnsi="Arial"/>
          <w:sz w:val="17"/>
          <w:szCs w:val="17"/>
          <w:color w:val="auto"/>
        </w:rPr>
        <w:t>In December 2011, the German Central Organization for Private Copying Rights (Zentralstelle für private Überspielungsrechte) (“ZPÜ”), an organization consisting of several copyright collecting societies, instituted arbitration proceedings against WD’s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court to determine the copyright levy issue. On May 21, 2013, ZPÜ filed a counter-claim against WD Germany with the Higher Court, seeking copyright levies for multimedia hard drives, external hard drives and network hard drives sold or introduced into commerce from January 2008 through December 2010 based on tariffs published by ZPÜ on November 3, 2011. In January 2015, the Higher Court ruled in favor of ZPÜ. In its ruling, the Higher Court declared that WD Germany must pay certain levies on certain products which it sold in Germany between January 2008 and December 2010. The judgment specifies levy amounts on certain products sold from January 2008 through December 2010 and directs WD Germany to provide applicable sales data to ZPÜ. The exact amount of the judgment has not been determined. ZPÜ and WD Germany filed appeals with the German Federal Court of Justice in February 2015. The Company intends to defend itself vigorously in this matter.</w:t>
      </w:r>
    </w:p>
    <w:p>
      <w:pPr>
        <w:spacing w:after="0" w:line="72"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 The Company intends to defend itself vigorously in this matter.</w:t>
      </w:r>
    </w:p>
    <w:p>
      <w:pPr>
        <w:spacing w:after="0" w:line="73" w:lineRule="exact"/>
        <w:rPr>
          <w:sz w:val="20"/>
          <w:szCs w:val="20"/>
          <w:color w:val="auto"/>
        </w:rPr>
      </w:pPr>
    </w:p>
    <w:p>
      <w:pPr>
        <w:ind w:right="420" w:firstLine="392"/>
        <w:spacing w:after="0" w:line="342" w:lineRule="auto"/>
        <w:rPr>
          <w:sz w:val="20"/>
          <w:szCs w:val="20"/>
          <w:color w:val="auto"/>
        </w:rPr>
      </w:pPr>
      <w:r>
        <w:rPr>
          <w:rFonts w:ascii="Arial" w:cs="Arial" w:eastAsia="Arial" w:hAnsi="Arial"/>
          <w:sz w:val="16"/>
          <w:szCs w:val="16"/>
          <w:color w:val="auto"/>
        </w:rPr>
        <w:t>The Company has recorded an accrual for German copyright levies in an amount that is not material to the Company’s financial position, results of operations or cash flows. It is reasonably possible that the Company may incur losses totaling up to $133 million, including the amounts accrued.</w:t>
      </w:r>
    </w:p>
    <w:p>
      <w:pPr>
        <w:spacing w:after="0" w:line="16"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Shareholders’ Equity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tables present the Company’s stock-based compensation for equity-settled awards and related tax benefit by type and financial statement line included in the Company’s condensed consolidated statements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16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3"/>
                <w:szCs w:val="13"/>
                <w:color w:val="auto"/>
              </w:rPr>
            </w:pPr>
          </w:p>
        </w:tc>
        <w:tc>
          <w:tcPr>
            <w:tcW w:w="112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8"/>
              </w:rPr>
              <w:t>October 2,</w:t>
            </w:r>
          </w:p>
        </w:tc>
      </w:tr>
      <w:tr>
        <w:trPr>
          <w:trHeight w:val="192"/>
        </w:trPr>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r>
      <w:tr>
        <w:trPr>
          <w:trHeight w:val="190"/>
        </w:trPr>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Employee Stock Purchase Plan</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w:t>
            </w:r>
          </w:p>
        </w:tc>
      </w:tr>
      <w:tr>
        <w:trPr>
          <w:trHeight w:val="33"/>
        </w:trPr>
        <w:tc>
          <w:tcPr>
            <w:tcW w:w="16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Restricted Stock Units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r>
      <w:tr>
        <w:trPr>
          <w:trHeight w:val="21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Subtotal</w:t>
            </w:r>
          </w:p>
        </w:tc>
        <w:tc>
          <w:tcPr>
            <w:tcW w:w="200" w:type="dxa"/>
            <w:vAlign w:val="bottom"/>
          </w:tcPr>
          <w:p>
            <w:pPr>
              <w:spacing w:after="0"/>
              <w:rPr>
                <w:sz w:val="18"/>
                <w:szCs w:val="18"/>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42</w:t>
            </w:r>
          </w:p>
        </w:tc>
      </w:tr>
      <w:tr>
        <w:trPr>
          <w:trHeight w:val="33"/>
        </w:trPr>
        <w:tc>
          <w:tcPr>
            <w:tcW w:w="16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44"/>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32</w:t>
            </w:r>
          </w:p>
        </w:tc>
      </w:tr>
      <w:tr>
        <w:trPr>
          <w:trHeight w:val="20"/>
        </w:trPr>
        <w:tc>
          <w:tcPr>
            <w:tcW w:w="16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6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5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Restricted stock units (“RSUs”) include performance stock units (“PSUs”)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3"/>
                <w:szCs w:val="13"/>
                <w:color w:val="auto"/>
              </w:rPr>
            </w:pPr>
          </w:p>
        </w:tc>
        <w:tc>
          <w:tcPr>
            <w:tcW w:w="112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8"/>
              </w:rPr>
              <w:t>October 2,</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15</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Subtotal</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42</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32</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of September 30, 2016, total compensation cost related to unvested stock options was $97 million and will be amortized on a straight-line basis over a weighted average service period of approximately 2.9 years. As of September 30, 2016, total compensation cost related to the Company’s Employee Stock Purchase Plan (“ESPP”) rights issued to employees but not yet recognized was $46 million and will be amortized on a straight-line basis over a weighted average service period of approximately 1.7 years.</w:t>
      </w:r>
    </w:p>
    <w:p>
      <w:pPr>
        <w:spacing w:after="0" w:line="79"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As of September 30, 2016, the aggregate unamortized fair value of all unvested RSUs and PSUs was $685 million, which will be recognized on a straight-line basis over a weighted average vesting period of approximately 2.8 years, assuming the performance metrics are met for the PSUs.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 Activity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jc w:val="right"/>
              <w:ind w:right="321"/>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6"/>
                <w:szCs w:val="16"/>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July 1, 2016</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September 30, 2016</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Exercisable at September 30, 2016</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vMerge w:val="continue"/>
          </w:tcPr>
          <w:p>
            <w:pPr>
              <w:spacing w:after="0"/>
              <w:rPr>
                <w:sz w:val="24"/>
                <w:szCs w:val="24"/>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51.79</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 and expected to vest after September 30, 2016</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54.38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September 30, 2016, the Company had options outstanding to purchase an aggregate of 7.3 million shares with an exercise price below the quoted price of the Company’s stock on that date resulting in an aggregate intrinsic value of $140 million at that date.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RSU and PSU Activity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80"/>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1500" w:type="dxa"/>
            <w:vAlign w:val="bottom"/>
          </w:tcPr>
          <w:p>
            <w:pPr>
              <w:jc w:val="right"/>
              <w:ind w:right="321"/>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July 1, 2016</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44.98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72.36</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46.47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September 30, 2016</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42.64</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color w:val="auto"/>
              </w:rPr>
              <w:t>Expected to vest after September 30, 2016</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42.64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RSUs and PSUs are generally settled in an equal number of shares of the Company’s common stock at the time of vesting of the units. The aggregate value of RSUs and PSUs that became fully-vested during the three months ended September 30, 2016 was $76 million, determined as of the vest date.</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SARs Activity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
              <w:spacing w:after="0" w:line="153" w:lineRule="exact"/>
              <w:rPr>
                <w:sz w:val="20"/>
                <w:szCs w:val="20"/>
                <w:color w:val="auto"/>
              </w:rPr>
            </w:pPr>
            <w:r>
              <w:rPr>
                <w:rFonts w:ascii="Arial" w:cs="Arial" w:eastAsia="Arial" w:hAnsi="Arial"/>
                <w:sz w:val="14"/>
                <w:szCs w:val="14"/>
                <w:b w:val="1"/>
                <w:bCs w:val="1"/>
                <w:color w:val="auto"/>
              </w:rPr>
              <w:t>October 2,</w:t>
            </w:r>
          </w:p>
        </w:tc>
        <w:tc>
          <w:tcPr>
            <w:tcW w:w="340" w:type="dxa"/>
            <w:vAlign w:val="bottom"/>
          </w:tcPr>
          <w:p>
            <w:pPr>
              <w:spacing w:after="0"/>
              <w:rPr>
                <w:sz w:val="13"/>
                <w:szCs w:val="13"/>
                <w:color w:val="auto"/>
              </w:rPr>
            </w:pPr>
          </w:p>
        </w:tc>
      </w:tr>
      <w:tr>
        <w:trPr>
          <w:trHeight w:val="192"/>
        </w:trPr>
        <w:tc>
          <w:tcPr>
            <w:tcW w:w="8340" w:type="dxa"/>
            <w:vAlign w:val="bottom"/>
          </w:tcPr>
          <w:p>
            <w:pPr>
              <w:spacing w:after="0"/>
              <w:rPr>
                <w:sz w:val="16"/>
                <w:szCs w:val="16"/>
                <w:color w:val="auto"/>
              </w:rPr>
            </w:pPr>
          </w:p>
        </w:tc>
        <w:tc>
          <w:tcPr>
            <w:tcW w:w="11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6"/>
                <w:szCs w:val="16"/>
                <w:color w:val="auto"/>
              </w:rPr>
            </w:pPr>
          </w:p>
        </w:tc>
      </w:tr>
      <w:tr>
        <w:trPr>
          <w:trHeight w:val="190"/>
        </w:trPr>
        <w:tc>
          <w:tcPr>
            <w:tcW w:w="8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gridSpan w:val="3"/>
          </w:tcPr>
          <w:p>
            <w:pPr>
              <w:jc w:val="right"/>
              <w:ind w:right="763"/>
              <w:spacing w:after="0"/>
              <w:rPr>
                <w:sz w:val="20"/>
                <w:szCs w:val="20"/>
                <w:color w:val="auto"/>
              </w:rPr>
            </w:pPr>
            <w:r>
              <w:rPr>
                <w:rFonts w:ascii="Arial" w:cs="Arial" w:eastAsia="Arial" w:hAnsi="Arial"/>
                <w:sz w:val="14"/>
                <w:szCs w:val="14"/>
                <w:i w:val="1"/>
                <w:iCs w:val="1"/>
                <w:color w:val="auto"/>
                <w:w w:val="98"/>
              </w:rPr>
              <w:t>(in millions)</w:t>
            </w:r>
          </w:p>
        </w:tc>
        <w:tc>
          <w:tcPr>
            <w:tcW w:w="34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SAR expense (benefit)</w:t>
            </w:r>
          </w:p>
        </w:tc>
        <w:tc>
          <w:tcPr>
            <w:tcW w:w="1180" w:type="dxa"/>
            <w:vAlign w:val="bottom"/>
            <w:tcBorders>
              <w:bottom w:val="single" w:sz="8" w:color="CCEEFF"/>
            </w:tcBorders>
            <w:shd w:val="clear" w:color="auto" w:fill="CCEEFF"/>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Tax expense (benefit)</w:t>
            </w:r>
          </w:p>
        </w:tc>
        <w:tc>
          <w:tcPr>
            <w:tcW w:w="1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SAR expense (benefit)</w:t>
            </w:r>
          </w:p>
        </w:tc>
        <w:tc>
          <w:tcPr>
            <w:tcW w:w="1180" w:type="dxa"/>
            <w:vAlign w:val="bottom"/>
            <w:tcBorders>
              <w:bottom w:val="single" w:sz="8" w:color="auto"/>
            </w:tcBorders>
            <w:shd w:val="clear" w:color="auto" w:fill="CCEEFF"/>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8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As of September 30, 2016, all outstanding stock appreciation rights (“SARs”) issued to employees were fully vested, and the fair values are solely subject to market price fluctuations. As of September 30, 2016, 0.5 million SARs were outstanding with a weighted average exercise price of $6.17.</w:t>
      </w:r>
    </w:p>
    <w:p>
      <w:pPr>
        <w:spacing w:after="0" w:line="16"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The Company’s SARs will be settled in cash upon exercise. The Company had a total liability of $24 million and $20 million related to SARs included in accrued expenses in the Company’s condensed consolidated balance sheet as of September 30, 2016 and July 1, 2016, respectively.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The Company’s Board of Directors (the “Board”) has authorized $5.0 billion for the repurchase of the Company’s common stock. The stock repurchase program is effective until February 3, 2020. The Company did not repurchase any shares during the three months ended September 30, 2016. The remaining amount available to be purchased under the Company’s stock repurchase program as of September 30, 2016 was $2.1 billion.</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Dividends to Shareholders</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September 13, 2012, the Company announced that the Board had authorized the adoption of a quarterly cash dividend policy. Under the cash dividend policy, holders of the Company’s common stock receive dividends when and as declared by the Board. The Company paid $142 million in cash of dividends on July 15, 2016 relating to dividends declared on May 3, 2016.</w:t>
      </w:r>
    </w:p>
    <w:p>
      <w:pPr>
        <w:spacing w:after="0" w:line="73"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On August 3, 2016, the Company’s Board of Directors declared a cash dividend for the quarter ended September 30, 2016 of $0.50 per share of the Company’s common stock, $0.01 par value per share. The cash dividend of $143 million was paid on October 17, 2016 to the Company’s stockholders of record as of September 30, 2016.</w:t>
      </w:r>
    </w:p>
    <w:p>
      <w:pPr>
        <w:spacing w:after="0" w:line="73"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On November 3, 2016, the Company’s Board of Directors declared a cash dividend for the quarter ended December 30, 2016 of $0.50 per share of the Company’s common stock, $0.01 par value per share. The cash dividend will be paid on January 17, 2017 to shareholders of record as of December 30, 2016.</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may modify, suspend or cancel its cash dividend policy in any manner and at any time.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Income Tax Expense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income tax expense and the effective tax rate: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ind w:right="123"/>
              <w:spacing w:after="0"/>
              <w:rPr>
                <w:sz w:val="20"/>
                <w:szCs w:val="20"/>
                <w:color w:val="auto"/>
              </w:rPr>
            </w:pPr>
            <w:r>
              <w:rPr>
                <w:rFonts w:ascii="Arial" w:cs="Arial" w:eastAsia="Arial" w:hAnsi="Arial"/>
                <w:sz w:val="14"/>
                <w:szCs w:val="14"/>
                <w:b w:val="1"/>
                <w:bCs w:val="1"/>
                <w:color w:val="auto"/>
                <w:w w:val="95"/>
              </w:rPr>
              <w:t>Three Months Ended</w:t>
            </w:r>
          </w:p>
        </w:tc>
      </w:tr>
      <w:tr>
        <w:trPr>
          <w:trHeight w:val="152"/>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right"/>
              <w:ind w:right="345"/>
              <w:spacing w:after="0" w:line="153" w:lineRule="exact"/>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3"/>
                <w:szCs w:val="13"/>
                <w:color w:val="auto"/>
              </w:rPr>
            </w:pPr>
          </w:p>
        </w:tc>
        <w:tc>
          <w:tcPr>
            <w:tcW w:w="1160" w:type="dxa"/>
            <w:vAlign w:val="bottom"/>
          </w:tcPr>
          <w:p>
            <w:pPr>
              <w:jc w:val="center"/>
              <w:ind w:right="323"/>
              <w:spacing w:after="0" w:line="153" w:lineRule="exact"/>
              <w:rPr>
                <w:sz w:val="20"/>
                <w:szCs w:val="20"/>
                <w:color w:val="auto"/>
              </w:rPr>
            </w:pPr>
            <w:r>
              <w:rPr>
                <w:rFonts w:ascii="Arial" w:cs="Arial" w:eastAsia="Arial" w:hAnsi="Arial"/>
                <w:sz w:val="14"/>
                <w:szCs w:val="14"/>
                <w:b w:val="1"/>
                <w:bCs w:val="1"/>
                <w:color w:val="auto"/>
                <w:w w:val="92"/>
              </w:rPr>
              <w:t>October 2,</w:t>
            </w:r>
          </w:p>
        </w:tc>
      </w:tr>
      <w:tr>
        <w:trPr>
          <w:trHeight w:val="192"/>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2015</w:t>
            </w:r>
          </w:p>
        </w:tc>
      </w:tr>
      <w:tr>
        <w:trPr>
          <w:trHeight w:val="190"/>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left="885"/>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Pr>
          <w:p>
            <w:pPr>
              <w:spacing w:after="0"/>
              <w:rPr>
                <w:sz w:val="16"/>
                <w:szCs w:val="16"/>
                <w:color w:val="auto"/>
              </w:rPr>
            </w:pPr>
          </w:p>
        </w:tc>
      </w:tr>
      <w:tr>
        <w:trPr>
          <w:trHeight w:val="66"/>
        </w:trPr>
        <w:tc>
          <w:tcPr>
            <w:tcW w:w="8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6"/>
                <w:szCs w:val="16"/>
                <w:color w:val="auto"/>
              </w:rPr>
              <w:t>95</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31</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20" w:type="dxa"/>
            <w:vAlign w:val="bottom"/>
          </w:tcPr>
          <w:p>
            <w:pPr>
              <w:spacing w:after="0"/>
              <w:rPr>
                <w:sz w:val="20"/>
                <w:szCs w:val="20"/>
                <w:color w:val="auto"/>
              </w:rPr>
            </w:pPr>
          </w:p>
        </w:tc>
        <w:tc>
          <w:tcPr>
            <w:tcW w:w="1400" w:type="dxa"/>
            <w:vAlign w:val="bottom"/>
          </w:tcPr>
          <w:p>
            <w:pPr>
              <w:jc w:val="right"/>
              <w:ind w:right="5"/>
              <w:spacing w:after="0"/>
              <w:rPr>
                <w:sz w:val="20"/>
                <w:szCs w:val="20"/>
                <w:color w:val="auto"/>
              </w:rPr>
            </w:pPr>
            <w:r>
              <w:rPr>
                <w:rFonts w:ascii="Arial" w:cs="Arial" w:eastAsia="Arial" w:hAnsi="Arial"/>
                <w:sz w:val="16"/>
                <w:szCs w:val="16"/>
                <w:color w:val="auto"/>
              </w:rPr>
              <w:t>(35)%</w:t>
            </w:r>
          </w:p>
        </w:tc>
        <w:tc>
          <w:tcPr>
            <w:tcW w:w="400" w:type="dxa"/>
            <w:vAlign w:val="bottom"/>
          </w:tcPr>
          <w:p>
            <w:pPr>
              <w:spacing w:after="0"/>
              <w:rPr>
                <w:sz w:val="20"/>
                <w:szCs w:val="20"/>
                <w:color w:val="auto"/>
              </w:rPr>
            </w:pPr>
          </w:p>
        </w:tc>
        <w:tc>
          <w:tcPr>
            <w:tcW w:w="1160" w:type="dxa"/>
            <w:vAlign w:val="bottom"/>
          </w:tcPr>
          <w:p>
            <w:pPr>
              <w:ind w:left="840"/>
              <w:spacing w:after="0"/>
              <w:rPr>
                <w:sz w:val="20"/>
                <w:szCs w:val="20"/>
                <w:color w:val="auto"/>
              </w:rPr>
            </w:pPr>
            <w:r>
              <w:rPr>
                <w:rFonts w:ascii="Arial" w:cs="Arial" w:eastAsia="Arial" w:hAnsi="Arial"/>
                <w:sz w:val="16"/>
                <w:szCs w:val="16"/>
                <w:color w:val="auto"/>
                <w:w w:val="93"/>
              </w:rPr>
              <w:t>10%</w:t>
            </w:r>
          </w:p>
        </w:tc>
      </w:tr>
    </w:tbl>
    <w:p>
      <w:pPr>
        <w:spacing w:after="0" w:line="127"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Income tax expense of $95 million for the three months ended September 30, 2016 is attributable to discrete effects consisting of income tax expense from the integration of SanDisk of $90 million and a valuation allowance on acquired tax attributes of $109 million, partially offset by income tax benefit from deductible debt issuance costs, debt discounts and prepayment fees from the debt refinancing of $96 million and from decreases in the Company’s liability for unrecognized tax benefits due to lapses in the statute of limitations of $8 million. These discrete items are the primary drivers of the negative effective tax rate for the three months ended September 30, 2016.</w:t>
      </w:r>
    </w:p>
    <w:p>
      <w:pPr>
        <w:spacing w:after="0" w:line="8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primary drivers for the difference between the effective tax rate for the three months ended September 30, 2016 and the U.S. Federal statutory rate of 35% are the discrete items described above, the current year generation of tax credits and tax holidays in Malaysia, the Philippines, Singapore and Thailand that expire at various dates from 2016 through 2029. For the three months ended October 2, 2015, the difference between the effective tax rate and the U.S. Federal statutory rate of 35% is primarily due to tax holidays in Malaysia, the Philippines, Singapore and Thailand that expire at various dates from 2016 through 2029.</w:t>
      </w:r>
    </w:p>
    <w:p>
      <w:pPr>
        <w:spacing w:after="0" w:line="8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the three months ended September 30, 2016, the Company recorded a net decrease of $6 million in its liability for unrecognized tax benefits. As of September 30, 2016, the Company’s liability for unrecognized tax benefits was approximately $485 million. Accrued interest and penalties related to unrecognized tax benefits as of September 30, 2016 was $78 million.</w:t>
      </w:r>
    </w:p>
    <w:p>
      <w:pPr>
        <w:spacing w:after="0" w:line="73"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color w:val="auto"/>
        </w:rPr>
        <w:t>The Internal Revenue Service (“IRS”) previously completed its field examination of the Company’s federal income tax returns for fiscal years 2006 through 2009 and proposed certain adjustments. The Company received Revenue Agent Reports from the IRS that seek to increase the Company’s U.S. taxable income which would result in additional federal tax expense totaling $795 million, subject to interest. The issues in dispute relate primarily to transfer pricing with the Company’s foreign subsidiaries and intercompany payable balances. The Company disagrees with the proposed adjustments and in September 2015, filed a protest with the IRS Appeals Office and received the IRS rebuttal in July 2016. The Company believes that its tax positions are properly supported and will vigorously contest the position taken by the IRS. In September 2015, the IRS commenced an examination of the Company’s fiscal years 2010 through 2012.</w:t>
      </w:r>
    </w:p>
    <w:p>
      <w:pPr>
        <w:spacing w:after="0" w:line="81"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September 30, 2016, it is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75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Per Common Share</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340" w:type="dxa"/>
            <w:vAlign w:val="bottom"/>
            <w:gridSpan w:val="3"/>
          </w:tcPr>
          <w:p>
            <w:pPr>
              <w:ind w:left="440"/>
              <w:spacing w:after="0"/>
              <w:rPr>
                <w:sz w:val="20"/>
                <w:szCs w:val="20"/>
                <w:color w:val="auto"/>
              </w:rPr>
            </w:pPr>
            <w:r>
              <w:rPr>
                <w:rFonts w:ascii="Arial" w:cs="Arial" w:eastAsia="Arial" w:hAnsi="Arial"/>
                <w:sz w:val="18"/>
                <w:szCs w:val="18"/>
                <w:color w:val="auto"/>
                <w:w w:val="99"/>
              </w:rPr>
              <w:t>The following table presents the computation of basic and diluted income (loss) per common share:</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22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right"/>
              <w:ind w:right="441"/>
              <w:spacing w:after="0"/>
              <w:rPr>
                <w:sz w:val="20"/>
                <w:szCs w:val="20"/>
                <w:color w:val="auto"/>
              </w:rPr>
            </w:pPr>
            <w:r>
              <w:rPr>
                <w:rFonts w:ascii="Arial" w:cs="Arial" w:eastAsia="Arial" w:hAnsi="Arial"/>
                <w:sz w:val="14"/>
                <w:szCs w:val="14"/>
                <w:i w:val="1"/>
                <w:iCs w:val="1"/>
                <w:color w:val="auto"/>
              </w:rPr>
              <w:t>(in millions, except per share data)</w:t>
            </w:r>
          </w:p>
        </w:tc>
        <w:tc>
          <w:tcPr>
            <w:tcW w:w="0" w:type="dxa"/>
            <w:vAlign w:val="bottom"/>
          </w:tcPr>
          <w:p>
            <w:pPr>
              <w:spacing w:after="0"/>
              <w:rPr>
                <w:sz w:val="1"/>
                <w:szCs w:val="1"/>
                <w:color w:val="auto"/>
              </w:rPr>
            </w:pPr>
          </w:p>
        </w:tc>
      </w:tr>
      <w:tr>
        <w:trPr>
          <w:trHeight w:val="66"/>
        </w:trPr>
        <w:tc>
          <w:tcPr>
            <w:tcW w:w="1620" w:type="dxa"/>
            <w:vAlign w:val="bottom"/>
            <w:gridSpan w:val="2"/>
          </w:tcPr>
          <w:p>
            <w:pPr>
              <w:spacing w:after="0"/>
              <w:rPr>
                <w:sz w:val="5"/>
                <w:szCs w:val="5"/>
                <w:color w:val="auto"/>
              </w:rPr>
            </w:pPr>
          </w:p>
        </w:tc>
        <w:tc>
          <w:tcPr>
            <w:tcW w:w="6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8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7"/>
        </w:trPr>
        <w:tc>
          <w:tcPr>
            <w:tcW w:w="8340" w:type="dxa"/>
            <w:vAlign w:val="bottom"/>
            <w:gridSpan w:val="3"/>
          </w:tcPr>
          <w:p>
            <w:pPr>
              <w:ind w:left="280"/>
              <w:spacing w:after="0"/>
              <w:rPr>
                <w:sz w:val="20"/>
                <w:szCs w:val="20"/>
                <w:color w:val="auto"/>
              </w:rPr>
            </w:pPr>
            <w:r>
              <w:rPr>
                <w:rFonts w:ascii="Arial" w:cs="Arial" w:eastAsia="Arial" w:hAnsi="Arial"/>
                <w:sz w:val="16"/>
                <w:szCs w:val="16"/>
                <w:color w:val="auto"/>
              </w:rPr>
              <w:t>Employee stock options, RSUs, PSUs, ESPP</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8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8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color w:val="auto"/>
              </w:rPr>
              <w:t>Income (loss)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8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Diluted</w:t>
            </w:r>
          </w:p>
        </w:tc>
        <w:tc>
          <w:tcPr>
            <w:tcW w:w="8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73"/>
        </w:trPr>
        <w:tc>
          <w:tcPr>
            <w:tcW w:w="1620" w:type="dxa"/>
            <w:vAlign w:val="bottom"/>
            <w:tcBorders>
              <w:bottom w:val="single" w:sz="8" w:color="CCEEFF"/>
            </w:tcBorders>
            <w:gridSpan w:val="2"/>
          </w:tcPr>
          <w:p>
            <w:pPr>
              <w:spacing w:after="0"/>
              <w:rPr>
                <w:sz w:val="6"/>
                <w:szCs w:val="6"/>
                <w:color w:val="auto"/>
              </w:rPr>
            </w:pPr>
          </w:p>
        </w:tc>
        <w:tc>
          <w:tcPr>
            <w:tcW w:w="67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3"/>
            <w:shd w:val="clear" w:color="auto" w:fill="CCEEFF"/>
          </w:tcPr>
          <w:p>
            <w:pPr>
              <w:ind w:left="40"/>
              <w:spacing w:after="0" w:line="237" w:lineRule="exact"/>
              <w:rPr>
                <w:sz w:val="20"/>
                <w:szCs w:val="20"/>
                <w:color w:val="auto"/>
              </w:rPr>
            </w:pPr>
            <w:r>
              <w:rPr>
                <w:rFonts w:ascii="Arial" w:cs="Arial" w:eastAsia="Arial" w:hAnsi="Arial"/>
                <w:sz w:val="16"/>
                <w:szCs w:val="16"/>
                <w:color w:val="auto"/>
              </w:rPr>
              <w:t>Anti-dilutive potential common shares excluded</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360" w:hanging="332"/>
        <w:spacing w:after="0" w:line="216"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For purposes of computing diluted income per common share, certain potentially dilutive securities have been excluded from the calculation because their effect would have been anti-dilutive.</w:t>
      </w:r>
    </w:p>
    <w:p>
      <w:pPr>
        <w:spacing w:after="0" w:line="95"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rights to purchase shares of common stock under the Company’s ESPP, awards of RSUs and exchange options related to the Company’s Convertible Notes.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1060" w:right="80" w:hanging="647"/>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July 1, 2016, and indicate the fair value hierarchy of the valuation techniques utilized to determine such values: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September 30, 2016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1,355</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1,361</w:t>
            </w:r>
          </w:p>
        </w:tc>
      </w:tr>
      <w:tr>
        <w:trPr>
          <w:trHeight w:val="204"/>
        </w:trPr>
        <w:tc>
          <w:tcPr>
            <w:tcW w:w="516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Certificates of deposit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r>
      <w:tr>
        <w:trPr>
          <w:trHeight w:val="204"/>
        </w:trPr>
        <w:tc>
          <w:tcPr>
            <w:tcW w:w="51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17"/>
        </w:trPr>
        <w:tc>
          <w:tcPr>
            <w:tcW w:w="5160" w:type="dxa"/>
            <w:vAlign w:val="bottom"/>
          </w:tcPr>
          <w:p>
            <w:pPr>
              <w:ind w:left="500"/>
              <w:spacing w:after="0"/>
              <w:rPr>
                <w:sz w:val="20"/>
                <w:szCs w:val="20"/>
                <w:color w:val="auto"/>
              </w:rPr>
            </w:pPr>
            <w:r>
              <w:rPr>
                <w:rFonts w:ascii="Arial" w:cs="Arial" w:eastAsia="Arial" w:hAnsi="Arial"/>
                <w:sz w:val="16"/>
                <w:szCs w:val="16"/>
                <w:color w:val="auto"/>
              </w:rPr>
              <w:t>Total long-term investments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1,355</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1,772</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Exchange option</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July 1, 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3"/>
          </w:tcPr>
          <w:p>
            <w:pPr>
              <w:jc w:val="right"/>
              <w:ind w:right="681"/>
              <w:spacing w:after="0"/>
              <w:rPr>
                <w:sz w:val="20"/>
                <w:szCs w:val="20"/>
                <w:color w:val="auto"/>
              </w:rPr>
            </w:pPr>
            <w:r>
              <w:rPr>
                <w:rFonts w:ascii="Arial" w:cs="Arial" w:eastAsia="Arial" w:hAnsi="Arial"/>
                <w:sz w:val="14"/>
                <w:szCs w:val="14"/>
                <w:i w:val="1"/>
                <w:iCs w:val="1"/>
                <w:color w:val="auto"/>
              </w:rPr>
              <w:t>(in millions)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2,199</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w:t>
            </w:r>
          </w:p>
        </w:tc>
      </w:tr>
      <w:tr>
        <w:trPr>
          <w:trHeight w:val="204"/>
        </w:trPr>
        <w:tc>
          <w:tcPr>
            <w:tcW w:w="516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Certificates of deposit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r>
      <w:tr>
        <w:trPr>
          <w:trHeight w:val="204"/>
        </w:trPr>
        <w:tc>
          <w:tcPr>
            <w:tcW w:w="51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long-term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Call options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2,201</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2,743</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Exchange option</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Company’s money market funds are funds that invest in U.S. Treasury and U.S. Government Agency securities.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are valued based on quoted market prices.</w:t>
      </w:r>
    </w:p>
    <w:p>
      <w:pPr>
        <w:spacing w:after="0" w:line="62"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i w:val="1"/>
          <w:iCs w:val="1"/>
          <w:color w:val="auto"/>
        </w:rPr>
        <w:t xml:space="preserve">U.S. Treasury Securities. </w:t>
      </w:r>
      <w:r>
        <w:rPr>
          <w:rFonts w:ascii="Arial" w:cs="Arial" w:eastAsia="Arial" w:hAnsi="Arial"/>
          <w:sz w:val="18"/>
          <w:szCs w:val="18"/>
          <w:color w:val="auto"/>
        </w:rPr>
        <w:t>The Company’s U.S. Treasury securities are direct obligations of the U.S. federal government and are held in custody by a</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U.S. Treasury securities are valued using a market approach which is based on observable inputs including market interest rates from multiple pricing sources.</w:t>
      </w:r>
    </w:p>
    <w:p>
      <w:pPr>
        <w:spacing w:after="0" w:line="73" w:lineRule="exact"/>
        <w:rPr>
          <w:sz w:val="20"/>
          <w:szCs w:val="20"/>
          <w:color w:val="auto"/>
        </w:rPr>
      </w:pPr>
    </w:p>
    <w:p>
      <w:pPr>
        <w:jc w:val="both"/>
        <w:ind w:right="260" w:firstLine="405"/>
        <w:spacing w:after="0" w:line="312" w:lineRule="auto"/>
        <w:rPr>
          <w:sz w:val="20"/>
          <w:szCs w:val="20"/>
          <w:color w:val="auto"/>
        </w:rPr>
      </w:pPr>
      <w:r>
        <w:rPr>
          <w:rFonts w:ascii="Arial" w:cs="Arial" w:eastAsia="Arial" w:hAnsi="Arial"/>
          <w:sz w:val="16"/>
          <w:szCs w:val="16"/>
          <w:i w:val="1"/>
          <w:iCs w:val="1"/>
          <w:color w:val="auto"/>
        </w:rPr>
        <w:t xml:space="preserve">U.S. and International Government Agency Securities. </w:t>
      </w:r>
      <w:r>
        <w:rPr>
          <w:rFonts w:ascii="Arial" w:cs="Arial" w:eastAsia="Arial" w:hAnsi="Arial"/>
          <w:sz w:val="16"/>
          <w:szCs w:val="16"/>
          <w:color w:val="auto"/>
        </w:rPr>
        <w:t>The Company’s U.S. and International Government agency securities are investments in fixed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securities sponsored by the U.S. and International Government and are held in custody by a third party. U.S. and International Government agency securities are valued using a market approach which is based on observable inputs including market interest rates from multiple pricing sources.</w:t>
      </w:r>
    </w:p>
    <w:p>
      <w:pPr>
        <w:spacing w:after="0" w:line="39"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i w:val="1"/>
          <w:iCs w:val="1"/>
          <w:color w:val="auto"/>
        </w:rPr>
        <w:t xml:space="preserve">Asset-Backed Securities, and Corporate and Municipal Notes and Bonds. </w:t>
      </w:r>
      <w:r>
        <w:rPr>
          <w:rFonts w:ascii="Arial" w:cs="Arial" w:eastAsia="Arial" w:hAnsi="Arial"/>
          <w:sz w:val="18"/>
          <w:szCs w:val="18"/>
          <w:color w:val="auto"/>
        </w:rPr>
        <w:t>The Company’s asset-backed securities, and Corporate and Municipal notes</w:t>
      </w:r>
      <w:r>
        <w:rPr>
          <w:rFonts w:ascii="Arial" w:cs="Arial" w:eastAsia="Arial" w:hAnsi="Arial"/>
          <w:sz w:val="18"/>
          <w:szCs w:val="18"/>
          <w:i w:val="1"/>
          <w:iCs w:val="1"/>
          <w:color w:val="auto"/>
        </w:rPr>
        <w:t xml:space="preserve"> </w:t>
      </w:r>
      <w:r>
        <w:rPr>
          <w:rFonts w:ascii="Arial" w:cs="Arial" w:eastAsia="Arial" w:hAnsi="Arial"/>
          <w:sz w:val="18"/>
          <w:szCs w:val="18"/>
          <w:color w:val="auto"/>
        </w:rPr>
        <w:t>and bonds securities are investments issued by corporations and U.S. state municipalities which are held in custody by a third party. Asset-backed securities, and Corporate and Municipal notes and bonds are valued using a market approach which is based on observable inputs including market interest rates from multiple pricing sources.</w:t>
      </w:r>
    </w:p>
    <w:p>
      <w:pPr>
        <w:spacing w:after="0" w:line="79"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The Company’s commercial paper securities are investments issued by corporations which are held in custody by a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securities are valued using a market approach which is based on observable inputs including market interest rates from multiple pricing sources.</w:t>
      </w:r>
    </w:p>
    <w:p>
      <w:pPr>
        <w:spacing w:after="0" w:line="73"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The Company’s certificates of deposit are investments which are held in custody by a third party. Certificates of deposit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using fixed interest rates.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i w:val="1"/>
          <w:iCs w:val="1"/>
          <w:color w:val="auto"/>
        </w:rPr>
        <w:t xml:space="preserve">Foreign Exchange Contracts. </w:t>
      </w:r>
      <w:r>
        <w:rPr>
          <w:rFonts w:ascii="Arial" w:cs="Arial" w:eastAsia="Arial" w:hAnsi="Arial"/>
          <w:sz w:val="16"/>
          <w:szCs w:val="16"/>
          <w:color w:val="auto"/>
        </w:rPr>
        <w:t>The Company’s foreign exchange contracts are short-term contracts to hedge the Company’s foreign currency risk. For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that have a right of offset by its individual counterparties under master netting arrangements, the Company presents its foreign exchange contracts on a net basis by counterparty in the condensed consolidated balance sheets. Foreign exchange contracts are valued using an income approach that is based on a present value of future cash flows model. The market-based observable inputs for the model include forward rates and credit default swap rates. For more information on the Company’s foreign exchange contracts, see Note 12 to the condensed consolidated financial statements.</w:t>
      </w:r>
    </w:p>
    <w:p>
      <w:pPr>
        <w:spacing w:after="0" w:line="50"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During the three months ended September 30, 2016 and October 2, 2015, the Company had no transfers of financial assets and liabilities between Level 1 and Level 2.</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Assets and Liabilities Measured at Fair Value on a Recurring Basis Using Significant Unobservable Inputs (Level 3)</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fair value measurement of the call options and exchange options arising from the assumed Convertible Notes which are not actively traded, is determined using unobservable inputs (Level 3). These inputs include (i) the estimated amount and timing of settlement of the underlying debt; (ii) the probability of the achievement of the factor(s) on which the settlement is based; (iii) the risk-adjusted discount rate based on the expected term to maturity of the debt; and (iv) economic incentive for holders to exercise their exchange options. Significant increases or decreases in any of those inputs in isolation could result in a significantly lower or higher fair value measurement.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of call options or exchange options out of Level 3 for three months ended September 30, 2016.</w:t>
      </w:r>
    </w:p>
    <w:p>
      <w:pPr>
        <w:spacing w:after="0" w:line="117"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color w:val="auto"/>
        </w:rPr>
        <w:t>The following is a reconciliation of the call options reported in other current assets and other non-current assets in the Company’s condensed consolidated balance sheets as of September 30,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2017 Call Options</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2020 Call Options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190"/>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at July 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Net realized gain</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Redemptions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Fair value at September 30,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is a reconciliation of the exchange options reported in accrued expenses and other liabilities in the Company’s condensed consolidated balance sheets as of September 30,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2017 Exchange</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2020 Exchange</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Options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at July 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Net realized gain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Redemptions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Net unrealized loss</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at September 30,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For those financial instruments where the carrying amounts differ from fair value, the following table represents the related carrying values and fair values, which are based on quoted market prices. Each of the debt instruments presented below was categorized as Level 2 for all periods presented, based on the frequency of trading immediately prior to the end of the first quarter of 2017 and the fourth quarter of 2016, respectively.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rPr>
              <w:t>September 30, 2016</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July 1, 2016</w:t>
            </w:r>
          </w:p>
        </w:tc>
        <w:tc>
          <w:tcPr>
            <w:tcW w:w="84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16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Aggregated Principal</w:t>
            </w: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Aggregated Fair Value</w:t>
            </w:r>
          </w:p>
        </w:tc>
        <w:tc>
          <w:tcPr>
            <w:tcW w:w="15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Aggregated Principal</w:t>
            </w: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Aggregated Fair Value</w:t>
            </w:r>
          </w:p>
        </w:tc>
      </w:tr>
      <w:tr>
        <w:trPr>
          <w:trHeight w:val="190"/>
        </w:trPr>
        <w:tc>
          <w:tcPr>
            <w:tcW w:w="5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gridSpan w:val="3"/>
          </w:tcPr>
          <w:p>
            <w:pPr>
              <w:jc w:val="right"/>
              <w:ind w:right="242"/>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Secured Notes</w:t>
            </w:r>
          </w:p>
        </w:tc>
        <w:tc>
          <w:tcPr>
            <w:tcW w:w="5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Unsecured Notes</w:t>
            </w:r>
          </w:p>
        </w:tc>
        <w:tc>
          <w:tcPr>
            <w:tcW w:w="5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3,350</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3,891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3,350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3,575</w:t>
            </w:r>
          </w:p>
        </w:tc>
      </w:tr>
      <w:tr>
        <w:trPr>
          <w:trHeight w:val="33"/>
        </w:trPr>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4,125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U.S. Term Loan B</w:t>
            </w:r>
          </w:p>
        </w:tc>
        <w:tc>
          <w:tcPr>
            <w:tcW w:w="5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3,773</w:t>
            </w:r>
          </w:p>
        </w:tc>
      </w:tr>
      <w:tr>
        <w:trPr>
          <w:trHeight w:val="33"/>
        </w:trPr>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Term Loan B-1</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Euro Term Loan B</w:t>
            </w:r>
          </w:p>
        </w:tc>
        <w:tc>
          <w:tcPr>
            <w:tcW w:w="5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981</w:t>
            </w:r>
          </w:p>
        </w:tc>
      </w:tr>
      <w:tr>
        <w:trPr>
          <w:trHeight w:val="33"/>
        </w:trPr>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 Term Loan B-1</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Bridge Loan</w:t>
            </w:r>
          </w:p>
        </w:tc>
        <w:tc>
          <w:tcPr>
            <w:tcW w:w="5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33"/>
        </w:trPr>
        <w:tc>
          <w:tcPr>
            <w:tcW w:w="5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13,333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14,054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17,087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17,534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Method Investments</w:t>
      </w:r>
    </w:p>
    <w:p>
      <w:pPr>
        <w:spacing w:after="0" w:line="11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From time to time, the Company enters into certain strategic investments for the promotion of business and strategic objectives. As of September 30, 2016 and July 1, 2016, the Company had aggregate net investments under the cost method of accounting of $129 million and $135 million, respectively, and these investments consisted of privately-held equity securities without a readily determinable fair value. The Company has determined that it is not practicable to estimate the fair value of these investments. These privately-held equity investments are reported under other non-current assets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Investments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summarize, by major type, the fair value and cost basis of the Company’s investments classified as available-for-sale: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Available-for-sale securities: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U.S. Government agency securities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Certificates of deposit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International government securities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Corporate notes and bonds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Asset-backed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Municipal notes and bonds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Available-for-sale securities: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 Treasury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U.S. Government agency securities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Certificates of deposit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International government securities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Corporate notes and bonds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Asset-backed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Municipal notes and bonds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9673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 Basis</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 Gains</w:t>
            </w:r>
          </w:p>
        </w:tc>
        <w:tc>
          <w:tcPr>
            <w:tcW w:w="260" w:type="dxa"/>
            <w:vAlign w:val="bottom"/>
          </w:tcPr>
          <w:p>
            <w:pPr>
              <w:spacing w:after="0"/>
              <w:rPr>
                <w:sz w:val="14"/>
                <w:szCs w:val="14"/>
                <w:color w:val="auto"/>
              </w:rPr>
            </w:pPr>
          </w:p>
        </w:tc>
        <w:tc>
          <w:tcPr>
            <w:tcW w:w="12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(Losses)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3"/>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33"/>
        </w:trPr>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July 1, 2016</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 Basis</w:t>
            </w:r>
          </w:p>
        </w:tc>
        <w:tc>
          <w:tcPr>
            <w:tcW w:w="160" w:type="dxa"/>
            <w:vAlign w:val="bottom"/>
          </w:tcPr>
          <w:p>
            <w:pPr>
              <w:spacing w:after="0"/>
              <w:rPr>
                <w:sz w:val="13"/>
                <w:szCs w:val="13"/>
                <w:color w:val="auto"/>
              </w:rPr>
            </w:pPr>
          </w:p>
        </w:tc>
        <w:tc>
          <w:tcPr>
            <w:tcW w:w="14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 Gains</w:t>
            </w:r>
          </w:p>
        </w:tc>
        <w:tc>
          <w:tcPr>
            <w:tcW w:w="260" w:type="dxa"/>
            <w:vAlign w:val="bottom"/>
          </w:tcPr>
          <w:p>
            <w:pPr>
              <w:spacing w:after="0"/>
              <w:rPr>
                <w:sz w:val="13"/>
                <w:szCs w:val="13"/>
                <w:color w:val="auto"/>
              </w:rPr>
            </w:pPr>
          </w:p>
        </w:tc>
        <w:tc>
          <w:tcPr>
            <w:tcW w:w="12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(Losses)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3"/>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33"/>
        </w:trPr>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-3695700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-3352800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-3009265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-2666365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-1568450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-1225550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-882650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-539750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-196850</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ind w:right="180" w:firstLine="405"/>
        <w:spacing w:after="0" w:line="277" w:lineRule="auto"/>
        <w:rPr>
          <w:sz w:val="20"/>
          <w:szCs w:val="20"/>
          <w:color w:val="auto"/>
        </w:rPr>
      </w:pPr>
      <w:r>
        <w:rPr>
          <w:rFonts w:ascii="Arial" w:cs="Arial" w:eastAsia="Arial" w:hAnsi="Arial"/>
          <w:sz w:val="18"/>
          <w:szCs w:val="18"/>
          <w:color w:val="auto"/>
        </w:rPr>
        <w:t>The fair value of the Company’s investments classified as available-for-sale securities at September 30, 2016, by remaining contractual maturity,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 Basis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304"/>
        </w:trPr>
        <w:tc>
          <w:tcPr>
            <w:tcW w:w="8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4"/>
                <w:szCs w:val="24"/>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less than one year (short-term investments)</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248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one to five years (included in other non-current assets)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87</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determined no available-for-sale securities were other-than-temporarily impaired in three months ended September 30, 2016.</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Derivatives</w:t>
      </w:r>
    </w:p>
    <w:p>
      <w:pPr>
        <w:spacing w:after="0" w:line="121" w:lineRule="exact"/>
        <w:rPr>
          <w:sz w:val="20"/>
          <w:szCs w:val="20"/>
          <w:color w:val="auto"/>
        </w:rPr>
      </w:pPr>
    </w:p>
    <w:p>
      <w:pPr>
        <w:ind w:right="260" w:firstLine="432"/>
        <w:spacing w:after="0" w:line="291" w:lineRule="auto"/>
        <w:rPr>
          <w:sz w:val="20"/>
          <w:szCs w:val="20"/>
          <w:color w:val="auto"/>
        </w:rPr>
      </w:pPr>
      <w:r>
        <w:rPr>
          <w:rFonts w:ascii="Arial" w:cs="Arial" w:eastAsia="Arial" w:hAnsi="Arial"/>
          <w:sz w:val="16"/>
          <w:szCs w:val="16"/>
          <w:color w:val="auto"/>
        </w:rPr>
        <w:t>The majority of the Company’s transactions are in U.S. dollars; however, some transactions are based in various foreign currencies. The Company purchases short-term,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These contract maturity dates do not exceed 12 months. All foreign exchange contracts are for risk management purposes only. The Company does not purchase foreign exchange contracts for speculative or trading purposes. As of September 30, 2016, the Company had outstanding foreign exchange contracts with commercial banks for British Pound Sterling, Euro, Japanese Yen, Malaysian Ringgit, Philippine Peso, Singapore Dollar and Thai Baht, which were designated as either cash flow or fair value hedges.</w:t>
      </w:r>
    </w:p>
    <w:p>
      <w:pPr>
        <w:spacing w:after="0" w:line="59"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If the derivative is designated as a cash flow hedge, the effective portion of the change in fair value of the derivative is initially deferred in accumulated other comprehensive income (loss), net of tax. These amounts are subsequently recognized into earnings when the underlying cash flow being hedged is recognized into earnings. Recognized gains and losses on foreign exchange contracts entered into for manufacturing-related activities are reported in cost of revenue and presented within cash flow from operations. Hedge effectiveness is measured by comparing the hedging instrument’s cumulative change in fair value from inception to maturity to the underlying exposure’s terminal value. The Company determined the ineffectiveness associated with its cash flow hedges to be immaterial to the condensed consolidated financial statements for the three months ended September 30, 2016 and October 2, 2015.</w:t>
      </w:r>
    </w:p>
    <w:p>
      <w:pPr>
        <w:spacing w:after="0" w:line="5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A change in the fair value of fair value hedges is recognized in earnings in the period incurred and is reported as a component of cost of revenue or operating expenses, depending on the nature of the underlying hedged item. All fair value hedges were determined to be effective as of September 30, 2016 and July 1, 2016. The changes in fair value on these contracts were immaterial to the condensed consolidated financial statements during the three months ended September 30, 2016 and October 2, 2015.</w:t>
      </w:r>
    </w:p>
    <w:p>
      <w:pPr>
        <w:spacing w:after="0" w:line="7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of September 30, 2016, the net amount of unrealized gains with respect to the Company’s foreign exchange contracts that is expected to be reclassified into earnings within the next 12 months was $70 million. In addition, as of September 30, 2016, the Company did not have any foreign exchange contracts with credit-risk-related contingent features.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Note 10 to the condensed consolidated financial statements for additional disclosures related to the Company’s foreign exchange contracts.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and balance sheet location of the Company’s derivative instruments were as follows:</w:t>
      </w:r>
    </w:p>
    <w:p>
      <w:pPr>
        <w:spacing w:after="0" w:line="338"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Derivative Assets Reported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Foreign exchange forward contracts designated</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exchange forward contracts not designated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Call options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right="1340"/>
        <w:spacing w:after="0" w:line="361" w:lineRule="auto"/>
        <w:rPr>
          <w:sz w:val="20"/>
          <w:szCs w:val="20"/>
          <w:color w:val="auto"/>
        </w:rPr>
      </w:pPr>
      <w:r>
        <w:rPr>
          <w:rFonts w:ascii="Arial" w:cs="Arial" w:eastAsia="Arial" w:hAnsi="Arial"/>
          <w:sz w:val="16"/>
          <w:szCs w:val="16"/>
          <w:color w:val="auto"/>
        </w:rPr>
        <w:t>Foreign exchange forward contracts designated Exchange option</w:t>
      </w:r>
    </w:p>
    <w:p>
      <w:pPr>
        <w:ind w:left="280"/>
        <w:spacing w:after="0"/>
        <w:rPr>
          <w:sz w:val="20"/>
          <w:szCs w:val="20"/>
          <w:color w:val="auto"/>
        </w:rPr>
      </w:pPr>
      <w:r>
        <w:rPr>
          <w:rFonts w:ascii="Arial" w:cs="Arial" w:eastAsia="Arial" w:hAnsi="Arial"/>
          <w:sz w:val="16"/>
          <w:szCs w:val="16"/>
          <w:color w:val="auto"/>
        </w:rPr>
        <w:t>Total derivatives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4"/>
                <w:szCs w:val="14"/>
                <w:b w:val="1"/>
                <w:bCs w:val="1"/>
                <w:color w:val="auto"/>
              </w:rPr>
              <w:t>Other Current Assets</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center"/>
              <w:ind w:right="162"/>
              <w:spacing w:after="0"/>
              <w:rPr>
                <w:sz w:val="20"/>
                <w:szCs w:val="20"/>
                <w:color w:val="auto"/>
              </w:rPr>
            </w:pPr>
            <w:r>
              <w:rPr>
                <w:rFonts w:ascii="Arial" w:cs="Arial" w:eastAsia="Arial" w:hAnsi="Arial"/>
                <w:sz w:val="14"/>
                <w:szCs w:val="14"/>
                <w:b w:val="1"/>
                <w:bCs w:val="1"/>
                <w:color w:val="auto"/>
                <w:w w:val="93"/>
              </w:rPr>
              <w:t>Other Non-current Assets</w:t>
            </w:r>
          </w:p>
        </w:tc>
      </w:tr>
      <w:tr>
        <w:trPr>
          <w:trHeight w:val="152"/>
        </w:trPr>
        <w:tc>
          <w:tcPr>
            <w:tcW w:w="1180" w:type="dxa"/>
            <w:vAlign w:val="bottom"/>
          </w:tcPr>
          <w:p>
            <w:pPr>
              <w:jc w:val="center"/>
              <w:ind w:left="184"/>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344"/>
              <w:spacing w:after="0" w:line="153" w:lineRule="exact"/>
              <w:rPr>
                <w:sz w:val="20"/>
                <w:szCs w:val="20"/>
                <w:color w:val="auto"/>
              </w:rPr>
            </w:pPr>
            <w:r>
              <w:rPr>
                <w:rFonts w:ascii="Arial" w:cs="Arial" w:eastAsia="Arial" w:hAnsi="Arial"/>
                <w:sz w:val="14"/>
                <w:szCs w:val="14"/>
                <w:b w:val="1"/>
                <w:bCs w:val="1"/>
                <w:color w:val="auto"/>
                <w:w w:val="91"/>
              </w:rPr>
              <w:t>July 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480" w:type="dxa"/>
            <w:vAlign w:val="bottom"/>
          </w:tcPr>
          <w:p>
            <w:pPr>
              <w:spacing w:after="0"/>
              <w:rPr>
                <w:sz w:val="13"/>
                <w:szCs w:val="13"/>
                <w:color w:val="auto"/>
              </w:rPr>
            </w:pPr>
          </w:p>
        </w:tc>
        <w:tc>
          <w:tcPr>
            <w:tcW w:w="980" w:type="dxa"/>
            <w:vAlign w:val="bottom"/>
          </w:tcPr>
          <w:p>
            <w:pPr>
              <w:jc w:val="center"/>
              <w:ind w:right="442"/>
              <w:spacing w:after="0" w:line="153" w:lineRule="exact"/>
              <w:rPr>
                <w:sz w:val="20"/>
                <w:szCs w:val="20"/>
                <w:color w:val="auto"/>
              </w:rPr>
            </w:pPr>
            <w:r>
              <w:rPr>
                <w:rFonts w:ascii="Arial" w:cs="Arial" w:eastAsia="Arial" w:hAnsi="Arial"/>
                <w:sz w:val="14"/>
                <w:szCs w:val="14"/>
                <w:b w:val="1"/>
                <w:bCs w:val="1"/>
                <w:color w:val="auto"/>
                <w:w w:val="96"/>
              </w:rPr>
              <w:t>July 1,</w:t>
            </w:r>
          </w:p>
        </w:tc>
      </w:tr>
      <w:tr>
        <w:trPr>
          <w:trHeight w:val="192"/>
        </w:trPr>
        <w:tc>
          <w:tcPr>
            <w:tcW w:w="118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w w:val="89"/>
              </w:rPr>
              <w:t>2016</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w w:val="96"/>
              </w:rPr>
              <w:t>2016</w:t>
            </w:r>
          </w:p>
        </w:tc>
      </w:tr>
      <w:tr>
        <w:trPr>
          <w:trHeight w:val="190"/>
        </w:trPr>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03"/>
        </w:trPr>
        <w:tc>
          <w:tcPr>
            <w:tcW w:w="1180" w:type="dxa"/>
            <w:vAlign w:val="bottom"/>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4"/>
                <w:szCs w:val="24"/>
                <w:color w:val="auto"/>
              </w:rPr>
            </w:pP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70"/>
        </w:trPr>
        <w:tc>
          <w:tcPr>
            <w:tcW w:w="1180" w:type="dxa"/>
            <w:vAlign w:val="bottom"/>
          </w:tcPr>
          <w:p>
            <w:pPr>
              <w:spacing w:after="0"/>
              <w:rPr>
                <w:sz w:val="23"/>
                <w:szCs w:val="23"/>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70"/>
        </w:trPr>
        <w:tc>
          <w:tcPr>
            <w:tcW w:w="118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3"/>
                <w:szCs w:val="23"/>
                <w:color w:val="auto"/>
              </w:rPr>
            </w:pP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w:t>
            </w:r>
          </w:p>
        </w:tc>
      </w:tr>
      <w:tr>
        <w:trPr>
          <w:trHeight w:val="33"/>
        </w:trPr>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1180" w:type="dxa"/>
            <w:vAlign w:val="bottom"/>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w:t>
            </w:r>
          </w:p>
        </w:tc>
      </w:tr>
      <w:tr>
        <w:trPr>
          <w:trHeight w:val="33"/>
        </w:trPr>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88"/>
        </w:trPr>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Derivative Liabilities Reported in</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264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rPr>
              <w:t>Accrued Expenses</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center"/>
              <w:ind w:left="683"/>
              <w:spacing w:after="0"/>
              <w:rPr>
                <w:sz w:val="20"/>
                <w:szCs w:val="20"/>
                <w:color w:val="auto"/>
              </w:rPr>
            </w:pPr>
            <w:r>
              <w:rPr>
                <w:rFonts w:ascii="Arial" w:cs="Arial" w:eastAsia="Arial" w:hAnsi="Arial"/>
                <w:sz w:val="14"/>
                <w:szCs w:val="14"/>
                <w:b w:val="1"/>
                <w:bCs w:val="1"/>
                <w:color w:val="auto"/>
                <w:w w:val="96"/>
              </w:rPr>
              <w:t>Other Liabilities</w:t>
            </w:r>
          </w:p>
        </w:tc>
        <w:tc>
          <w:tcPr>
            <w:tcW w:w="980" w:type="dxa"/>
            <w:vAlign w:val="bottom"/>
            <w:tcBorders>
              <w:bottom w:val="single" w:sz="8" w:color="auto"/>
            </w:tcBorders>
          </w:tcPr>
          <w:p>
            <w:pPr>
              <w:spacing w:after="0"/>
              <w:rPr>
                <w:sz w:val="22"/>
                <w:szCs w:val="22"/>
                <w:color w:val="auto"/>
              </w:rPr>
            </w:pPr>
          </w:p>
        </w:tc>
      </w:tr>
      <w:tr>
        <w:trPr>
          <w:trHeight w:val="152"/>
        </w:trPr>
        <w:tc>
          <w:tcPr>
            <w:tcW w:w="1180" w:type="dxa"/>
            <w:vAlign w:val="bottom"/>
          </w:tcPr>
          <w:p>
            <w:pPr>
              <w:jc w:val="center"/>
              <w:ind w:left="184"/>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344"/>
              <w:spacing w:after="0" w:line="153" w:lineRule="exact"/>
              <w:rPr>
                <w:sz w:val="20"/>
                <w:szCs w:val="20"/>
                <w:color w:val="auto"/>
              </w:rPr>
            </w:pPr>
            <w:r>
              <w:rPr>
                <w:rFonts w:ascii="Arial" w:cs="Arial" w:eastAsia="Arial" w:hAnsi="Arial"/>
                <w:sz w:val="14"/>
                <w:szCs w:val="14"/>
                <w:b w:val="1"/>
                <w:bCs w:val="1"/>
                <w:color w:val="auto"/>
                <w:w w:val="91"/>
              </w:rPr>
              <w:t>July 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480" w:type="dxa"/>
            <w:vAlign w:val="bottom"/>
          </w:tcPr>
          <w:p>
            <w:pPr>
              <w:spacing w:after="0"/>
              <w:rPr>
                <w:sz w:val="13"/>
                <w:szCs w:val="13"/>
                <w:color w:val="auto"/>
              </w:rPr>
            </w:pPr>
          </w:p>
        </w:tc>
        <w:tc>
          <w:tcPr>
            <w:tcW w:w="980" w:type="dxa"/>
            <w:vAlign w:val="bottom"/>
          </w:tcPr>
          <w:p>
            <w:pPr>
              <w:jc w:val="center"/>
              <w:ind w:right="442"/>
              <w:spacing w:after="0" w:line="153" w:lineRule="exact"/>
              <w:rPr>
                <w:sz w:val="20"/>
                <w:szCs w:val="20"/>
                <w:color w:val="auto"/>
              </w:rPr>
            </w:pPr>
            <w:r>
              <w:rPr>
                <w:rFonts w:ascii="Arial" w:cs="Arial" w:eastAsia="Arial" w:hAnsi="Arial"/>
                <w:sz w:val="14"/>
                <w:szCs w:val="14"/>
                <w:b w:val="1"/>
                <w:bCs w:val="1"/>
                <w:color w:val="auto"/>
                <w:w w:val="96"/>
              </w:rPr>
              <w:t>July 1,</w:t>
            </w:r>
          </w:p>
        </w:tc>
      </w:tr>
      <w:tr>
        <w:trPr>
          <w:trHeight w:val="192"/>
        </w:trPr>
        <w:tc>
          <w:tcPr>
            <w:tcW w:w="118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w w:val="89"/>
              </w:rPr>
              <w:t>2016</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w w:val="96"/>
              </w:rPr>
              <w:t>2016</w:t>
            </w:r>
          </w:p>
        </w:tc>
      </w:tr>
      <w:tr>
        <w:trPr>
          <w:trHeight w:val="190"/>
        </w:trPr>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03"/>
        </w:trPr>
        <w:tc>
          <w:tcPr>
            <w:tcW w:w="1180" w:type="dxa"/>
            <w:vAlign w:val="bottom"/>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4"/>
                <w:szCs w:val="24"/>
                <w:color w:val="auto"/>
              </w:rPr>
            </w:pP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70"/>
        </w:trPr>
        <w:tc>
          <w:tcPr>
            <w:tcW w:w="1180" w:type="dxa"/>
            <w:vAlign w:val="bottom"/>
          </w:tcPr>
          <w:p>
            <w:pPr>
              <w:spacing w:after="0"/>
              <w:rPr>
                <w:sz w:val="23"/>
                <w:szCs w:val="23"/>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14</w:t>
            </w:r>
          </w:p>
        </w:tc>
      </w:tr>
      <w:tr>
        <w:trPr>
          <w:trHeight w:val="33"/>
        </w:trPr>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1180" w:type="dxa"/>
            <w:vAlign w:val="bottom"/>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14</w:t>
            </w:r>
          </w:p>
        </w:tc>
      </w:tr>
      <w:tr>
        <w:trPr>
          <w:trHeight w:val="33"/>
        </w:trPr>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-2160270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-1817370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-539750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-196850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Netting Arrangements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gross amounts of the Company’s derivative instruments, amounts offset due to master netting arrangements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various counterparties and the net amounts recognized in the condensed consolidated balance sheet as of September 30,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Gross Amounts Not Offset in the Balance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Sheet</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 of</w:t>
            </w:r>
          </w:p>
        </w:tc>
        <w:tc>
          <w:tcPr>
            <w:tcW w:w="160" w:type="dxa"/>
            <w:vAlign w:val="bottom"/>
          </w:tcPr>
          <w:p>
            <w:pPr>
              <w:spacing w:after="0"/>
              <w:rPr>
                <w:sz w:val="4"/>
                <w:szCs w:val="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4"/>
                <w:szCs w:val="4"/>
                <w:color w:val="auto"/>
              </w:rPr>
            </w:pPr>
          </w:p>
        </w:tc>
        <w:tc>
          <w:tcPr>
            <w:tcW w:w="13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Assets (Liabilities)</w:t>
            </w: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7"/>
                <w:szCs w:val="7"/>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Derivatives Designated as</w:t>
            </w:r>
          </w:p>
        </w:tc>
        <w:tc>
          <w:tcPr>
            <w:tcW w:w="120" w:type="dxa"/>
            <w:vAlign w:val="bottom"/>
          </w:tcPr>
          <w:p>
            <w:pPr>
              <w:spacing w:after="0"/>
              <w:rPr>
                <w:sz w:val="5"/>
                <w:szCs w:val="5"/>
                <w:color w:val="auto"/>
              </w:rPr>
            </w:pPr>
          </w:p>
        </w:tc>
        <w:tc>
          <w:tcPr>
            <w:tcW w:w="14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15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Offset in the Balance</w:t>
            </w:r>
          </w:p>
        </w:tc>
        <w:tc>
          <w:tcPr>
            <w:tcW w:w="1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Cash Collateral</w:t>
            </w: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Pr>
          <w:p>
            <w:pPr>
              <w:spacing w:after="0"/>
              <w:rPr>
                <w:sz w:val="9"/>
                <w:szCs w:val="9"/>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(Liabilities)</w:t>
            </w:r>
          </w:p>
        </w:tc>
        <w:tc>
          <w:tcPr>
            <w:tcW w:w="160" w:type="dxa"/>
            <w:vAlign w:val="bottom"/>
          </w:tcPr>
          <w:p>
            <w:pPr>
              <w:spacing w:after="0"/>
              <w:rPr>
                <w:sz w:val="9"/>
                <w:szCs w:val="9"/>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Received or Pledged</w:t>
            </w:r>
          </w:p>
        </w:tc>
        <w:tc>
          <w:tcPr>
            <w:tcW w:w="220" w:type="dxa"/>
            <w:vAlign w:val="bottom"/>
          </w:tcPr>
          <w:p>
            <w:pPr>
              <w:spacing w:after="0"/>
              <w:rPr>
                <w:sz w:val="9"/>
                <w:szCs w:val="9"/>
                <w:color w:val="auto"/>
              </w:rPr>
            </w:pPr>
          </w:p>
        </w:tc>
        <w:tc>
          <w:tcPr>
            <w:tcW w:w="11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87"/>
        </w:trPr>
        <w:tc>
          <w:tcPr>
            <w:tcW w:w="2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gridSpan w:val="4"/>
          </w:tcPr>
          <w:p>
            <w:pPr>
              <w:ind w:left="9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gridSpan w:val="2"/>
          </w:tcPr>
          <w:p>
            <w:pPr>
              <w:ind w:left="180"/>
              <w:spacing w:after="0"/>
              <w:rPr>
                <w:sz w:val="20"/>
                <w:szCs w:val="20"/>
                <w:color w:val="auto"/>
              </w:rPr>
            </w:pPr>
            <w:r>
              <w:rPr>
                <w:rFonts w:ascii="Arial" w:cs="Arial" w:eastAsia="Arial" w:hAnsi="Arial"/>
                <w:sz w:val="16"/>
                <w:szCs w:val="16"/>
                <w:color w:val="auto"/>
              </w:rPr>
              <w:t>Financial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Financial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4"/>
        </w:trPr>
        <w:tc>
          <w:tcPr>
            <w:tcW w:w="2640" w:type="dxa"/>
            <w:vAlign w:val="bottom"/>
            <w:gridSpan w:val="2"/>
          </w:tcPr>
          <w:p>
            <w:pPr>
              <w:ind w:left="280"/>
              <w:spacing w:after="0"/>
              <w:rPr>
                <w:sz w:val="20"/>
                <w:szCs w:val="20"/>
                <w:color w:val="auto"/>
              </w:rPr>
            </w:pPr>
            <w:r>
              <w:rPr>
                <w:rFonts w:ascii="Arial" w:cs="Arial" w:eastAsia="Arial" w:hAnsi="Arial"/>
                <w:sz w:val="16"/>
                <w:szCs w:val="16"/>
                <w:color w:val="auto"/>
              </w:rPr>
              <w:t>Total derivative instruments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The Company had a gross and net liability of $91 million related to its derivative instruments outstanding at July 1, 2016. There were no amounts offset due to master netting arrangements in place at July 1, 2016.</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Effect of Foreign Exchange Contracts on the Condensed Consolidated Statements of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impact of foreign exchange contracts on the consolidated financial statements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Amount of Gain (Loss) Recognized in</w:t>
            </w:r>
          </w:p>
        </w:tc>
        <w:tc>
          <w:tcPr>
            <w:tcW w:w="260" w:type="dxa"/>
            <w:vAlign w:val="bottom"/>
          </w:tcPr>
          <w:p>
            <w:pPr>
              <w:spacing w:after="0"/>
              <w:rPr>
                <w:sz w:val="13"/>
                <w:szCs w:val="13"/>
                <w:color w:val="auto"/>
              </w:rPr>
            </w:pPr>
          </w:p>
        </w:tc>
        <w:tc>
          <w:tcPr>
            <w:tcW w:w="2760" w:type="dxa"/>
            <w:vAlign w:val="bottom"/>
            <w:gridSpan w:val="3"/>
          </w:tcPr>
          <w:p>
            <w:pPr>
              <w:jc w:val="center"/>
              <w:ind w:right="165"/>
              <w:spacing w:after="0" w:line="153" w:lineRule="exact"/>
              <w:rPr>
                <w:sz w:val="20"/>
                <w:szCs w:val="20"/>
                <w:color w:val="auto"/>
              </w:rPr>
            </w:pPr>
            <w:r>
              <w:rPr>
                <w:rFonts w:ascii="Arial" w:cs="Arial" w:eastAsia="Arial" w:hAnsi="Arial"/>
                <w:sz w:val="14"/>
                <w:szCs w:val="14"/>
                <w:b w:val="1"/>
                <w:bCs w:val="1"/>
                <w:color w:val="auto"/>
                <w:w w:val="92"/>
              </w:rPr>
              <w:t>Amount of Gain (Loss) Reclassified from</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Accumulated Other Comprehensive Income on</w:t>
            </w:r>
          </w:p>
        </w:tc>
        <w:tc>
          <w:tcPr>
            <w:tcW w:w="30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Accumulated Other Comprehensive Income into</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left="987"/>
              <w:spacing w:after="0"/>
              <w:rPr>
                <w:sz w:val="20"/>
                <w:szCs w:val="20"/>
                <w:color w:val="auto"/>
              </w:rPr>
            </w:pPr>
            <w:r>
              <w:rPr>
                <w:rFonts w:ascii="Arial" w:cs="Arial" w:eastAsia="Arial" w:hAnsi="Arial"/>
                <w:sz w:val="14"/>
                <w:szCs w:val="14"/>
                <w:b w:val="1"/>
                <w:bCs w:val="1"/>
                <w:color w:val="auto"/>
                <w:w w:val="93"/>
              </w:rPr>
              <w:t>Derivatives</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866"/>
              <w:spacing w:after="0"/>
              <w:rPr>
                <w:sz w:val="20"/>
                <w:szCs w:val="20"/>
                <w:color w:val="auto"/>
              </w:rPr>
            </w:pPr>
            <w:r>
              <w:rPr>
                <w:rFonts w:ascii="Arial" w:cs="Arial" w:eastAsia="Arial" w:hAnsi="Arial"/>
                <w:sz w:val="14"/>
                <w:szCs w:val="14"/>
                <w:b w:val="1"/>
                <w:bCs w:val="1"/>
                <w:color w:val="auto"/>
                <w:w w:val="89"/>
              </w:rPr>
              <w:t>Income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Pr>
          <w:p>
            <w:pPr>
              <w:spacing w:after="0"/>
              <w:rPr>
                <w:sz w:val="13"/>
                <w:szCs w:val="13"/>
                <w:color w:val="auto"/>
              </w:rPr>
            </w:pPr>
          </w:p>
        </w:tc>
        <w:tc>
          <w:tcPr>
            <w:tcW w:w="1380" w:type="dxa"/>
            <w:vAlign w:val="bottom"/>
          </w:tcPr>
          <w:p>
            <w:pPr>
              <w:jc w:val="center"/>
              <w:ind w:right="107"/>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460" w:type="dxa"/>
            <w:vAlign w:val="bottom"/>
          </w:tcPr>
          <w:p>
            <w:pPr>
              <w:spacing w:after="0"/>
              <w:rPr>
                <w:sz w:val="13"/>
                <w:szCs w:val="13"/>
                <w:color w:val="auto"/>
              </w:rPr>
            </w:pPr>
          </w:p>
        </w:tc>
        <w:tc>
          <w:tcPr>
            <w:tcW w:w="128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92"/>
              </w:rPr>
              <w:t>October 2,</w:t>
            </w:r>
          </w:p>
        </w:tc>
        <w:tc>
          <w:tcPr>
            <w:tcW w:w="260" w:type="dxa"/>
            <w:vAlign w:val="bottom"/>
          </w:tcPr>
          <w:p>
            <w:pPr>
              <w:spacing w:after="0"/>
              <w:rPr>
                <w:sz w:val="13"/>
                <w:szCs w:val="13"/>
                <w:color w:val="auto"/>
              </w:rPr>
            </w:pPr>
          </w:p>
        </w:tc>
        <w:tc>
          <w:tcPr>
            <w:tcW w:w="1200" w:type="dxa"/>
            <w:vAlign w:val="bottom"/>
          </w:tcPr>
          <w:p>
            <w:pPr>
              <w:jc w:val="center"/>
              <w:ind w:right="246"/>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380" w:type="dxa"/>
            <w:vAlign w:val="bottom"/>
          </w:tcPr>
          <w:p>
            <w:pPr>
              <w:spacing w:after="0"/>
              <w:rPr>
                <w:sz w:val="13"/>
                <w:szCs w:val="13"/>
                <w:color w:val="auto"/>
              </w:rPr>
            </w:pPr>
          </w:p>
        </w:tc>
        <w:tc>
          <w:tcPr>
            <w:tcW w:w="1180" w:type="dxa"/>
            <w:vAlign w:val="bottom"/>
          </w:tcPr>
          <w:p>
            <w:pPr>
              <w:jc w:val="center"/>
              <w:ind w:right="225"/>
              <w:spacing w:after="0" w:line="153" w:lineRule="exact"/>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547"/>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6"/>
                <w:szCs w:val="16"/>
                <w:color w:val="auto"/>
              </w:rPr>
            </w:pPr>
          </w:p>
        </w:tc>
        <w:tc>
          <w:tcPr>
            <w:tcW w:w="1160" w:type="dxa"/>
            <w:vAlign w:val="bottom"/>
          </w:tcPr>
          <w:p>
            <w:pPr>
              <w:jc w:val="right"/>
              <w:ind w:right="54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26"/>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6"/>
                <w:szCs w:val="16"/>
                <w:color w:val="auto"/>
              </w:rPr>
            </w:pPr>
          </w:p>
        </w:tc>
        <w:tc>
          <w:tcPr>
            <w:tcW w:w="1180" w:type="dxa"/>
            <w:vAlign w:val="bottom"/>
          </w:tcPr>
          <w:p>
            <w:pPr>
              <w:jc w:val="right"/>
              <w:ind w:right="50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5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ind w:left="820"/>
              <w:spacing w:after="0"/>
              <w:rPr>
                <w:sz w:val="20"/>
                <w:szCs w:val="20"/>
                <w:color w:val="auto"/>
              </w:rPr>
            </w:pPr>
            <w:r>
              <w:rPr>
                <w:rFonts w:ascii="Arial" w:cs="Arial" w:eastAsia="Arial" w:hAnsi="Arial"/>
                <w:sz w:val="14"/>
                <w:szCs w:val="14"/>
                <w:i w:val="1"/>
                <w:iCs w:val="1"/>
                <w:color w:val="auto"/>
                <w:w w:val="98"/>
              </w:rPr>
              <w:t>(in millions)</w:t>
            </w:r>
          </w:p>
        </w:tc>
        <w:tc>
          <w:tcPr>
            <w:tcW w:w="1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22</w:t>
            </w:r>
          </w:p>
        </w:tc>
        <w:tc>
          <w:tcPr>
            <w:tcW w:w="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26</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total net realized transaction and foreign exchange contract currency gains and losses were not material to the condensed consolidated financial statements for the three months ended September 30, 2016 and October 2,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121"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plans are in Japan. All pension and other post-retirement benefit plans outside of the Company’s Japanese plans are immaterial to the Company’s condensed consolidated financial statements. The expected long-term rate of return on the Japanese plan assets is 2.5%.</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Obligations and Funded Status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unfunded status of the benefit obligations for the Japanese defined benefit pension plans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060" w:type="dxa"/>
            <w:vAlign w:val="bottom"/>
          </w:tcPr>
          <w:p>
            <w:pPr>
              <w:jc w:val="right"/>
              <w:ind w:right="463"/>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212</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Unfunded status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The following table presents the unfunded amounts related to the Japanese defined pension plans as recognized on the Company’s condensed 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060" w:type="dxa"/>
            <w:vAlign w:val="bottom"/>
          </w:tcPr>
          <w:p>
            <w:pPr>
              <w:jc w:val="right"/>
              <w:ind w:right="463"/>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114</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Net amount recognized</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114</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Fiscal 2016 Acquisition</w:t>
      </w:r>
    </w:p>
    <w:p>
      <w:pPr>
        <w:spacing w:after="0" w:line="117" w:lineRule="exact"/>
        <w:rPr>
          <w:sz w:val="20"/>
          <w:szCs w:val="20"/>
          <w:color w:val="auto"/>
        </w:rPr>
      </w:pPr>
    </w:p>
    <w:p>
      <w:pPr>
        <w:ind w:right="520" w:firstLine="405"/>
        <w:spacing w:after="0" w:line="308" w:lineRule="auto"/>
        <w:rPr>
          <w:sz w:val="20"/>
          <w:szCs w:val="20"/>
          <w:color w:val="auto"/>
        </w:rPr>
      </w:pPr>
      <w:r>
        <w:rPr>
          <w:rFonts w:ascii="Arial" w:cs="Arial" w:eastAsia="Arial" w:hAnsi="Arial"/>
          <w:sz w:val="17"/>
          <w:szCs w:val="17"/>
          <w:color w:val="auto"/>
        </w:rPr>
        <w:t>In May 2016, we acquired SanDisk, a global leader in NAND flash storage solutions primarily to deepen the Company’s expertise in non-volatile memory and enable the Company to vertically integrate into NAND, securing long-term access to solid state technology at a lower cost.</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7"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During the period, the Company adjusted the assessment of fair value for certain acquired inventory and property and equipment and a portion of the deferred tax liability. Management is continuing to assess the values assigned to the remaining assets acquired and liabilities assumed and may make further adjustments during the measurement period (through May 11, 2017) as further information becomes available. Any changes in the fair values of the assets acquired and liabilities assumed during the measurement period may result in adjustments to goodwill.</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financial information in the table below summarizes the combined results of operations for the Company and SanDisk, on a pro forma basis, as though the combination had occurred as of the beginning of 2016. The pro forma financial information for the period presented includes the effects of adjustments related to amortization charges from acquired intangible assets, depreciation charges from acquired fixed assets, interest expenses from financing the acquisition, stock-based compensation expenses from the conversion of unvested equity awards and the elimination of certain expenses directly related to the transaction. The pro forma financial information as presented below is for informational purposes only and is not necessarily indicative of the results of operations that would have been achieved if the acquisition had taken place at the beginning of 2016.</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Three Months Ended</w:t>
            </w:r>
          </w:p>
        </w:tc>
      </w:tr>
      <w:tr>
        <w:trPr>
          <w:trHeight w:val="165"/>
        </w:trPr>
        <w:tc>
          <w:tcPr>
            <w:tcW w:w="9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104"/>
              <w:spacing w:after="0"/>
              <w:rPr>
                <w:sz w:val="20"/>
                <w:szCs w:val="20"/>
                <w:color w:val="auto"/>
              </w:rPr>
            </w:pPr>
            <w:r>
              <w:rPr>
                <w:rFonts w:ascii="Arial" w:cs="Arial" w:eastAsia="Arial" w:hAnsi="Arial"/>
                <w:sz w:val="14"/>
                <w:szCs w:val="14"/>
                <w:b w:val="1"/>
                <w:bCs w:val="1"/>
                <w:color w:val="auto"/>
                <w:w w:val="95"/>
              </w:rPr>
              <w:t>October 2,</w:t>
            </w:r>
          </w:p>
        </w:tc>
      </w:tr>
      <w:tr>
        <w:trPr>
          <w:trHeight w:val="192"/>
        </w:trPr>
        <w:tc>
          <w:tcPr>
            <w:tcW w:w="9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2015</w:t>
            </w:r>
          </w:p>
        </w:tc>
      </w:tr>
      <w:tr>
        <w:trPr>
          <w:trHeight w:val="156"/>
        </w:trPr>
        <w:tc>
          <w:tcPr>
            <w:tcW w:w="9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center"/>
              <w:ind w:right="64"/>
              <w:spacing w:after="0" w:line="157" w:lineRule="exact"/>
              <w:rPr>
                <w:sz w:val="20"/>
                <w:szCs w:val="20"/>
                <w:color w:val="auto"/>
              </w:rPr>
            </w:pPr>
            <w:r>
              <w:rPr>
                <w:rFonts w:ascii="Arial" w:cs="Arial" w:eastAsia="Arial" w:hAnsi="Arial"/>
                <w:sz w:val="14"/>
                <w:szCs w:val="14"/>
                <w:i w:val="1"/>
                <w:iCs w:val="1"/>
                <w:color w:val="auto"/>
                <w:w w:val="96"/>
              </w:rPr>
              <w:t>(in millions, except per</w:t>
            </w:r>
          </w:p>
        </w:tc>
      </w:tr>
      <w:tr>
        <w:trPr>
          <w:trHeight w:val="188"/>
        </w:trPr>
        <w:tc>
          <w:tcPr>
            <w:tcW w:w="9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64"/>
              <w:spacing w:after="0"/>
              <w:rPr>
                <w:sz w:val="20"/>
                <w:szCs w:val="20"/>
                <w:color w:val="auto"/>
              </w:rPr>
            </w:pPr>
            <w:r>
              <w:rPr>
                <w:rFonts w:ascii="Arial" w:cs="Arial" w:eastAsia="Arial" w:hAnsi="Arial"/>
                <w:sz w:val="14"/>
                <w:szCs w:val="14"/>
                <w:i w:val="1"/>
                <w:iCs w:val="1"/>
                <w:color w:val="auto"/>
                <w:w w:val="92"/>
              </w:rPr>
              <w:t>share amounts)</w:t>
            </w:r>
          </w:p>
        </w:tc>
      </w:tr>
      <w:tr>
        <w:trPr>
          <w:trHeight w:val="243"/>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4,812</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9"/>
                <w:szCs w:val="19"/>
                <w:color w:val="auto"/>
              </w:rPr>
            </w:pPr>
          </w:p>
        </w:tc>
        <w:tc>
          <w:tcPr>
            <w:tcW w:w="1560" w:type="dxa"/>
            <w:vAlign w:val="bottom"/>
          </w:tcPr>
          <w:p>
            <w:pPr>
              <w:jc w:val="right"/>
              <w:ind w:right="24"/>
              <w:spacing w:after="0"/>
              <w:rPr>
                <w:sz w:val="20"/>
                <w:szCs w:val="20"/>
                <w:color w:val="auto"/>
              </w:rPr>
            </w:pPr>
            <w:r>
              <w:rPr>
                <w:rFonts w:ascii="Arial" w:cs="Arial" w:eastAsia="Arial" w:hAnsi="Arial"/>
                <w:sz w:val="16"/>
                <w:szCs w:val="16"/>
                <w:color w:val="auto"/>
              </w:rPr>
              <w:t>98</w:t>
            </w:r>
          </w:p>
        </w:tc>
      </w:tr>
      <w:tr>
        <w:trPr>
          <w:trHeight w:val="33"/>
        </w:trPr>
        <w:tc>
          <w:tcPr>
            <w:tcW w:w="9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income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0.35</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Diluted income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24"/>
              <w:spacing w:after="0"/>
              <w:rPr>
                <w:sz w:val="20"/>
                <w:szCs w:val="20"/>
                <w:color w:val="auto"/>
              </w:rPr>
            </w:pPr>
            <w:r>
              <w:rPr>
                <w:rFonts w:ascii="Arial" w:cs="Arial" w:eastAsia="Arial" w:hAnsi="Arial"/>
                <w:sz w:val="16"/>
                <w:szCs w:val="16"/>
                <w:color w:val="auto"/>
              </w:rPr>
              <w:t>0.35</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
              <w:spacing w:after="0" w:line="153" w:lineRule="exact"/>
              <w:rPr>
                <w:sz w:val="20"/>
                <w:szCs w:val="20"/>
                <w:color w:val="auto"/>
              </w:rPr>
            </w:pPr>
            <w:r>
              <w:rPr>
                <w:rFonts w:ascii="Arial" w:cs="Arial" w:eastAsia="Arial" w:hAnsi="Arial"/>
                <w:sz w:val="14"/>
                <w:szCs w:val="14"/>
                <w:b w:val="1"/>
                <w:bCs w:val="1"/>
                <w:color w:val="auto"/>
              </w:rPr>
              <w:t>October 2,</w:t>
            </w:r>
          </w:p>
        </w:tc>
        <w:tc>
          <w:tcPr>
            <w:tcW w:w="340" w:type="dxa"/>
            <w:vAlign w:val="bottom"/>
          </w:tcPr>
          <w:p>
            <w:pPr>
              <w:spacing w:after="0"/>
              <w:rPr>
                <w:sz w:val="13"/>
                <w:szCs w:val="13"/>
                <w:color w:val="auto"/>
              </w:rPr>
            </w:pPr>
          </w:p>
        </w:tc>
      </w:tr>
      <w:tr>
        <w:trPr>
          <w:trHeight w:val="192"/>
        </w:trPr>
        <w:tc>
          <w:tcPr>
            <w:tcW w:w="8340" w:type="dxa"/>
            <w:vAlign w:val="bottom"/>
          </w:tcPr>
          <w:p>
            <w:pPr>
              <w:spacing w:after="0"/>
              <w:rPr>
                <w:sz w:val="16"/>
                <w:szCs w:val="16"/>
                <w:color w:val="auto"/>
              </w:rPr>
            </w:pPr>
          </w:p>
        </w:tc>
        <w:tc>
          <w:tcPr>
            <w:tcW w:w="11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6"/>
                <w:szCs w:val="16"/>
                <w:color w:val="auto"/>
              </w:rPr>
            </w:pPr>
          </w:p>
        </w:tc>
      </w:tr>
      <w:tr>
        <w:trPr>
          <w:trHeight w:val="190"/>
        </w:trPr>
        <w:tc>
          <w:tcPr>
            <w:tcW w:w="8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gridSpan w:val="3"/>
          </w:tcPr>
          <w:p>
            <w:pPr>
              <w:jc w:val="right"/>
              <w:ind w:right="763"/>
              <w:spacing w:after="0"/>
              <w:rPr>
                <w:sz w:val="20"/>
                <w:szCs w:val="20"/>
                <w:color w:val="auto"/>
              </w:rPr>
            </w:pPr>
            <w:r>
              <w:rPr>
                <w:rFonts w:ascii="Arial" w:cs="Arial" w:eastAsia="Arial" w:hAnsi="Arial"/>
                <w:sz w:val="14"/>
                <w:szCs w:val="14"/>
                <w:i w:val="1"/>
                <w:iCs w:val="1"/>
                <w:color w:val="auto"/>
                <w:w w:val="98"/>
              </w:rPr>
              <w:t>(in millions)</w:t>
            </w:r>
          </w:p>
        </w:tc>
        <w:tc>
          <w:tcPr>
            <w:tcW w:w="34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and other charges: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Restructuring Plan 2016</w:t>
            </w:r>
          </w:p>
        </w:tc>
        <w:tc>
          <w:tcPr>
            <w:tcW w:w="1180" w:type="dxa"/>
            <w:vAlign w:val="bottom"/>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120" w:type="dxa"/>
            <w:vAlign w:val="bottom"/>
          </w:tcPr>
          <w:p>
            <w:pPr>
              <w:jc w:val="right"/>
              <w:ind w:right="943"/>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Closure of Foreign Manufacturing Facility</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Business Realignment</w:t>
            </w:r>
          </w:p>
        </w:tc>
        <w:tc>
          <w:tcPr>
            <w:tcW w:w="1180" w:type="dxa"/>
            <w:vAlign w:val="bottom"/>
          </w:tcPr>
          <w:p>
            <w:pPr>
              <w:spacing w:after="0"/>
              <w:rPr>
                <w:sz w:val="20"/>
                <w:szCs w:val="20"/>
                <w:color w:val="auto"/>
              </w:rPr>
            </w:pP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33"/>
        </w:trPr>
        <w:tc>
          <w:tcPr>
            <w:tcW w:w="8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employee termination and other charges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Stock-based compensation accelerations and adjustments</w:t>
            </w: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Plan 2016</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Business Realignment</w:t>
            </w:r>
          </w:p>
        </w:tc>
        <w:tc>
          <w:tcPr>
            <w:tcW w:w="1180" w:type="dxa"/>
            <w:vAlign w:val="bottom"/>
          </w:tcPr>
          <w:p>
            <w:pPr>
              <w:spacing w:after="0"/>
              <w:rPr>
                <w:sz w:val="20"/>
                <w:szCs w:val="20"/>
                <w:color w:val="auto"/>
              </w:rPr>
            </w:pP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stock-based compensation accelerations and adjustments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Asset impairment:</w:t>
            </w: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Business Realignment</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asset impairment</w:t>
            </w:r>
          </w:p>
        </w:tc>
        <w:tc>
          <w:tcPr>
            <w:tcW w:w="1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8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7"/>
              </w:rPr>
              <w:t>Total employee termination and other charges, stock-based compensation adjustments and asset impairments</w:t>
            </w:r>
          </w:p>
        </w:tc>
        <w:tc>
          <w:tcPr>
            <w:tcW w:w="1180" w:type="dxa"/>
            <w:vAlign w:val="bottom"/>
            <w:tcBorders>
              <w:bottom w:val="single" w:sz="8" w:color="auto"/>
            </w:tcBorders>
            <w:shd w:val="clear" w:color="auto" w:fill="CCEEFF"/>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0"/>
        </w:trPr>
        <w:tc>
          <w:tcPr>
            <w:tcW w:w="8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Plan 2016</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2016, the Company initiated a set of actions relating to the restructuring plan associated with the integration of substantial portions of its HGST and WD subsidiaries (the “Restructuring Plan 2016”). Restructuring Plan 2016 consists of asset and footprint reduction, product road map consolidation and organization rationalization. The following table presents an analysis of the components of the activity against the reserve during the three months ended September 30,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July 1, 2016</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Non-cash items and other</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Accrual balance at September 30, 2016</w:t>
            </w: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Closure of Foreign Manufacturing Facility</w:t>
      </w:r>
    </w:p>
    <w:p>
      <w:pPr>
        <w:spacing w:after="0" w:line="117"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In January 2016, the Company announced the closing of its head component front end wafer manufacturing facility in Odawara, Japan, in order to reduce manufacturing costs. As of September 30, 2016, the Company substantially completed all activities related to the closure of the facility. The following table presents an analysis of the components of the activity against the reserve during the three months ended September 30, 2016: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July 1, 2016</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Non-cash items and other</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Accrual balance at September 30, 2016</w:t>
            </w: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Realignment</w:t>
      </w:r>
    </w:p>
    <w:p>
      <w:pPr>
        <w:spacing w:after="0" w:line="11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Company periodically incurs charges to realign its operations with anticipated market demand. The following table presents an analysis of the components of the activity against the reserve during the three months ended September 30,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July 1, 2016</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Non-cash items and other</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September 30, 2016</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220" w:firstLine="405"/>
        <w:spacing w:after="0" w:line="288" w:lineRule="auto"/>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w:t>
      </w:r>
    </w:p>
    <w:p>
      <w:pPr>
        <w:ind w:right="20"/>
        <w:spacing w:after="0" w:line="261" w:lineRule="auto"/>
        <w:rPr>
          <w:sz w:val="20"/>
          <w:szCs w:val="20"/>
          <w:color w:val="auto"/>
        </w:rPr>
      </w:pPr>
      <w:r>
        <w:rPr>
          <w:rFonts w:ascii="Arial" w:cs="Arial" w:eastAsia="Arial" w:hAnsi="Arial"/>
          <w:sz w:val="18"/>
          <w:szCs w:val="18"/>
          <w:color w:val="auto"/>
        </w:rPr>
        <w:t>10-Q, and the audited consolidated financial statements and notes thereto and Part II, Item 7, contained in our Annual Report on Form 10-K for the fiscal year ended July 1, 2016.</w:t>
      </w:r>
    </w:p>
    <w:p>
      <w:pPr>
        <w:spacing w:after="0" w:line="7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information technology (“IT”) industry and the infrastructure that enables the proliferation of data in virtually every industry. Our broad portfolio of offerings addresses three categories: Data Center Devices and Solutions (capacity and performance enterprise hard disk drives (“HDD”), enterprise solid-state drives (“SSD”), data center software and system solutions); Client Devices (mobile, desktop, gaming and digital video hard drives, client SSDs, embedded products and wafers); and Client Solutions (removable products, hard drive content solutions and flash content solutions). We also generate license and royalty revenue related to our intellectual property which is included in each of the three categories.</w:t>
      </w:r>
    </w:p>
    <w:p>
      <w:pPr>
        <w:spacing w:after="0" w:line="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fiscal year ends on the Friday nearest to June 30 and typically consists of 52 weeks. Fiscal years 2017, which ends on June 30, 2017, and 2016, which ended July 1, 2016, are both comprised of 52 weeks, with all quarters presented consisting of 13 weeks.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Facilities</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During the first quarter of 2017, we settled certain debt facilities and entered into new debt facilities at more favorable rates. The financing arrangement activities during the quarter were:</w:t>
      </w:r>
    </w:p>
    <w:p>
      <w:pPr>
        <w:spacing w:after="0" w:line="62" w:lineRule="exact"/>
        <w:rPr>
          <w:sz w:val="20"/>
          <w:szCs w:val="20"/>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paid in full, with accrued interest, our $3.0 billion short-term senior secured bridge credit agreement.</w:t>
      </w:r>
    </w:p>
    <w:p>
      <w:pPr>
        <w:spacing w:after="0" w:line="117" w:lineRule="exact"/>
        <w:rPr>
          <w:rFonts w:ascii="Arial" w:cs="Arial" w:eastAsia="Arial" w:hAnsi="Arial"/>
          <w:sz w:val="18"/>
          <w:szCs w:val="18"/>
          <w:color w:val="auto"/>
        </w:rPr>
      </w:pPr>
    </w:p>
    <w:p>
      <w:pPr>
        <w:ind w:left="660" w:right="20" w:hanging="247"/>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settled our $3.750 billion U.S. Term Loan B tranche with a new issuance of a $3.0 billion seven-year U.S. dollar-denominated term loan (“U.S. Term Loan B-1”) at an interest rate lower than our U.S. Term Loan B tranche. Proceeds from this new loan and a voluntary cash prepayment of $750 million were used to settle our U.S. Term Loan B tranche.</w:t>
      </w:r>
    </w:p>
    <w:p>
      <w:pPr>
        <w:spacing w:after="0" w:line="73" w:lineRule="exact"/>
        <w:rPr>
          <w:rFonts w:ascii="Arial" w:cs="Arial" w:eastAsia="Arial" w:hAnsi="Arial"/>
          <w:sz w:val="18"/>
          <w:szCs w:val="18"/>
          <w:color w:val="auto"/>
        </w:rPr>
      </w:pPr>
    </w:p>
    <w:p>
      <w:pPr>
        <w:ind w:left="660" w:right="100" w:hanging="247"/>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settled our €885 million Euro Term Loan B tranche with a new issuance of a €885 million seven-year Euro-denominated term loan (“Euro Term Loan B-1”) at an interest rate lower than our Euro Term Loan B tranche. Proceeds from this new loan were used to settle our Euro Term Loan B tranche.</w:t>
      </w:r>
    </w:p>
    <w:p>
      <w:pPr>
        <w:spacing w:after="0" w:line="73" w:lineRule="exact"/>
        <w:rPr>
          <w:rFonts w:ascii="Arial" w:cs="Arial" w:eastAsia="Arial" w:hAnsi="Arial"/>
          <w:sz w:val="18"/>
          <w:szCs w:val="18"/>
          <w:color w:val="auto"/>
        </w:rPr>
      </w:pPr>
    </w:p>
    <w:p>
      <w:pPr>
        <w:ind w:left="660" w:right="240" w:hanging="247"/>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paid to the holders of our Convertible Notes (as defined below), for conversion and repurchase, $490 million of cash and 0.3 million shares of our common stock with an aggregate value of $16 million. In conjunction with the settlements, we received from the exercise of the related call options, $61 million of cash and 0.1 million shares of our common stock which had an aggregate value of $11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our debt facilities, see Part I, Item 1, Note 4, in this Quarterly Report on Form 10-Q.</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Unis Joint Venture</w:t>
      </w:r>
    </w:p>
    <w:p>
      <w:pPr>
        <w:spacing w:after="0" w:line="11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 November 2015, we entered into an agreement to form a joint venture with Unisplendour Corporation Limited (“Unis”) to market and sell our current data center storage systems in China and to develop data storage systems for the Chinese market in the future. The joint venture became operational during the first quarter of 2017. The joint venture is 49% owned by us and 51% owned by Unis and its subsidiary, Unissoft (Wuxi) Group Co. Ltd. The financial results of this joint venture did not have a material impact on our condensed consolidated financial statements for the first quarter of 2017.</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1"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First Quarter Overview</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3"/>
                <w:szCs w:val="13"/>
                <w:color w:val="auto"/>
              </w:rPr>
            </w:pPr>
          </w:p>
        </w:tc>
        <w:tc>
          <w:tcPr>
            <w:tcW w:w="1080" w:type="dxa"/>
            <w:vAlign w:val="bottom"/>
          </w:tcPr>
          <w:p>
            <w:pPr>
              <w:jc w:val="right"/>
              <w:ind w:right="22"/>
              <w:spacing w:after="0" w:line="153" w:lineRule="exact"/>
              <w:rPr>
                <w:sz w:val="20"/>
                <w:szCs w:val="20"/>
                <w:color w:val="auto"/>
              </w:rPr>
            </w:pPr>
            <w:r>
              <w:rPr>
                <w:rFonts w:ascii="Arial" w:cs="Arial" w:eastAsia="Arial" w:hAnsi="Arial"/>
                <w:sz w:val="14"/>
                <w:szCs w:val="14"/>
                <w:b w:val="1"/>
                <w:bCs w:val="1"/>
                <w:color w:val="auto"/>
              </w:rPr>
              <w:t>October 2,</w:t>
            </w:r>
          </w:p>
        </w:tc>
        <w:tc>
          <w:tcPr>
            <w:tcW w:w="660" w:type="dxa"/>
            <w:vAlign w:val="bottom"/>
          </w:tcPr>
          <w:p>
            <w:pPr>
              <w:spacing w:after="0"/>
              <w:rPr>
                <w:sz w:val="13"/>
                <w:szCs w:val="13"/>
                <w:color w:val="auto"/>
              </w:rPr>
            </w:pPr>
          </w:p>
        </w:tc>
        <w:tc>
          <w:tcPr>
            <w:tcW w:w="8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millions, except percentages)</w:t>
            </w: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6"/>
                <w:szCs w:val="16"/>
                <w:color w:val="auto"/>
              </w:rPr>
              <w:t>4,714</w:t>
            </w:r>
          </w:p>
        </w:tc>
        <w:tc>
          <w:tcPr>
            <w:tcW w:w="10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99"/>
              </w:rPr>
              <w:t>100.0 %  $</w:t>
            </w:r>
          </w:p>
        </w:tc>
        <w:tc>
          <w:tcPr>
            <w:tcW w:w="108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6"/>
                <w:szCs w:val="16"/>
                <w:color w:val="auto"/>
              </w:rPr>
              <w:t>3,360</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100.0%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100" w:type="dxa"/>
            <w:vAlign w:val="bottom"/>
          </w:tcPr>
          <w:p>
            <w:pPr>
              <w:jc w:val="right"/>
              <w:ind w:right="442"/>
              <w:spacing w:after="0"/>
              <w:rPr>
                <w:sz w:val="20"/>
                <w:szCs w:val="20"/>
                <w:color w:val="auto"/>
              </w:rPr>
            </w:pPr>
            <w:r>
              <w:rPr>
                <w:rFonts w:ascii="Arial" w:cs="Arial" w:eastAsia="Arial" w:hAnsi="Arial"/>
                <w:sz w:val="16"/>
                <w:szCs w:val="16"/>
                <w:color w:val="auto"/>
              </w:rPr>
              <w:t>1,335</w:t>
            </w:r>
          </w:p>
        </w:tc>
        <w:tc>
          <w:tcPr>
            <w:tcW w:w="1000" w:type="dxa"/>
            <w:vAlign w:val="bottom"/>
          </w:tcPr>
          <w:p>
            <w:pPr>
              <w:jc w:val="right"/>
              <w:ind w:right="562"/>
              <w:spacing w:after="0"/>
              <w:rPr>
                <w:sz w:val="20"/>
                <w:szCs w:val="20"/>
                <w:color w:val="auto"/>
              </w:rPr>
            </w:pPr>
            <w:r>
              <w:rPr>
                <w:rFonts w:ascii="Arial" w:cs="Arial" w:eastAsia="Arial" w:hAnsi="Arial"/>
                <w:sz w:val="16"/>
                <w:szCs w:val="16"/>
                <w:color w:val="auto"/>
              </w:rPr>
              <w:t>28.3</w:t>
            </w:r>
          </w:p>
        </w:tc>
        <w:tc>
          <w:tcPr>
            <w:tcW w:w="1080" w:type="dxa"/>
            <w:vAlign w:val="bottom"/>
          </w:tcPr>
          <w:p>
            <w:pPr>
              <w:jc w:val="right"/>
              <w:ind w:right="422"/>
              <w:spacing w:after="0"/>
              <w:rPr>
                <w:sz w:val="20"/>
                <w:szCs w:val="20"/>
                <w:color w:val="auto"/>
              </w:rPr>
            </w:pPr>
            <w:r>
              <w:rPr>
                <w:rFonts w:ascii="Arial" w:cs="Arial" w:eastAsia="Arial" w:hAnsi="Arial"/>
                <w:sz w:val="16"/>
                <w:szCs w:val="16"/>
                <w:color w:val="auto"/>
              </w:rPr>
              <w:t>955</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28.4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6"/>
                <w:szCs w:val="16"/>
                <w:color w:val="auto"/>
              </w:rPr>
              <w:t>1,103</w:t>
            </w:r>
          </w:p>
        </w:tc>
        <w:tc>
          <w:tcPr>
            <w:tcW w:w="10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6"/>
                <w:szCs w:val="16"/>
                <w:color w:val="auto"/>
              </w:rPr>
              <w:t>23.4</w:t>
            </w:r>
          </w:p>
        </w:tc>
        <w:tc>
          <w:tcPr>
            <w:tcW w:w="108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6"/>
                <w:szCs w:val="16"/>
                <w:color w:val="auto"/>
              </w:rPr>
              <w:t>633</w:t>
            </w: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18.8</w:t>
            </w: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20"/>
                <w:szCs w:val="20"/>
                <w:color w:val="auto"/>
              </w:rPr>
            </w:pPr>
          </w:p>
        </w:tc>
        <w:tc>
          <w:tcPr>
            <w:tcW w:w="1100" w:type="dxa"/>
            <w:vAlign w:val="bottom"/>
          </w:tcPr>
          <w:p>
            <w:pPr>
              <w:jc w:val="right"/>
              <w:ind w:right="442"/>
              <w:spacing w:after="0"/>
              <w:rPr>
                <w:sz w:val="20"/>
                <w:szCs w:val="20"/>
                <w:color w:val="auto"/>
              </w:rPr>
            </w:pPr>
            <w:r>
              <w:rPr>
                <w:rFonts w:ascii="Arial" w:cs="Arial" w:eastAsia="Arial" w:hAnsi="Arial"/>
                <w:sz w:val="16"/>
                <w:szCs w:val="16"/>
                <w:color w:val="auto"/>
              </w:rPr>
              <w:t>232</w:t>
            </w:r>
          </w:p>
        </w:tc>
        <w:tc>
          <w:tcPr>
            <w:tcW w:w="1000" w:type="dxa"/>
            <w:vAlign w:val="bottom"/>
          </w:tcPr>
          <w:p>
            <w:pPr>
              <w:jc w:val="right"/>
              <w:ind w:right="562"/>
              <w:spacing w:after="0"/>
              <w:rPr>
                <w:sz w:val="20"/>
                <w:szCs w:val="20"/>
                <w:color w:val="auto"/>
              </w:rPr>
            </w:pPr>
            <w:r>
              <w:rPr>
                <w:rFonts w:ascii="Arial" w:cs="Arial" w:eastAsia="Arial" w:hAnsi="Arial"/>
                <w:sz w:val="16"/>
                <w:szCs w:val="16"/>
                <w:color w:val="auto"/>
              </w:rPr>
              <w:t>4.9</w:t>
            </w:r>
          </w:p>
        </w:tc>
        <w:tc>
          <w:tcPr>
            <w:tcW w:w="1080" w:type="dxa"/>
            <w:vAlign w:val="bottom"/>
          </w:tcPr>
          <w:p>
            <w:pPr>
              <w:jc w:val="right"/>
              <w:ind w:right="422"/>
              <w:spacing w:after="0"/>
              <w:rPr>
                <w:sz w:val="20"/>
                <w:szCs w:val="20"/>
                <w:color w:val="auto"/>
              </w:rPr>
            </w:pPr>
            <w:r>
              <w:rPr>
                <w:rFonts w:ascii="Arial" w:cs="Arial" w:eastAsia="Arial" w:hAnsi="Arial"/>
                <w:sz w:val="16"/>
                <w:szCs w:val="16"/>
                <w:color w:val="auto"/>
              </w:rPr>
              <w:t>322</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9.6</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(366)</w:t>
            </w:r>
          </w:p>
        </w:tc>
        <w:tc>
          <w:tcPr>
            <w:tcW w:w="1000" w:type="dxa"/>
            <w:vAlign w:val="bottom"/>
            <w:shd w:val="clear" w:color="auto" w:fill="CCEEFF"/>
          </w:tcPr>
          <w:p>
            <w:pPr>
              <w:jc w:val="right"/>
              <w:ind w:right="502"/>
              <w:spacing w:after="0"/>
              <w:rPr>
                <w:sz w:val="20"/>
                <w:szCs w:val="20"/>
                <w:color w:val="auto"/>
              </w:rPr>
            </w:pPr>
            <w:r>
              <w:rPr>
                <w:rFonts w:ascii="Arial" w:cs="Arial" w:eastAsia="Arial" w:hAnsi="Arial"/>
                <w:sz w:val="16"/>
                <w:szCs w:val="16"/>
                <w:color w:val="auto"/>
              </w:rPr>
              <w:t>(7.8)</w:t>
            </w:r>
          </w:p>
        </w:tc>
        <w:tc>
          <w:tcPr>
            <w:tcW w:w="108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283</w:t>
            </w:r>
          </w:p>
        </w:tc>
        <w:tc>
          <w:tcPr>
            <w:tcW w:w="6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8.4</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33"/>
        </w:trPr>
        <w:tc>
          <w:tcPr>
            <w:tcW w:w="6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financial performance for the first quarter of 2017 compared to the first quarter of 2016:</w:t>
      </w:r>
    </w:p>
    <w:p>
      <w:pPr>
        <w:spacing w:after="0" w:line="117" w:lineRule="exact"/>
        <w:rPr>
          <w:sz w:val="20"/>
          <w:szCs w:val="20"/>
          <w:color w:val="auto"/>
        </w:rPr>
      </w:pPr>
    </w:p>
    <w:p>
      <w:pPr>
        <w:ind w:left="660" w:right="14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revenue increased by 40.3% to $4.7 billion on higher revenues related to our NAND-flash memory products due primarily to our acquisition of SanDisk Corporation (“SanDisk”), partially offset by lower HDD unit shipments, as compared to net revenue of $3.4 billion in the prior year.</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as a percentage of net revenue was 28.3%, as compared to 28.4% in the prior year.</w:t>
      </w:r>
    </w:p>
    <w:p>
      <w:pPr>
        <w:spacing w:after="0" w:line="117"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decreased to $232 million, as compared to $322 million in the prior year. Operating income in the first quarter of 2017 included $263 million of amortization of intangible assets and $68 million of employee termination, contract terminations and other charges, as compared to $23 million and $56 million in the first quarter of 2016, respectively.</w:t>
      </w:r>
    </w:p>
    <w:p>
      <w:pPr>
        <w:spacing w:after="0" w:line="73"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first quarter of 2017 reflected a net loss of $366 million, or a loss of $1.28 per diluted share, as compared to net income of $283 million, or income of $1.21 per diluted share, in the prior year.</w:t>
      </w:r>
    </w:p>
    <w:p>
      <w:pPr>
        <w:spacing w:after="0" w:line="62"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sets forth, for the periods presented, summary information regarding unit shipments, average selling prices (“ASPs”) and net revenues by geography and channel: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260" w:type="dxa"/>
            <w:vAlign w:val="bottom"/>
          </w:tcPr>
          <w:p>
            <w:pPr>
              <w:jc w:val="right"/>
              <w:ind w:right="380"/>
              <w:spacing w:after="0" w:line="153" w:lineRule="exact"/>
              <w:rPr>
                <w:sz w:val="20"/>
                <w:szCs w:val="20"/>
                <w:color w:val="auto"/>
              </w:rPr>
            </w:pPr>
            <w:r>
              <w:rPr>
                <w:rFonts w:ascii="Arial" w:cs="Arial" w:eastAsia="Arial" w:hAnsi="Arial"/>
                <w:sz w:val="14"/>
                <w:szCs w:val="14"/>
                <w:b w:val="1"/>
                <w:bCs w:val="1"/>
                <w:color w:val="auto"/>
              </w:rPr>
              <w:t>October 2,</w:t>
            </w:r>
          </w:p>
        </w:tc>
      </w:tr>
      <w:tr>
        <w:trPr>
          <w:trHeight w:val="192"/>
        </w:trPr>
        <w:tc>
          <w:tcPr>
            <w:tcW w:w="8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r>
      <w:tr>
        <w:trPr>
          <w:trHeight w:val="190"/>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4"/>
          </w:tcPr>
          <w:p>
            <w:pPr>
              <w:jc w:val="right"/>
              <w:ind w:right="240"/>
              <w:spacing w:after="0"/>
              <w:rPr>
                <w:sz w:val="20"/>
                <w:szCs w:val="20"/>
                <w:color w:val="auto"/>
              </w:rPr>
            </w:pPr>
            <w:r>
              <w:rPr>
                <w:rFonts w:ascii="Arial" w:cs="Arial" w:eastAsia="Arial" w:hAnsi="Arial"/>
                <w:sz w:val="14"/>
                <w:szCs w:val="14"/>
                <w:i w:val="1"/>
                <w:iCs w:val="1"/>
                <w:color w:val="auto"/>
                <w:w w:val="96"/>
              </w:rPr>
              <w:t>(in millions, except percentages and ASPs)</w:t>
            </w:r>
          </w:p>
        </w:tc>
      </w:tr>
      <w:tr>
        <w:trPr>
          <w:trHeight w:val="66"/>
        </w:trPr>
        <w:tc>
          <w:tcPr>
            <w:tcW w:w="8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3,360</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HDD ASPs (per unit)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60</w:t>
            </w:r>
          </w:p>
        </w:tc>
      </w:tr>
      <w:tr>
        <w:trPr>
          <w:trHeight w:val="33"/>
        </w:trPr>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Revenues by Geography (%)</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280" w:type="dxa"/>
            <w:vAlign w:val="bottom"/>
          </w:tcPr>
          <w:p>
            <w:pPr>
              <w:ind w:left="28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Europe, Middle East and Africa</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r>
      <w:tr>
        <w:trPr>
          <w:trHeight w:val="237"/>
        </w:trPr>
        <w:tc>
          <w:tcPr>
            <w:tcW w:w="8280" w:type="dxa"/>
            <w:vAlign w:val="bottom"/>
          </w:tcPr>
          <w:p>
            <w:pPr>
              <w:ind w:left="280"/>
              <w:spacing w:after="0"/>
              <w:rPr>
                <w:sz w:val="20"/>
                <w:szCs w:val="20"/>
                <w:color w:val="auto"/>
              </w:rPr>
            </w:pPr>
            <w:r>
              <w:rPr>
                <w:rFonts w:ascii="Arial" w:cs="Arial" w:eastAsia="Arial" w:hAnsi="Arial"/>
                <w:sz w:val="16"/>
                <w:szCs w:val="16"/>
                <w:color w:val="auto"/>
              </w:rPr>
              <w:t>Asia</w:t>
            </w:r>
          </w:p>
        </w:tc>
        <w:tc>
          <w:tcPr>
            <w:tcW w:w="22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49</w:t>
            </w:r>
          </w:p>
        </w:tc>
      </w:tr>
      <w:tr>
        <w:trPr>
          <w:trHeight w:val="33"/>
        </w:trPr>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Revenues by Channel (%)</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280" w:type="dxa"/>
            <w:vAlign w:val="bottom"/>
          </w:tcPr>
          <w:p>
            <w:pPr>
              <w:ind w:left="280"/>
              <w:spacing w:after="0"/>
              <w:rPr>
                <w:sz w:val="20"/>
                <w:szCs w:val="20"/>
                <w:color w:val="auto"/>
              </w:rPr>
            </w:pPr>
            <w:r>
              <w:rPr>
                <w:rFonts w:ascii="Arial" w:cs="Arial" w:eastAsia="Arial" w:hAnsi="Arial"/>
                <w:sz w:val="16"/>
                <w:szCs w:val="16"/>
                <w:color w:val="auto"/>
              </w:rPr>
              <w:t>Original Equipment Manufacturers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Distributors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r>
      <w:tr>
        <w:trPr>
          <w:trHeight w:val="237"/>
        </w:trPr>
        <w:tc>
          <w:tcPr>
            <w:tcW w:w="8280" w:type="dxa"/>
            <w:vAlign w:val="bottom"/>
          </w:tcPr>
          <w:p>
            <w:pPr>
              <w:ind w:left="280"/>
              <w:spacing w:after="0"/>
              <w:rPr>
                <w:sz w:val="20"/>
                <w:szCs w:val="20"/>
                <w:color w:val="auto"/>
              </w:rPr>
            </w:pPr>
            <w:r>
              <w:rPr>
                <w:rFonts w:ascii="Arial" w:cs="Arial" w:eastAsia="Arial" w:hAnsi="Arial"/>
                <w:sz w:val="16"/>
                <w:szCs w:val="16"/>
                <w:color w:val="auto"/>
              </w:rPr>
              <w:t>Retailers</w:t>
            </w:r>
          </w:p>
        </w:tc>
        <w:tc>
          <w:tcPr>
            <w:tcW w:w="22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12</w:t>
            </w:r>
          </w:p>
        </w:tc>
      </w:tr>
      <w:tr>
        <w:trPr>
          <w:trHeight w:val="33"/>
        </w:trPr>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HDD Unit Shipments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280" w:type="dxa"/>
            <w:vAlign w:val="bottom"/>
          </w:tcPr>
          <w:p>
            <w:pPr>
              <w:ind w:left="280"/>
              <w:spacing w:after="0"/>
              <w:rPr>
                <w:sz w:val="20"/>
                <w:szCs w:val="20"/>
                <w:color w:val="auto"/>
              </w:rPr>
            </w:pPr>
            <w:r>
              <w:rPr>
                <w:rFonts w:ascii="Arial" w:cs="Arial" w:eastAsia="Arial" w:hAnsi="Arial"/>
                <w:sz w:val="16"/>
                <w:szCs w:val="16"/>
                <w:color w:val="auto"/>
              </w:rPr>
              <w:t>PC</w:t>
            </w:r>
          </w:p>
        </w:tc>
        <w:tc>
          <w:tcPr>
            <w:tcW w:w="22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28</w:t>
            </w:r>
          </w:p>
        </w:tc>
      </w:tr>
      <w:tr>
        <w:trPr>
          <w:trHeight w:val="33"/>
        </w:trPr>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Non-PC</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w:t>
            </w:r>
          </w:p>
        </w:tc>
      </w:tr>
      <w:tr>
        <w:trPr>
          <w:trHeight w:val="217"/>
        </w:trPr>
        <w:tc>
          <w:tcPr>
            <w:tcW w:w="8280" w:type="dxa"/>
            <w:vAlign w:val="bottom"/>
          </w:tcPr>
          <w:p>
            <w:pPr>
              <w:ind w:left="500"/>
              <w:spacing w:after="0"/>
              <w:rPr>
                <w:sz w:val="20"/>
                <w:szCs w:val="20"/>
                <w:color w:val="auto"/>
              </w:rPr>
            </w:pPr>
            <w:r>
              <w:rPr>
                <w:rFonts w:ascii="Arial" w:cs="Arial" w:eastAsia="Arial" w:hAnsi="Arial"/>
                <w:sz w:val="16"/>
                <w:szCs w:val="16"/>
                <w:color w:val="auto"/>
              </w:rPr>
              <w:t>Total units shipped</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52</w:t>
            </w:r>
          </w:p>
        </w:tc>
      </w:tr>
      <w:tr>
        <w:trPr>
          <w:trHeight w:val="33"/>
        </w:trPr>
        <w:tc>
          <w:tcPr>
            <w:tcW w:w="8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460" w:firstLine="405"/>
        <w:spacing w:after="0" w:line="257" w:lineRule="auto"/>
        <w:rPr>
          <w:sz w:val="20"/>
          <w:szCs w:val="20"/>
          <w:color w:val="auto"/>
        </w:rPr>
      </w:pPr>
      <w:r>
        <w:rPr>
          <w:rFonts w:ascii="Arial" w:cs="Arial" w:eastAsia="Arial" w:hAnsi="Arial"/>
          <w:sz w:val="18"/>
          <w:szCs w:val="18"/>
          <w:color w:val="auto"/>
        </w:rPr>
        <w:t>Net revenue for the three months ended September 30, 2016 increased $1.35 billion, or 40%, from the prior year, which reflects an increase from NAND-flash products from our acquisition of SanDisk, partially offset by lower HDD unit shipments. Total HDD shipments for the three months ended September 30, 2016 decreased to 48 million units, as compared to 52 million units in the prior year, primarily due to lower HDD shipments for personal computer (“PC”) and performance enterprise. This was partially offset by an increase in HDD ASP per unit of $1 from the prior year, primarily due to a change in product mix driven by increased capacity enterprise shipments.</w:t>
      </w:r>
    </w:p>
    <w:p>
      <w:pPr>
        <w:spacing w:after="0" w:line="8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For the three months ended September 30, 2016, no customer accounted for 10% or more of our net revenue. For the three months ended October 2, 2015, one customer, Hewlett-Packard Company, accounted for 13% of our net revenue. For the three months ended September 30, 2016 and October 2, 2015, our top 10 customers accounted for 43% and 44%, respectively, of our net revenue.</w:t>
      </w:r>
    </w:p>
    <w:p>
      <w:pPr>
        <w:spacing w:after="0" w:line="73"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Consistent with standard industry practice, we have sales incentive and marketing programs that provide customers with price protection and other incentives or reimbursements that are recorded as a reduction to gross revenue. For each of the three months ended September 30, 2016 and October 2, 2015, these programs represented 8% and 11% of gross revenues, respectively. These amounts generally vary according to several factors including industry conditions, seasonal demand, competitor actions, channel mix and overall availability of products. Changes in future customer demand and market conditions may require us to adjust our incentive programs as a percentage of gross revenue.</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 by Geography</w:t>
      </w:r>
    </w:p>
    <w:p>
      <w:pPr>
        <w:spacing w:after="0" w:line="11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Changes in the mix of net revenue by geography for the three months ended September 30, 2016, compared to the prior year, reflect the additional revenues from NAND-flash products from our acquisition of SanDisk which have a larger market in the Americas.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 by Channel</w:t>
      </w:r>
    </w:p>
    <w:p>
      <w:pPr>
        <w:spacing w:after="0" w:line="11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Changes in the mix of net revenue by channel for the three months ended September 30, 2016, compared to the prior year, also reflect the increase in revenues from NAND-flash products from our acquisition of SanDisk which has a higher market presence in retail.</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Gross profit for the three months ended September 30, 2016 was $1.3 billion, an increase of $380 million from the prior year driven by the increased revenues from NAND-flash products from our acquisition of SanDisk. Gross profit as a percentage of net revenue was 28.3% in the three months ended September 30, 2016, as compared to 28.4% in the prior year. Gross profit in the current year was negatively impacted by amortization expense on acquired intangible assets, acquisition related charges, and charges related to the implementation of cost-saving initiatives, which aggregated $249 million or 5.3% of revenue, compared to $17 million or 0.5% in the prior year. The current year costs were largely offset by higher margins on NAND-flash memory products, increased HDD ASPs, and cost improvements resulting from increased volumes and integration activities.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52"/>
        </w:trPr>
        <w:tc>
          <w:tcPr>
            <w:tcW w:w="6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780" w:type="dxa"/>
            <w:vAlign w:val="bottom"/>
            <w:gridSpan w:val="3"/>
          </w:tcPr>
          <w:p>
            <w:pPr>
              <w:jc w:val="center"/>
              <w:ind w:right="121"/>
              <w:spacing w:after="0" w:line="153" w:lineRule="exact"/>
              <w:rPr>
                <w:sz w:val="20"/>
                <w:szCs w:val="20"/>
                <w:color w:val="auto"/>
              </w:rPr>
            </w:pPr>
            <w:r>
              <w:rPr>
                <w:rFonts w:ascii="Arial" w:cs="Arial" w:eastAsia="Arial" w:hAnsi="Arial"/>
                <w:sz w:val="14"/>
                <w:szCs w:val="14"/>
                <w:b w:val="1"/>
                <w:bCs w:val="1"/>
                <w:color w:val="auto"/>
                <w:w w:val="95"/>
              </w:rPr>
              <w:t>October 2,</w:t>
            </w:r>
          </w:p>
        </w:tc>
        <w:tc>
          <w:tcPr>
            <w:tcW w:w="940" w:type="dxa"/>
            <w:vAlign w:val="bottom"/>
          </w:tcPr>
          <w:p>
            <w:pPr>
              <w:spacing w:after="0"/>
              <w:rPr>
                <w:sz w:val="13"/>
                <w:szCs w:val="13"/>
                <w:color w:val="auto"/>
              </w:rPr>
            </w:pPr>
          </w:p>
        </w:tc>
      </w:tr>
      <w:tr>
        <w:trPr>
          <w:trHeight w:val="192"/>
        </w:trPr>
        <w:tc>
          <w:tcPr>
            <w:tcW w:w="6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64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of Rev</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 of Rev</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 Change</w:t>
            </w:r>
          </w:p>
        </w:tc>
      </w:tr>
      <w:tr>
        <w:trPr>
          <w:trHeight w:val="190"/>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6"/>
          </w:tcPr>
          <w:p>
            <w:pPr>
              <w:jc w:val="right"/>
              <w:ind w:right="521"/>
              <w:spacing w:after="0"/>
              <w:rPr>
                <w:sz w:val="20"/>
                <w:szCs w:val="20"/>
                <w:color w:val="auto"/>
              </w:rPr>
            </w:pPr>
            <w:r>
              <w:rPr>
                <w:rFonts w:ascii="Arial" w:cs="Arial" w:eastAsia="Arial" w:hAnsi="Arial"/>
                <w:sz w:val="14"/>
                <w:szCs w:val="14"/>
                <w:i w:val="1"/>
                <w:iCs w:val="1"/>
                <w:color w:val="auto"/>
              </w:rPr>
              <w:t>(in millions, except percentages)</w:t>
            </w:r>
          </w:p>
        </w:tc>
        <w:tc>
          <w:tcPr>
            <w:tcW w:w="940" w:type="dxa"/>
            <w:vAlign w:val="bottom"/>
          </w:tcPr>
          <w:p>
            <w:pPr>
              <w:spacing w:after="0"/>
              <w:rPr>
                <w:sz w:val="16"/>
                <w:szCs w:val="16"/>
                <w:color w:val="auto"/>
              </w:rPr>
            </w:pPr>
          </w:p>
        </w:tc>
      </w:tr>
      <w:tr>
        <w:trPr>
          <w:trHeight w:val="66"/>
        </w:trPr>
        <w:tc>
          <w:tcPr>
            <w:tcW w:w="6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639</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385</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396</w:t>
            </w:r>
          </w:p>
        </w:tc>
        <w:tc>
          <w:tcPr>
            <w:tcW w:w="180" w:type="dxa"/>
            <w:vAlign w:val="bottom"/>
          </w:tcPr>
          <w:p>
            <w:pPr>
              <w:spacing w:after="0"/>
              <w:rPr>
                <w:sz w:val="20"/>
                <w:szCs w:val="20"/>
                <w:color w:val="auto"/>
              </w:rPr>
            </w:pPr>
          </w:p>
        </w:tc>
        <w:tc>
          <w:tcPr>
            <w:tcW w:w="760" w:type="dxa"/>
            <w:vAlign w:val="bottom"/>
          </w:tcPr>
          <w:p>
            <w:pPr>
              <w:jc w:val="right"/>
              <w:ind w:right="83"/>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20"/>
                <w:szCs w:val="20"/>
                <w:color w:val="auto"/>
              </w:rPr>
            </w:pPr>
          </w:p>
        </w:tc>
        <w:tc>
          <w:tcPr>
            <w:tcW w:w="760" w:type="dxa"/>
            <w:vAlign w:val="bottom"/>
          </w:tcPr>
          <w:p>
            <w:pPr>
              <w:jc w:val="right"/>
              <w:ind w:right="81"/>
              <w:spacing w:after="0"/>
              <w:rPr>
                <w:sz w:val="20"/>
                <w:szCs w:val="20"/>
                <w:color w:val="auto"/>
              </w:rPr>
            </w:pPr>
            <w:r>
              <w:rPr>
                <w:rFonts w:ascii="Arial" w:cs="Arial" w:eastAsia="Arial" w:hAnsi="Arial"/>
                <w:sz w:val="16"/>
                <w:szCs w:val="16"/>
                <w:color w:val="auto"/>
              </w:rPr>
              <w:t>5.7</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106</w:t>
            </w:r>
          </w:p>
        </w:tc>
      </w:tr>
      <w:tr>
        <w:trPr>
          <w:trHeight w:val="33"/>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asset impairment and other charges</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68</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56</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w:t>
            </w: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21</w:t>
            </w:r>
          </w:p>
        </w:tc>
      </w:tr>
      <w:tr>
        <w:trPr>
          <w:trHeight w:val="217"/>
        </w:trPr>
        <w:tc>
          <w:tcPr>
            <w:tcW w:w="646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1,103</w:t>
            </w:r>
          </w:p>
        </w:tc>
        <w:tc>
          <w:tcPr>
            <w:tcW w:w="180" w:type="dxa"/>
            <w:vAlign w:val="bottom"/>
          </w:tcPr>
          <w:p>
            <w:pPr>
              <w:spacing w:after="0"/>
              <w:rPr>
                <w:sz w:val="18"/>
                <w:szCs w:val="18"/>
                <w:color w:val="auto"/>
              </w:rPr>
            </w:pPr>
          </w:p>
        </w:tc>
        <w:tc>
          <w:tcPr>
            <w:tcW w:w="760" w:type="dxa"/>
            <w:vAlign w:val="bottom"/>
          </w:tcPr>
          <w:p>
            <w:pPr>
              <w:jc w:val="right"/>
              <w:ind w:right="83"/>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633</w:t>
            </w:r>
          </w:p>
        </w:tc>
        <w:tc>
          <w:tcPr>
            <w:tcW w:w="200" w:type="dxa"/>
            <w:vAlign w:val="bottom"/>
          </w:tcPr>
          <w:p>
            <w:pPr>
              <w:spacing w:after="0"/>
              <w:rPr>
                <w:sz w:val="18"/>
                <w:szCs w:val="18"/>
                <w:color w:val="auto"/>
              </w:rPr>
            </w:pPr>
          </w:p>
        </w:tc>
        <w:tc>
          <w:tcPr>
            <w:tcW w:w="760" w:type="dxa"/>
            <w:vAlign w:val="bottom"/>
          </w:tcPr>
          <w:p>
            <w:pPr>
              <w:jc w:val="right"/>
              <w:ind w:right="81"/>
              <w:spacing w:after="0"/>
              <w:rPr>
                <w:sz w:val="20"/>
                <w:szCs w:val="20"/>
                <w:color w:val="auto"/>
              </w:rPr>
            </w:pPr>
            <w:r>
              <w:rPr>
                <w:rFonts w:ascii="Arial" w:cs="Arial" w:eastAsia="Arial" w:hAnsi="Arial"/>
                <w:sz w:val="16"/>
                <w:szCs w:val="16"/>
                <w:color w:val="auto"/>
              </w:rPr>
              <w:t>18.8</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74</w:t>
            </w:r>
          </w:p>
        </w:tc>
      </w:tr>
      <w:tr>
        <w:trPr>
          <w:trHeight w:val="33"/>
        </w:trPr>
        <w:tc>
          <w:tcPr>
            <w:tcW w:w="6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bl>
    <w:p>
      <w:pPr>
        <w:spacing w:after="0" w:line="9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increase in research and development (“R&amp;D”) expense in the three months ended September 30, 2016, compared to the prior year, was primarily related to our acquisition of SanDisk and continued development of NAND technology to complement our existing product offerings. These costs were partially offset by cost savings from our integration activities.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The increase in selling, general and administrative (“SG&amp;A”) expense in the three months ended September 30, 2016, compared to the prior year, was primarily related to our acquisition of SanDisk. The current year also included an aggregate of $77 million in charges related to amortization expense on acquired intangible assets, acquisition related charges, and charges related to the implementation of cost-saving initiatives, compared to $9 million of such charges in the prior year. These costs were partially offset by cost savings from our integration activities.</w:t>
      </w:r>
    </w:p>
    <w:p>
      <w:pPr>
        <w:spacing w:after="0" w:line="6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Employee termination and other charges were $68 million in the three months ended September 30, 2016, an increase of $12 million from the prior year. The charges of $68 million for the three months ended September 30, 2016 consisted of $47 million of employee termination costs and $21 million of contract termination and other charges. The charges of $56 million for the three months ended October 2, 2015, consisted of $38 million of employee termination, $8 million of asset impairment and $10 million of contract termination and other charges. For additional information regarding employee termination, asset impairment and other charges, see Part I, Item 1, Note 15 of the Notes to Condensed Consolidated Financial Statements included in this Quarterly Report on Form 10-Q.</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Income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52"/>
        </w:trPr>
        <w:tc>
          <w:tcPr>
            <w:tcW w:w="16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4"/>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820" w:type="dxa"/>
            <w:vAlign w:val="bottom"/>
            <w:gridSpan w:val="3"/>
          </w:tcPr>
          <w:p>
            <w:pPr>
              <w:jc w:val="center"/>
              <w:ind w:right="121"/>
              <w:spacing w:after="0" w:line="153" w:lineRule="exact"/>
              <w:rPr>
                <w:sz w:val="20"/>
                <w:szCs w:val="20"/>
                <w:color w:val="auto"/>
              </w:rPr>
            </w:pPr>
            <w:r>
              <w:rPr>
                <w:rFonts w:ascii="Arial" w:cs="Arial" w:eastAsia="Arial" w:hAnsi="Arial"/>
                <w:sz w:val="14"/>
                <w:szCs w:val="14"/>
                <w:b w:val="1"/>
                <w:bCs w:val="1"/>
                <w:color w:val="auto"/>
                <w:w w:val="95"/>
              </w:rPr>
              <w:t>October 2,</w:t>
            </w:r>
          </w:p>
        </w:tc>
        <w:tc>
          <w:tcPr>
            <w:tcW w:w="940" w:type="dxa"/>
            <w:vAlign w:val="bottom"/>
          </w:tcPr>
          <w:p>
            <w:pPr>
              <w:spacing w:after="0"/>
              <w:rPr>
                <w:sz w:val="13"/>
                <w:szCs w:val="13"/>
                <w:color w:val="auto"/>
              </w:rPr>
            </w:pPr>
          </w:p>
        </w:tc>
      </w:tr>
      <w:tr>
        <w:trPr>
          <w:trHeight w:val="192"/>
        </w:trPr>
        <w:tc>
          <w:tcPr>
            <w:tcW w:w="16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16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of Rev</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of Rev</w:t>
            </w:r>
          </w:p>
        </w:tc>
        <w:tc>
          <w:tcPr>
            <w:tcW w:w="94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4"/>
              </w:rPr>
              <w:t>% Change</w:t>
            </w:r>
          </w:p>
        </w:tc>
      </w:tr>
      <w:tr>
        <w:trPr>
          <w:trHeight w:val="190"/>
        </w:trPr>
        <w:tc>
          <w:tcPr>
            <w:tcW w:w="16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6"/>
          </w:tcPr>
          <w:p>
            <w:pPr>
              <w:jc w:val="right"/>
              <w:ind w:right="561"/>
              <w:spacing w:after="0"/>
              <w:rPr>
                <w:sz w:val="20"/>
                <w:szCs w:val="20"/>
                <w:color w:val="auto"/>
              </w:rPr>
            </w:pPr>
            <w:r>
              <w:rPr>
                <w:rFonts w:ascii="Arial" w:cs="Arial" w:eastAsia="Arial" w:hAnsi="Arial"/>
                <w:sz w:val="14"/>
                <w:szCs w:val="14"/>
                <w:i w:val="1"/>
                <w:iCs w:val="1"/>
                <w:color w:val="auto"/>
              </w:rPr>
              <w:t>(in millions, except percentages)</w:t>
            </w:r>
          </w:p>
        </w:tc>
        <w:tc>
          <w:tcPr>
            <w:tcW w:w="94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9"/>
              </w:rPr>
              <w:t>—%</w:t>
            </w: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w:t>
            </w:r>
          </w:p>
        </w:tc>
        <w:tc>
          <w:tcPr>
            <w:tcW w:w="200" w:type="dxa"/>
            <w:vAlign w:val="bottom"/>
          </w:tcPr>
          <w:p>
            <w:pPr>
              <w:spacing w:after="0"/>
              <w:rPr>
                <w:sz w:val="20"/>
                <w:szCs w:val="20"/>
                <w:color w:val="auto"/>
              </w:rPr>
            </w:pP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0"/>
                <w:szCs w:val="20"/>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(0.4)</w:t>
            </w:r>
          </w:p>
        </w:tc>
        <w:tc>
          <w:tcPr>
            <w:tcW w:w="940" w:type="dxa"/>
            <w:vAlign w:val="bottom"/>
          </w:tcPr>
          <w:p>
            <w:pPr>
              <w:jc w:val="center"/>
              <w:ind w:left="21"/>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center"/>
              <w:ind w:left="21"/>
              <w:spacing w:after="0"/>
              <w:rPr>
                <w:sz w:val="20"/>
                <w:szCs w:val="20"/>
                <w:color w:val="auto"/>
              </w:rPr>
            </w:pPr>
            <w:r>
              <w:rPr>
                <w:rFonts w:ascii="Arial" w:cs="Arial" w:eastAsia="Arial" w:hAnsi="Arial"/>
                <w:sz w:val="16"/>
                <w:szCs w:val="16"/>
                <w:color w:val="auto"/>
              </w:rPr>
              <w:t>**</w:t>
            </w:r>
          </w:p>
        </w:tc>
      </w:tr>
      <w:tr>
        <w:trPr>
          <w:trHeight w:val="244"/>
        </w:trPr>
        <w:tc>
          <w:tcPr>
            <w:tcW w:w="636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income (expense),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200" w:type="dxa"/>
            <w:vAlign w:val="bottom"/>
          </w:tcPr>
          <w:p>
            <w:pPr>
              <w:spacing w:after="0"/>
              <w:rPr>
                <w:sz w:val="21"/>
                <w:szCs w:val="21"/>
                <w:color w:val="auto"/>
              </w:rPr>
            </w:pP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1"/>
                <w:szCs w:val="21"/>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(0.2)</w:t>
            </w:r>
          </w:p>
        </w:tc>
        <w:tc>
          <w:tcPr>
            <w:tcW w:w="940" w:type="dxa"/>
            <w:vAlign w:val="bottom"/>
          </w:tcPr>
          <w:p>
            <w:pPr>
              <w:jc w:val="center"/>
              <w:ind w:left="21"/>
              <w:spacing w:after="0"/>
              <w:rPr>
                <w:sz w:val="20"/>
                <w:szCs w:val="20"/>
                <w:color w:val="auto"/>
              </w:rPr>
            </w:pPr>
            <w:r>
              <w:rPr>
                <w:rFonts w:ascii="Arial" w:cs="Arial" w:eastAsia="Arial" w:hAnsi="Arial"/>
                <w:sz w:val="16"/>
                <w:szCs w:val="16"/>
                <w:color w:val="auto"/>
              </w:rPr>
              <w:t>**</w:t>
            </w:r>
          </w:p>
        </w:tc>
      </w:tr>
      <w:tr>
        <w:trPr>
          <w:trHeight w:val="20"/>
        </w:trPr>
        <w:tc>
          <w:tcPr>
            <w:tcW w:w="16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4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bl>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Amount not meaningful.</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Interest expense increased for the three months ended September 30, 2016, compared to the same period in 2016, primarily due to the additional debt issued in connection with the acquisition of SanDisk.</w:t>
      </w:r>
    </w:p>
    <w:p>
      <w:pPr>
        <w:spacing w:after="0" w:line="62"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Other income (expense), net for the three months ended September 30, 2016 was primarily comprised of the write-off of debt issuance costs on the settlement of the original U.S. Term Loan B and Euro Term Loan B, and loss on the settlement of our convertible debt instruments.</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center"/>
              <w:ind w:left="406"/>
              <w:spacing w:after="0"/>
              <w:rPr>
                <w:sz w:val="20"/>
                <w:szCs w:val="20"/>
                <w:color w:val="auto"/>
              </w:rPr>
            </w:pPr>
            <w:r>
              <w:rPr>
                <w:rFonts w:ascii="Arial" w:cs="Arial" w:eastAsia="Arial" w:hAnsi="Arial"/>
                <w:sz w:val="14"/>
                <w:szCs w:val="14"/>
                <w:b w:val="1"/>
                <w:bCs w:val="1"/>
                <w:color w:val="auto"/>
                <w:w w:val="95"/>
              </w:rPr>
              <w:t>Three Months Ended</w:t>
            </w: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52"/>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4"/>
          </w:tcPr>
          <w:p>
            <w:pPr>
              <w:jc w:val="right"/>
              <w:ind w:right="880"/>
              <w:spacing w:after="0" w:line="153" w:lineRule="exact"/>
              <w:rPr>
                <w:sz w:val="20"/>
                <w:szCs w:val="20"/>
                <w:color w:val="auto"/>
              </w:rPr>
            </w:pPr>
            <w:r>
              <w:rPr>
                <w:rFonts w:ascii="Arial" w:cs="Arial" w:eastAsia="Arial" w:hAnsi="Arial"/>
                <w:sz w:val="14"/>
                <w:szCs w:val="14"/>
                <w:b w:val="1"/>
                <w:bCs w:val="1"/>
                <w:color w:val="auto"/>
              </w:rPr>
              <w:t>September 30,</w:t>
            </w:r>
          </w:p>
        </w:tc>
        <w:tc>
          <w:tcPr>
            <w:tcW w:w="1760" w:type="dxa"/>
            <w:vAlign w:val="bottom"/>
            <w:gridSpan w:val="2"/>
          </w:tcPr>
          <w:p>
            <w:pPr>
              <w:jc w:val="center"/>
              <w:ind w:right="123"/>
              <w:spacing w:after="0" w:line="153" w:lineRule="exact"/>
              <w:rPr>
                <w:sz w:val="20"/>
                <w:szCs w:val="20"/>
                <w:color w:val="auto"/>
              </w:rPr>
            </w:pPr>
            <w:r>
              <w:rPr>
                <w:rFonts w:ascii="Arial" w:cs="Arial" w:eastAsia="Arial" w:hAnsi="Arial"/>
                <w:sz w:val="14"/>
                <w:szCs w:val="14"/>
                <w:b w:val="1"/>
                <w:bCs w:val="1"/>
                <w:color w:val="auto"/>
                <w:w w:val="92"/>
              </w:rPr>
              <w:t>October 2,</w:t>
            </w:r>
          </w:p>
        </w:tc>
        <w:tc>
          <w:tcPr>
            <w:tcW w:w="940" w:type="dxa"/>
            <w:vAlign w:val="bottom"/>
          </w:tcPr>
          <w:p>
            <w:pPr>
              <w:spacing w:after="0"/>
              <w:rPr>
                <w:sz w:val="13"/>
                <w:szCs w:val="13"/>
                <w:color w:val="auto"/>
              </w:rPr>
            </w:pPr>
          </w:p>
        </w:tc>
      </w:tr>
      <w:tr>
        <w:trPr>
          <w:trHeight w:val="192"/>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6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 of Rev</w:t>
            </w: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 of Rev</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 Change</w:t>
            </w:r>
          </w:p>
        </w:tc>
      </w:tr>
      <w:tr>
        <w:trPr>
          <w:trHeight w:val="190"/>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40" w:type="dxa"/>
            <w:vAlign w:val="bottom"/>
            <w:gridSpan w:val="5"/>
          </w:tcPr>
          <w:p>
            <w:pPr>
              <w:jc w:val="center"/>
              <w:ind w:right="203"/>
              <w:spacing w:after="0"/>
              <w:rPr>
                <w:sz w:val="20"/>
                <w:szCs w:val="20"/>
                <w:color w:val="auto"/>
              </w:rPr>
            </w:pPr>
            <w:r>
              <w:rPr>
                <w:rFonts w:ascii="Arial" w:cs="Arial" w:eastAsia="Arial" w:hAnsi="Arial"/>
                <w:sz w:val="14"/>
                <w:szCs w:val="14"/>
                <w:i w:val="1"/>
                <w:iCs w:val="1"/>
                <w:color w:val="auto"/>
                <w:w w:val="93"/>
              </w:rPr>
              <w:t>(in millions, except percentages)</w:t>
            </w:r>
          </w:p>
        </w:tc>
        <w:tc>
          <w:tcPr>
            <w:tcW w:w="940" w:type="dxa"/>
            <w:vAlign w:val="bottom"/>
          </w:tcPr>
          <w:p>
            <w:pPr>
              <w:spacing w:after="0"/>
              <w:rPr>
                <w:sz w:val="16"/>
                <w:szCs w:val="16"/>
                <w:color w:val="auto"/>
              </w:rPr>
            </w:pPr>
          </w:p>
        </w:tc>
      </w:tr>
      <w:tr>
        <w:trPr>
          <w:trHeight w:val="66"/>
        </w:trPr>
        <w:tc>
          <w:tcPr>
            <w:tcW w:w="6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84"/>
              <w:spacing w:after="0"/>
              <w:rPr>
                <w:sz w:val="20"/>
                <w:szCs w:val="20"/>
                <w:color w:val="auto"/>
              </w:rPr>
            </w:pPr>
            <w:r>
              <w:rPr>
                <w:rFonts w:ascii="Arial" w:cs="Arial" w:eastAsia="Arial" w:hAnsi="Arial"/>
                <w:sz w:val="16"/>
                <w:szCs w:val="16"/>
                <w:color w:val="auto"/>
              </w:rPr>
              <w:t>95</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  $</w:t>
            </w:r>
          </w:p>
        </w:tc>
        <w:tc>
          <w:tcPr>
            <w:tcW w:w="1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31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00" w:type="dxa"/>
            <w:vAlign w:val="bottom"/>
          </w:tcPr>
          <w:p>
            <w:pPr>
              <w:spacing w:after="0"/>
              <w:rPr>
                <w:sz w:val="20"/>
                <w:szCs w:val="20"/>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(35)%</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10%</w:t>
            </w: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27"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Income tax expense of $95 million for the three months ended September 30, 2016 is attributable to discrete effects consisting of income tax expense from the integration of SanDisk of $90 million and a valuation allowance on acquired tax attributes of $109 million, partially offset by income tax benefit from deductible debt issuance costs, debt discounts and prepayment fees from the debt refinancing of $96 million and from decreases in our liability for unrecognized tax benefits due to lapses in the statute of limitations of $8 million. These discrete items are the primary drivers of the negative effective tax rate for the three months ended September 30, 2016.</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primary drivers for the difference between the effective tax rate for the three months ended September 30, 2016 and the U.S. Federal statutory rate of 35% are the discrete items described above, the current year generation of tax credits and tax holidays in Malaysia, the Philippines, Singapore and Thailand that expire at various dates from 2016 through 2029. For the three months ended October 2, 2015, the difference between the effective tax rate and the U.S. Federal statutory rate of 35% is primarily due to tax holidays in Malaysia, the Philippines, Singapore and Thailand that expire at various dates from 2016 through 2029.</w:t>
      </w:r>
    </w:p>
    <w:p>
      <w:pPr>
        <w:spacing w:after="0" w:line="80" w:lineRule="exact"/>
        <w:rPr>
          <w:sz w:val="20"/>
          <w:szCs w:val="20"/>
          <w:color w:val="auto"/>
        </w:rPr>
      </w:pPr>
    </w:p>
    <w:p>
      <w:pPr>
        <w:ind w:right="360" w:firstLine="392"/>
        <w:spacing w:after="0" w:line="264" w:lineRule="auto"/>
        <w:rPr>
          <w:sz w:val="20"/>
          <w:szCs w:val="20"/>
          <w:color w:val="auto"/>
        </w:rPr>
      </w:pPr>
      <w:r>
        <w:rPr>
          <w:rFonts w:ascii="Arial" w:cs="Arial" w:eastAsia="Arial" w:hAnsi="Arial"/>
          <w:sz w:val="18"/>
          <w:szCs w:val="18"/>
          <w:color w:val="auto"/>
        </w:rPr>
        <w:t>We recognized a net decrease of $6 million in our liability for unrecognized tax benefits during the three months ended September 30, 2016. As of September 30, 2016, we had a liability recorded for unrecognized tax benefits of $485 million. Accrued interest and penalties related to unrecognized tax benefits as of September 30, 2016 was $78 million.</w:t>
      </w:r>
    </w:p>
    <w:p>
      <w:pPr>
        <w:spacing w:after="0" w:line="73" w:lineRule="exact"/>
        <w:rPr>
          <w:sz w:val="20"/>
          <w:szCs w:val="20"/>
          <w:color w:val="auto"/>
        </w:rPr>
      </w:pPr>
    </w:p>
    <w:p>
      <w:pPr>
        <w:ind w:right="160" w:firstLine="392"/>
        <w:spacing w:after="0" w:line="273" w:lineRule="auto"/>
        <w:rPr>
          <w:sz w:val="20"/>
          <w:szCs w:val="20"/>
          <w:color w:val="auto"/>
        </w:rPr>
      </w:pPr>
      <w:r>
        <w:rPr>
          <w:rFonts w:ascii="Arial" w:cs="Arial" w:eastAsia="Arial" w:hAnsi="Arial"/>
          <w:sz w:val="17"/>
          <w:szCs w:val="17"/>
          <w:color w:val="auto"/>
        </w:rPr>
        <w:t>The Internal Revenue Service (“IRS”) previously completed its field examination of our federal income tax returns for fiscal years 2006 through 2009 and proposed certain adjustments. We have received Revenue Agent Reports from the IRS that seek to increase our U.S. taxable income which would result in additional federal tax expense totaling $795 million, subject to interest. The issues in dispute relate primarily to transfer pricing with our foreign subsidiaries and intercompany payable balances. We disagree with the proposed adjustments and in September 2015, filed a protest with the IRS Appeals Office and received the IRS rebuttal in July 2016. We believe that our tax positions are properly supported and will vigorously contest the position taken by the IRS. In September 2015, the IRS commenced an examination of our fiscal years 2010 through 2012.</w:t>
      </w:r>
    </w:p>
    <w:p>
      <w:pPr>
        <w:spacing w:after="0" w:line="70"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We believe that adequate provision has been made for any adjustments that may result from tax examinations. However, the outcome of tax examinations cannot be predicted with certainty. If any issues addressed in our tax examinations are resolved in a manner not consistent with management’s expectations, we could be required to adjust our provision for income taxes in the period such resolution occurs. As of September 30, 2016, it is not possible to estimate the amount of change, if any, in the unrecognized tax benefits that is reasonably possible within the next twelve months. Any significant change in the amount of our liability for unrecognized tax benefits would most likely result from additional information or settlements relating to the examination of our tax returns.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statements of cash flows for the three months ended September 30, 2016 and October 2, 2015:</w:t>
      </w:r>
    </w:p>
    <w:p>
      <w:pPr>
        <w:spacing w:after="0" w:line="271"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23495</wp:posOffset>
            </wp:positionV>
            <wp:extent cx="19469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120" w:type="dxa"/>
            <w:vAlign w:val="bottom"/>
          </w:tcPr>
          <w:p>
            <w:pPr>
              <w:jc w:val="right"/>
              <w:ind w:right="362"/>
              <w:spacing w:after="0"/>
              <w:rPr>
                <w:sz w:val="20"/>
                <w:szCs w:val="20"/>
                <w:color w:val="auto"/>
              </w:rPr>
            </w:pPr>
            <w:r>
              <w:rPr>
                <w:rFonts w:ascii="Arial" w:cs="Arial" w:eastAsia="Arial" w:hAnsi="Arial"/>
                <w:sz w:val="14"/>
                <w:szCs w:val="14"/>
                <w:b w:val="1"/>
                <w:bCs w:val="1"/>
                <w:color w:val="auto"/>
                <w:w w:val="95"/>
              </w:rPr>
              <w:t>October 2,</w:t>
            </w:r>
          </w:p>
        </w:tc>
      </w:tr>
      <w:tr>
        <w:trPr>
          <w:trHeight w:val="192"/>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r>
      <w:tr>
        <w:trPr>
          <w:trHeight w:val="190"/>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r>
      <w:tr>
        <w:trPr>
          <w:trHeight w:val="66"/>
        </w:trPr>
        <w:tc>
          <w:tcPr>
            <w:tcW w:w="8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545</w:t>
            </w:r>
          </w:p>
        </w:tc>
      </w:tr>
      <w:tr>
        <w:trPr>
          <w:trHeight w:val="33"/>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Financing activities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33"/>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We believe our current cash, cash equivalents and cash generated from operations as well as our available credit facilities will be sufficient to meet our working capital, debt, dividend and capital expenditure needs for at least the next twelve months. Our ability to sustain our working capital position is subject to a number of risks that we discuss in Part II, Item 1A in this Quarterly Report on Form 10-Q.</w:t>
      </w:r>
    </w:p>
    <w:p>
      <w:pPr>
        <w:spacing w:after="0" w:line="7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cash on hand and indebtedness used to finance our acquisition of SanDisk could cause us to place more reliance on cash generated from operations to pay principal and interest on our debt, thereby reducing the availability of our cash flow for working capital, capital expenditure needs, dividends, or to pursue other potential strategic plans.</w:t>
      </w:r>
    </w:p>
    <w:p>
      <w:pPr>
        <w:spacing w:after="0" w:line="73"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During 2017, we expect cash used for purchases of property, plant and equipment, and net activity in Flash Ventures notes receivable and equity investments to be approximately $0.6 billion to $1.0 billion of our cash.</w:t>
      </w:r>
    </w:p>
    <w:p>
      <w:pPr>
        <w:spacing w:after="0" w:line="62"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A total of $2.8 billion and $6.9 billion of our cash and cash equivalents was held outside of the U.S. as of September 30, 2016 and July 1, 2016, respectively. Our current plans do not anticipate that we will need funds generated from foreign operations to fund our domestic operations or dividends to our shareholders pursuant to our quarterly cash dividend policy. In the event funds from foreign operations are needed in the U.S., any repatriation could result in the accrual and payment of additional U.S. income tax.</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Cash flow from operating activities consists of net income, adjusted for non-cash charges, plus or minus working capital changes. This represents our principal source of cash. Net cash used for working capital changes was $205 million for the first quarter of 2017, as compared to $28 million used for working capital changes in the first quarter of 2016.</w:t>
      </w:r>
    </w:p>
    <w:p>
      <w:pPr>
        <w:spacing w:after="0" w:line="73"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Our working capital requirements primarily depend on the effective management of our cash conversion cycle, which measures how quickly we can convert our products into cash through sales. The cash conversion cycles for the three months ended September 30, 2016 and October 2, 2015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52"/>
        </w:trPr>
        <w:tc>
          <w:tcPr>
            <w:tcW w:w="8340" w:type="dxa"/>
            <w:vAlign w:val="bottom"/>
          </w:tcPr>
          <w:p>
            <w:pPr>
              <w:spacing w:after="0"/>
              <w:rPr>
                <w:sz w:val="13"/>
                <w:szCs w:val="13"/>
                <w:color w:val="auto"/>
              </w:rPr>
            </w:pPr>
          </w:p>
        </w:tc>
        <w:tc>
          <w:tcPr>
            <w:tcW w:w="1900" w:type="dxa"/>
            <w:vAlign w:val="bottom"/>
            <w:gridSpan w:val="3"/>
          </w:tcPr>
          <w:p>
            <w:pPr>
              <w:ind w:left="300"/>
              <w:spacing w:after="0" w:line="153"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Pr>
          <w:p>
            <w:pPr>
              <w:jc w:val="right"/>
              <w:ind w:right="362"/>
              <w:spacing w:after="0" w:line="153" w:lineRule="exact"/>
              <w:rPr>
                <w:sz w:val="20"/>
                <w:szCs w:val="20"/>
                <w:color w:val="auto"/>
              </w:rPr>
            </w:pPr>
            <w:r>
              <w:rPr>
                <w:rFonts w:ascii="Arial" w:cs="Arial" w:eastAsia="Arial" w:hAnsi="Arial"/>
                <w:sz w:val="14"/>
                <w:szCs w:val="14"/>
                <w:b w:val="1"/>
                <w:bCs w:val="1"/>
                <w:color w:val="auto"/>
              </w:rPr>
              <w:t>October 2,</w:t>
            </w:r>
          </w:p>
        </w:tc>
      </w:tr>
      <w:tr>
        <w:trPr>
          <w:trHeight w:val="192"/>
        </w:trPr>
        <w:tc>
          <w:tcPr>
            <w:tcW w:w="8340" w:type="dxa"/>
            <w:vAlign w:val="bottom"/>
          </w:tcPr>
          <w:p>
            <w:pPr>
              <w:spacing w:after="0"/>
              <w:rPr>
                <w:sz w:val="16"/>
                <w:szCs w:val="16"/>
                <w:color w:val="auto"/>
              </w:rPr>
            </w:pPr>
          </w:p>
        </w:tc>
        <w:tc>
          <w:tcPr>
            <w:tcW w:w="15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r>
      <w:tr>
        <w:trPr>
          <w:trHeight w:val="190"/>
        </w:trPr>
        <w:tc>
          <w:tcPr>
            <w:tcW w:w="8340" w:type="dxa"/>
            <w:vAlign w:val="bottom"/>
          </w:tcPr>
          <w:p>
            <w:pPr>
              <w:spacing w:after="0"/>
              <w:rPr>
                <w:sz w:val="16"/>
                <w:szCs w:val="16"/>
                <w:color w:val="auto"/>
              </w:rPr>
            </w:pPr>
          </w:p>
        </w:tc>
        <w:tc>
          <w:tcPr>
            <w:tcW w:w="1900" w:type="dxa"/>
            <w:vAlign w:val="bottom"/>
            <w:gridSpan w:val="3"/>
          </w:tcPr>
          <w:p>
            <w:pPr>
              <w:jc w:val="center"/>
              <w:ind w:left="1123"/>
              <w:spacing w:after="0"/>
              <w:rPr>
                <w:sz w:val="20"/>
                <w:szCs w:val="20"/>
                <w:color w:val="auto"/>
              </w:rPr>
            </w:pPr>
            <w:r>
              <w:rPr>
                <w:rFonts w:ascii="Arial" w:cs="Arial" w:eastAsia="Arial" w:hAnsi="Arial"/>
                <w:sz w:val="14"/>
                <w:szCs w:val="14"/>
                <w:i w:val="1"/>
                <w:iCs w:val="1"/>
                <w:color w:val="auto"/>
                <w:w w:val="93"/>
              </w:rPr>
              <w:t>(in days)</w:t>
            </w:r>
          </w:p>
        </w:tc>
        <w:tc>
          <w:tcPr>
            <w:tcW w:w="11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sales outstanding</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Days in inventory</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48</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payables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Cash conversion cycle</w:t>
            </w:r>
          </w:p>
        </w:tc>
        <w:tc>
          <w:tcPr>
            <w:tcW w:w="15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24</w:t>
            </w:r>
          </w:p>
        </w:tc>
      </w:tr>
      <w:tr>
        <w:trPr>
          <w:trHeight w:val="33"/>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For the three months ended September 30, 2016, our days sales outstanding (“DSOs”) decreased by 5 days, days in inventory (“DIOs”) increased by 9 days and days payables outstanding (“DPOs”) decreased by 10 days, as compared to the prior year. Changes in DSOs are generally due to the linearity of shipments. Changes in DIOs are generally related to the timing of inventory builds. Changes in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Net cash used in investing activities in three months ended September 30, 2016 was $202 million, as compared to $273 million in the three months ended October 2, 2015. During the three months ended September 30, 2016, net cash used in investing activities primarily consisted of $184 million of capital expenditures and a net $27 million increase in notes receivable to and investments in Flash Ventures, partially offset by a net $9 million decrease in our investments in marketable securities. During the three months ended October 2, 2015, net cash used in investing activities primarily consisted of $151 million of capital expenditures and a net $112 million increase in investments in marketable securities.</w:t>
      </w:r>
    </w:p>
    <w:p>
      <w:pPr>
        <w:spacing w:after="0" w:line="64"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Our cash equivalents are primarily invested in highly liquid money market funds that are invested in U.S. Treasury securities and U.S. Government Agency securities. In addition, we invest directly in U.S. Treasury securities, U.S. and International Government Agency securities, certificates of deposit, asset-backed securities, and corporate and municipal notes and bonds.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Net cash used in financing activities was $4.3 billion in three months ended September 30, 2016, as compared to net cash used of $215 million in the three months ended October 2, 2015. During the three months ended September 30, 2016, net cash used in financing activities consisted of $8.2 billion to repay debt and $142 million to pay dividends on our common stock, partially offset by $4.0 billion of proceeds from debt, net of issuance costs, $61 million of proceeds from call options and a net $26 million provided by employee stock plans. During the three months ended October 2, 2015, net cash used in financing activities primarily consisted of $115 million to pay dividends on our common stock, $60 million to repurchase shares of our common stock and $31 million to repay debt.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Other than the commitments related to Flash Ventures, facility lease commitments incurred in the normal course of business and certain indemnification provisions (see “Contractual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special-purpose entities. For additional information regarding our off-balance sheet arrangements, see Part I, Item 1, Note 5 of the Notes to Condensed Consolidated Financial Statements included in this Quarterly Report on Form 10-Q.</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September 30,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1 Year (Remaining</w:t>
            </w: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2-3 Years (2018-</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4-5 Years (2020-</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9 months of 2017)</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4"/>
              </w:rPr>
              <w:t>(Beyond 2021)</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portion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9,016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on debt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5,280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1,567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1,535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Flash Ventures and other related commitments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5,174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24,585</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83"/>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4,546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6,445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10,919</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140" w:hanging="332"/>
        <w:spacing w:after="0" w:line="226"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reimbursement for other committed expenses, including R&amp;D. Funding commitments assume no additional operating lease guarantees. Additional operating lease guarantees can reduce funding commitments.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jc w:val="center"/>
        <w:ind w:right="10060"/>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Term Loans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the first quarter ended September 30, 2016, we settled in full, $4.815 billion of term loans, which was composed of principal amounts of the</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$3.75 billion U.S. Term Loan B and the €885 million Euro Term Loan B, plus accrued interest. In connection with the settlement of the U.S. Term Loan B and Euro Term Loan B, we recognized $227 million in unamortized issuance cost and debt discount fees.</w:t>
      </w:r>
    </w:p>
    <w:p>
      <w:pPr>
        <w:spacing w:after="0" w:line="7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August 17, 2016, we borrowed $3.0 billion under a new U.S. dollar-denominated term loan (“U.S. Term Loan B-1”) under the Credit Agreement (as defined blow) and used the proceeds of this new loan and cash of $750 million to prepay in full the U.S. Term Loan B previously outstanding under the Credit Agreement. The U.S. Term Loan B-1 has an interest rate equal to, at our option, either an adjusted LIBOR rate, subject to a 0.75% floor, plus 3.75% or a base rate plus 2.75% (4.50% at September 30, 2016). Principal payments of 0.25% are due quarterly and began on September 30, 2016 with the balance due on April 29, 2023.</w:t>
      </w:r>
    </w:p>
    <w:p>
      <w:pPr>
        <w:spacing w:after="0" w:line="80"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On September 22, 2016, we borrowed €885 million under a new Euro-denominated term loan (“Euro Term Loan B-1”) under the Credit Agreement and used the proceeds of this new loan to prepay in full the Euro Term Loan B previously outstanding under the Credit Agreement. The Euro Term Loan B-1 has an interest rate equal to an adjusted EURIBOR rate, subject to a 0.75% floor, plus 3.25% (4.00% at September 30, 2016). Principal payments of Euro Term Loan B-1 of 0.25% are due quarterly and began on September 30, 2016 with the balance due on April 29, 2023.</w:t>
      </w:r>
    </w:p>
    <w:p>
      <w:pPr>
        <w:spacing w:after="0" w:line="63" w:lineRule="exact"/>
        <w:rPr>
          <w:sz w:val="20"/>
          <w:szCs w:val="20"/>
          <w:color w:val="auto"/>
        </w:rPr>
      </w:pPr>
    </w:p>
    <w:p>
      <w:pPr>
        <w:jc w:val="both"/>
        <w:ind w:right="440" w:firstLine="392"/>
        <w:spacing w:after="0" w:line="286" w:lineRule="auto"/>
        <w:rPr>
          <w:sz w:val="20"/>
          <w:szCs w:val="20"/>
          <w:color w:val="auto"/>
        </w:rPr>
      </w:pPr>
      <w:r>
        <w:rPr>
          <w:rFonts w:ascii="Arial" w:cs="Arial" w:eastAsia="Arial" w:hAnsi="Arial"/>
          <w:sz w:val="17"/>
          <w:szCs w:val="17"/>
          <w:color w:val="auto"/>
        </w:rPr>
        <w:t>Term Loan A and the revolving credit facility have a term of five years. Beginning in September 2017, we are required to make quarterly principal payments on Term Loan A totaling $206 million in 2018, $309 million in 2019, $413 million in 2020 and the remaining balance of $3.197 billion due in 2021. As of September 30, 2016, Term Loan A had an outstanding balance of $4.125 billion with a variable interest rate of 2.526%.</w:t>
      </w:r>
    </w:p>
    <w:p>
      <w:pPr>
        <w:spacing w:after="0" w:line="57" w:lineRule="exact"/>
        <w:rPr>
          <w:sz w:val="20"/>
          <w:szCs w:val="20"/>
          <w:color w:val="auto"/>
        </w:rPr>
      </w:pPr>
    </w:p>
    <w:p>
      <w:pPr>
        <w:ind w:right="60" w:firstLine="392"/>
        <w:spacing w:after="0" w:line="259" w:lineRule="auto"/>
        <w:rPr>
          <w:sz w:val="20"/>
          <w:szCs w:val="20"/>
          <w:color w:val="auto"/>
        </w:rPr>
      </w:pPr>
      <w:r>
        <w:rPr>
          <w:rFonts w:ascii="Arial" w:cs="Arial" w:eastAsia="Arial" w:hAnsi="Arial"/>
          <w:sz w:val="18"/>
          <w:szCs w:val="18"/>
          <w:color w:val="auto"/>
        </w:rPr>
        <w:t>The term loans and the revolving credit loans under the Credit Agreement may be prepaid in whole or in part at any time without premium or penalty, subject to certain conditions, except that the term loans B-1 require us to pay a 1.0% prepayment fee if the loans thereunder are repaid in connection with certain “repricing” transactions on or before February 17, 2017, with respect to U.S. Term Loan B-1, and March 22, 2017, with respect to Euro Term Loan B-1.</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On April 29, 2016, we entered into a new credit agreement (the “Credit Agreement”) that provided for a $4.125 billion Term Loan A, a $3.750 billion U.S. Term Loan B, a €885 million Euro Term Loan B and a $1.0 billion revolving credit facility.</w:t>
      </w:r>
    </w:p>
    <w:p>
      <w:pPr>
        <w:spacing w:after="0" w:line="6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revolving credit facility includes a $200 million sublimit for letters of credit. As of September 30, 2016, the revolving credit facility was not drawn upon, and there was no outstanding balance.</w:t>
      </w:r>
    </w:p>
    <w:p>
      <w:pPr>
        <w:spacing w:after="0" w:line="62"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The obligations under the Credit Agreement are guaranteed by HGST, Inc., WD Media, LLC, Western Digital (Fremont), LLC and Western Digital Technologies, Inc. (“WDT”) (together referred to as the “WD Guarantors”), and are secured on a first-priority basis by a lien on substantially all the assets and properties of the Company and the WD Guarantors, including all of the capital stock held by these entities (subject to a 65% limitation on pledges of capital stock of foreign subsidiaries and domestic holding companies of foreign subsidiaries), subject to certain exceptions.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Credit Agreement requires us to comply with certain financial covenants, such as a leverage ratio and an interest coverage ratio. In addition, the documents governing substantially all of our outstanding debt, including the Credit Agreement, require us to comply with customary covenants that limit or restrict our and our subsidiaries’ ability to incur liens and indebtedness; make certain restricted payments, acquisitions, investments, loans and guarantees; and enter into certain transactions with affiliates, mergers and consolidations. As of September 30, 2016, we were in compliance with these covenants.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80" w:firstLine="392"/>
        <w:spacing w:after="0" w:line="276" w:lineRule="auto"/>
        <w:rPr>
          <w:sz w:val="20"/>
          <w:szCs w:val="20"/>
          <w:color w:val="auto"/>
        </w:rPr>
      </w:pPr>
      <w:r>
        <w:rPr>
          <w:rFonts w:ascii="Arial" w:cs="Arial" w:eastAsia="Arial" w:hAnsi="Arial"/>
          <w:sz w:val="17"/>
          <w:szCs w:val="17"/>
          <w:color w:val="auto"/>
        </w:rPr>
        <w:t>On April 13, 2016, we completed an offering of $1.875 billion aggregate principal amount of 7.375% senior secured notes due 2023 (the “Secured Notes”) and $3.350 billion aggregate principal amount of 10.500% senior unsecured notes due 2024 (the “Unsecured Notes” and, together with the Secured Notes, the “Notes”). We are not required to make principal payments on the Notes prior to their respective maturity dates, except that we may be required to offer to purchase the Notes upon the occurrence of a change of control (as defined in the indentures governing the Notes) or with the proceeds of certain non-ordinary course asset sales. Interest payments on the Notes are due semi-annually in arrears.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right="240" w:firstLine="392"/>
        <w:spacing w:after="0" w:line="277" w:lineRule="auto"/>
        <w:rPr>
          <w:sz w:val="20"/>
          <w:szCs w:val="20"/>
          <w:color w:val="auto"/>
        </w:rPr>
      </w:pPr>
      <w:r>
        <w:rPr>
          <w:rFonts w:ascii="Arial" w:cs="Arial" w:eastAsia="Arial" w:hAnsi="Arial"/>
          <w:sz w:val="18"/>
          <w:szCs w:val="18"/>
          <w:color w:val="auto"/>
        </w:rPr>
        <w:t>The obligations under the Notes are guaranteed by WD Guarantors, and the Secured Notes and related guarantees are secured on an equal and ratable basis by liens on the same assets that secure indebtedness under the Credit Agreement.</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jc w:val="both"/>
        <w:ind w:right="100" w:firstLine="405"/>
        <w:spacing w:after="0" w:line="302" w:lineRule="auto"/>
        <w:rPr>
          <w:sz w:val="20"/>
          <w:szCs w:val="20"/>
          <w:color w:val="auto"/>
        </w:rPr>
      </w:pPr>
      <w:r>
        <w:rPr>
          <w:rFonts w:ascii="Arial" w:cs="Arial" w:eastAsia="Arial" w:hAnsi="Arial"/>
          <w:sz w:val="16"/>
          <w:szCs w:val="16"/>
          <w:color w:val="auto"/>
        </w:rPr>
        <w:t>As of September 30, 2016, $37 million principal amount of the 0.5% Convertible Senior Notes due 2020 (“2020 Notes”) and less than of $1 million of principal amount the 1.5% Convertible Senior Notes due 2017 (“2017 Notes”) were outstanding. For the 2020 Notes that remain outstanding, the conversion rate is 10.9006 units of reference property per $1,000 principal amount of the 2020 Notes, corresponding to 2.6020 shares of our common stock and $735.79 in cash, subject to adjustments under the indenture. The 2020 Notes are not currently exchangeable into reference property.</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Non-Guarantors</w:t>
      </w:r>
    </w:p>
    <w:p>
      <w:pPr>
        <w:spacing w:after="0" w:line="117" w:lineRule="exact"/>
        <w:rPr>
          <w:sz w:val="20"/>
          <w:szCs w:val="20"/>
          <w:color w:val="auto"/>
        </w:rPr>
      </w:pPr>
    </w:p>
    <w:p>
      <w:pPr>
        <w:jc w:val="both"/>
        <w:ind w:right="80" w:firstLine="392"/>
        <w:spacing w:after="0" w:line="286" w:lineRule="auto"/>
        <w:rPr>
          <w:sz w:val="20"/>
          <w:szCs w:val="20"/>
          <w:color w:val="auto"/>
        </w:rPr>
      </w:pPr>
      <w:r>
        <w:rPr>
          <w:rFonts w:ascii="Arial" w:cs="Arial" w:eastAsia="Arial" w:hAnsi="Arial"/>
          <w:sz w:val="17"/>
          <w:szCs w:val="17"/>
          <w:color w:val="auto"/>
        </w:rPr>
        <w:t>As of September 30, 2016, excluding intercompany transactions, our non-guarantor subsidiaries had $3 billion of aggregate total liabilities, all of which were structurally senior to the Notes and the related guarantees, and approximately $24 billion of consolidated assets. For the three months ended September 30, 2016, our non-guarantor subsidiaries accounted for $1.6 billion of net sales and less than $0.1 billion of operating income.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Flash Ventures</w:t>
      </w:r>
    </w:p>
    <w:p>
      <w:pPr>
        <w:spacing w:after="0" w:line="11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We are a 49.9% owner of each entity within Flash Ventures (Flash Partners, Ltd., Flash Alliance, Ltd., and Flash Forward, Ltd.), our business ventures with Toshiba Corporation (“Toshiba”) to develop and manufacture NAND flash memory products. These NAND flash memory products are manufactured by Toshiba at Toshiba’s Yokkaichi, Japan operations using the semiconductor manufacturing equipment owned or leased by Flash Ventures. This equipment is funded, or will be funded, by investments in, or loans to, Flash Ventures from us and Toshiba as well as through operating leases received by Flash Ventures from third-party banks and guaranteed by us and Toshiba. The entities within Flash Ventures purchase wafers from Toshiba at cost and then resell those wafers to us and Toshiba at cost plus a markup. We are contractually obligated to purchase half of Flash Ventures’ NAND wafer supply or pay for 50% of the fixed costs of Flash Ventures. We are not able to estimate our total wafer purchase obligations beyond our rolling three month purchase commitment because the price is determined by reference to the future cost to produce the semiconductor wafers. We are also committed to fund 49.9% to 50% of Flash Ventures’ investments to the extent that Flash Ventures’ operating cash flow is insufficient to fund these investments.</w:t>
      </w:r>
    </w:p>
    <w:p>
      <w:pPr>
        <w:spacing w:after="0" w:line="59"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For semiconductor manufacturing equipment that is leased by Flash Ventures, we and Toshiba each guarantee, on an unsecured and several basis, 50% of the outstanding Flash Ventures’ lease obligations under lease agreements entered into by Flash Ventures. These lease obligations are denominated in Japanese yen and are noncancelable. Our lease obligation guarantees as of September 30, 2016, which reflects future payments and any lease adjustments, totaled $1.24 billion, based upon the Japanese yen to U.S. dollar exchange rate at September 30, 2016. The lease agreements contain certain covenants and cancellation events that are customary for Japanese lease facilities and that relate to Flash Ventures and each of the guarantors. The breach of a covenant or the occurrence of another cancellation event could result in an acceleration of Flash Ventures’ lease obligations. As of September 30, 2016, we were in compliance with all covenants under these Japanese lease facilities.</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additional information regarding Flash Ventures, see Part I, Item 1, Note 5 of the Notes to Condensed Consolidated Financial Statements included in this Quarterly Report on Form 10-Q.</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3, under the heading “Disclosure About Foreign Currency Risk,” and Part I, Item 1, Note 12 of the Notes to Condensed Consolidated Financial Statements included in this Quarterly Report on Form 10-Q.</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1"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Unrecognized Tax Benefits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September 30, 2016, the amount of unrecognized tax benefits, including related accrued interest and penalties, was $563 million,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$420 million could result in potential cash payments. We are not able to provide a reasonable estimate of the timing of future tax payments related to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obligations. For additional information regarding our total tax liability for unrecognized tax benefits, see Part I, Item 1, Note 8 of the Notes to Condensed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included in this Quarterly Report on Form 10-Q.</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Cash Dividend</w:t>
      </w:r>
    </w:p>
    <w:p>
      <w:pPr>
        <w:spacing w:after="0" w:line="11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Since the first quarter of 2014, we have issued a quarterly cash dividend. On August 3, 2016, we declared a cash dividend of $0.50 per share of our common stock to our stockholders of record as of September 30, 2016. The cash dividend of $143 million was paid on October 17, 2016. On November 3, 2016, we declared a cash dividend of $0.50 per share of our common stock to our stockholders of record as of December 30, 2016. The cash dividend will be paid on January 17, 2017. We may modify, suspend, or cancel our cash dividend policy in any manner and at any time.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have prepared the accompanying unaudited condensed consolidated financial statements in accordance with accounting principles generally accepted in the United States.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46"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There have been no material changes in our critical accounting policies and estimates since our fiscal year ended July 1, 2016. Please refer to Part II, Item 7 of our Annual Report on Form 10-K for the fiscal year ended July 1, 2016 for a discussion of our critical accounting policies and estimates.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For a description of recently issued and adopted accounting pronouncements, including the respective dates of adoption and expected effects on our results of operations and financial condition, see Part I, Item 1, Note 2 of the Notes to Condensed Consolidated Financial Statements included in this Quarterly Report on Form 10-Q, which is incorporated by reference in response to this item.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1"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12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operating expenses and product costs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speculative or trading purposes. For additional information, see Part I, Item 1, Notes 10 and 12 of the Notes to Condensed Consolidated Financial Statements included in this Quarterly Report on Form 10-Q.</w:t>
      </w:r>
    </w:p>
    <w:p>
      <w:pPr>
        <w:spacing w:after="0" w:line="8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September 30, 2016, we had outstanding the foreign exchange contracts presented in the following table. The changes in fair values of these foreign exchange contracts would be largely offset in other income (expense) by corresponding changes in the fair values of the foreign currency denominated monetary assets and liabilities.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3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8"/>
              </w:rPr>
              <w:t>Unrealized Gain</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7"/>
              </w:rPr>
              <w:t>Contract Amount</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Contract</w:t>
            </w: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8"/>
                <w:szCs w:val="8"/>
                <w:b w:val="1"/>
                <w:bCs w:val="1"/>
                <w:color w:val="auto"/>
                <w:w w:val="94"/>
              </w:rPr>
              <w:t>(1)</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2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4"/>
              </w:rPr>
              <w:t>(in millions, except weighted average contract rate)</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740" w:type="dxa"/>
            <w:vAlign w:val="bottom"/>
            <w:gridSpan w:val="2"/>
          </w:tcPr>
          <w:p>
            <w:pPr>
              <w:ind w:left="28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Japanese Yen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697</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6740" w:type="dxa"/>
            <w:vAlign w:val="bottom"/>
            <w:gridSpan w:val="2"/>
          </w:tcPr>
          <w:p>
            <w:pPr>
              <w:ind w:left="500"/>
              <w:spacing w:after="0"/>
              <w:rPr>
                <w:sz w:val="20"/>
                <w:szCs w:val="20"/>
                <w:color w:val="auto"/>
              </w:rPr>
            </w:pPr>
            <w:r>
              <w:rPr>
                <w:rFonts w:ascii="Arial" w:cs="Arial" w:eastAsia="Arial" w:hAnsi="Arial"/>
                <w:sz w:val="16"/>
                <w:szCs w:val="16"/>
                <w:color w:val="auto"/>
              </w:rPr>
              <w:t>Malaysian Ringgit</w:t>
            </w:r>
          </w:p>
        </w:tc>
        <w:tc>
          <w:tcPr>
            <w:tcW w:w="14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151</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4.12</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Philippine Peso</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47.40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6740" w:type="dxa"/>
            <w:vAlign w:val="bottom"/>
            <w:gridSpan w:val="2"/>
          </w:tcPr>
          <w:p>
            <w:pPr>
              <w:ind w:left="500"/>
              <w:spacing w:after="0"/>
              <w:rPr>
                <w:sz w:val="20"/>
                <w:szCs w:val="20"/>
                <w:color w:val="auto"/>
              </w:rPr>
            </w:pPr>
            <w:r>
              <w:rPr>
                <w:rFonts w:ascii="Arial" w:cs="Arial" w:eastAsia="Arial" w:hAnsi="Arial"/>
                <w:sz w:val="16"/>
                <w:szCs w:val="16"/>
                <w:color w:val="auto"/>
              </w:rPr>
              <w:t>Singapore Dollar</w:t>
            </w:r>
          </w:p>
        </w:tc>
        <w:tc>
          <w:tcPr>
            <w:tcW w:w="14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32</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Thailand Baht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554</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35.16</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4"/>
        </w:trPr>
        <w:tc>
          <w:tcPr>
            <w:tcW w:w="6740" w:type="dxa"/>
            <w:vAlign w:val="bottom"/>
            <w:gridSpan w:val="2"/>
          </w:tcPr>
          <w:p>
            <w:pPr>
              <w:ind w:left="280"/>
              <w:spacing w:after="0"/>
              <w:rPr>
                <w:sz w:val="20"/>
                <w:szCs w:val="20"/>
                <w:color w:val="auto"/>
              </w:rPr>
            </w:pPr>
            <w:r>
              <w:rPr>
                <w:rFonts w:ascii="Arial" w:cs="Arial" w:eastAsia="Arial" w:hAnsi="Arial"/>
                <w:sz w:val="16"/>
                <w:szCs w:val="16"/>
                <w:color w:val="auto"/>
              </w:rPr>
              <w:t>Fair value hedges: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British Pound Sterling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ind w:left="500"/>
              <w:spacing w:after="0"/>
              <w:rPr>
                <w:sz w:val="20"/>
                <w:szCs w:val="20"/>
                <w:color w:val="auto"/>
              </w:rPr>
            </w:pPr>
            <w:r>
              <w:rPr>
                <w:rFonts w:ascii="Arial" w:cs="Arial" w:eastAsia="Arial" w:hAnsi="Arial"/>
                <w:sz w:val="16"/>
                <w:szCs w:val="16"/>
                <w:color w:val="auto"/>
              </w:rPr>
              <w:t>Euro</w:t>
            </w:r>
          </w:p>
        </w:tc>
        <w:tc>
          <w:tcPr>
            <w:tcW w:w="14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9</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0.86</w:t>
            </w:r>
          </w:p>
        </w:tc>
        <w:tc>
          <w:tcPr>
            <w:tcW w:w="2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Japanese Yen</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299</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104.53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ind w:left="500"/>
              <w:spacing w:after="0"/>
              <w:rPr>
                <w:sz w:val="20"/>
                <w:szCs w:val="20"/>
                <w:color w:val="auto"/>
              </w:rPr>
            </w:pPr>
            <w:r>
              <w:rPr>
                <w:rFonts w:ascii="Arial" w:cs="Arial" w:eastAsia="Arial" w:hAnsi="Arial"/>
                <w:sz w:val="16"/>
                <w:szCs w:val="16"/>
                <w:color w:val="auto"/>
              </w:rPr>
              <w:t>Malaysian Ringgit</w:t>
            </w:r>
          </w:p>
        </w:tc>
        <w:tc>
          <w:tcPr>
            <w:tcW w:w="14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15</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4.08</w:t>
            </w:r>
          </w:p>
        </w:tc>
        <w:tc>
          <w:tcPr>
            <w:tcW w:w="2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Philippine Peso</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48.33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ind w:left="500"/>
              <w:spacing w:after="0"/>
              <w:rPr>
                <w:sz w:val="20"/>
                <w:szCs w:val="20"/>
                <w:color w:val="auto"/>
              </w:rPr>
            </w:pPr>
            <w:r>
              <w:rPr>
                <w:rFonts w:ascii="Arial" w:cs="Arial" w:eastAsia="Arial" w:hAnsi="Arial"/>
                <w:sz w:val="16"/>
                <w:szCs w:val="16"/>
                <w:color w:val="auto"/>
              </w:rPr>
              <w:t>Singapore Dollar</w:t>
            </w:r>
          </w:p>
        </w:tc>
        <w:tc>
          <w:tcPr>
            <w:tcW w:w="14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12</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1.36</w:t>
            </w:r>
          </w:p>
        </w:tc>
        <w:tc>
          <w:tcPr>
            <w:tcW w:w="2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Thailand Baht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191</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34.57</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62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Expressed in units of foreign currency per U.S. dollar.</w:t>
      </w:r>
    </w:p>
    <w:p>
      <w:pPr>
        <w:spacing w:after="0" w:line="98" w:lineRule="exact"/>
        <w:rPr>
          <w:sz w:val="20"/>
          <w:szCs w:val="20"/>
          <w:color w:val="auto"/>
        </w:rPr>
      </w:pPr>
    </w:p>
    <w:p>
      <w:pPr>
        <w:ind w:right="20" w:firstLine="405"/>
        <w:spacing w:after="0" w:line="272" w:lineRule="auto"/>
        <w:rPr>
          <w:sz w:val="20"/>
          <w:szCs w:val="20"/>
          <w:color w:val="auto"/>
        </w:rPr>
      </w:pPr>
      <w:r>
        <w:rPr>
          <w:rFonts w:ascii="Arial" w:cs="Arial" w:eastAsia="Arial" w:hAnsi="Arial"/>
          <w:sz w:val="18"/>
          <w:szCs w:val="18"/>
          <w:color w:val="auto"/>
        </w:rPr>
        <w:t>During the three months ended September 30, 2016 and October 2, 2015, total net realized transaction and foreign exchange contract currency gains and losses were not material to our condensed consolidated financial statements.</w:t>
      </w:r>
    </w:p>
    <w:p>
      <w:pPr>
        <w:spacing w:after="0" w:line="66"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Variable Interest Rate Risk</w:t>
      </w:r>
    </w:p>
    <w:p>
      <w:pPr>
        <w:spacing w:after="0" w:line="11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Borrowings under our Term Loan A and our revolving credit facility bear interest at a rate per annum, at our option, of either an adjusted LIBOR rate (subject to a 0.0% floor) plus an applicable margin of 2.0% or at a base rate plus an applicable margin of 1.0%. The applicable margin for the borrowings under our Term Loan A Facility and our revolving credit facility will range, depending on our leverage, from 1.50% to 2.25% for LIBOR loans and from 0.50% to 1.25% for base rate loans.</w:t>
      </w:r>
    </w:p>
    <w:p>
      <w:pPr>
        <w:spacing w:after="0" w:line="79"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Borrowings under the U.S. Term Loan B-1 tranche bear interest at a rate per annum, at our option, of an adjusted LIBOR rate, subject to a 0.75% floor, plus 3.75% or a base rate plus 2.75% (4.50% at September 30, 2016). Borrowings under the Euro Term Loan B-1 tranche bear interest at a rate per annum, at our option, equal to an adjusted EURIBOR rate, subject to a 0.75% floor, plus 3.25% (4.00% at September 30, 2016).</w:t>
      </w:r>
    </w:p>
    <w:p>
      <w:pPr>
        <w:spacing w:after="0" w:line="5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As of September 30, 2016, we had $8.1 billion of long-term variable rate debt outstanding, and a one percent increase in the variable rate of interest, subject to each loan specific floor, would have increased annual interest expense by $66 million.</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additional information regarding our term loans, see Part I, Item 1, Note 4 of the Notes to Condensed Consolidated Financial Statements included in this Quarterly Report on Form 10-Q and Part II, Item 8, Note 3 of the Notes to Consolidated Financial Statements included in our Annual Report on Form 10-K for the fiscal year ended July 1, 2016.</w:t>
      </w:r>
    </w:p>
    <w:p>
      <w:pPr>
        <w:spacing w:after="0" w:line="3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As required by Rule 13a-15(b) promulgated by the Securities and Exchange Commission (“SEC”)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8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first quarter ended September 30, 2016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 OTHER INFORMATION</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For a description of our legal proceedings, see Part I, Item 1, Note 6 of the Notes to Condensed Consolidated Financial Statements included in this Quarterly Report on Form 10-Q, which is incorporated by reference in response to this item.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business, financial condition and operating results of the Company can be affected by a number of risks and uncertainties, whether currently known or unknown, any one or more of which could, directly or indirectly, cause the Company’s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Adverse global economic conditions and credit market uncertainty could harm our business, results of operations and financial condition.</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equity, credit and other financial markets and real estate markets, slower growth in certain geographic regions, lower levels of consumer liquidity, risk of default on sovereign debt, higher interest rates, materials and component cost increases, political uncertainty and other macroeconomic factors, such as the June 23, 2016 referendum by British voters to exit the European Union, commonly referred to as “Brexit”. Some of the risks and uncertainties we face as a result of these conditions include the following:</w:t>
      </w:r>
    </w:p>
    <w:p>
      <w:pPr>
        <w:spacing w:after="0" w:line="85" w:lineRule="exact"/>
        <w:rPr>
          <w:sz w:val="20"/>
          <w:szCs w:val="20"/>
          <w:color w:val="auto"/>
        </w:rPr>
      </w:pPr>
    </w:p>
    <w:p>
      <w:pPr>
        <w:ind w:left="660" w:hanging="328"/>
        <w:spacing w:after="0" w:line="29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Volatile Demand and Supplier Risk. Our direct and indirect customers may delay or reduce their purchases of our products and systems containing our products. 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or partners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56" w:lineRule="exact"/>
        <w:rPr>
          <w:rFonts w:ascii="Arial" w:cs="Arial" w:eastAsia="Arial" w:hAnsi="Arial"/>
          <w:sz w:val="16"/>
          <w:szCs w:val="16"/>
          <w:color w:val="auto"/>
        </w:rPr>
      </w:pPr>
    </w:p>
    <w:p>
      <w:pPr>
        <w:ind w:left="660" w:right="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Activities. If demand for our products slows as a result of a deterioration in economic conditions, we may undertake restructuring activities to realign our cost structure with softening demand. The occurrence of restructuring activities could result in impairment charges and other expenses, which could adversely impact our results of operations and financial condition.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1"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left="660" w:hanging="328"/>
        <w:spacing w:after="0" w:line="271"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Credit Volatility and Loss of Receivables. We extend credit and payment terms to some of our customers. In addition to ongoing credit evaluations of our customers’ financial condition, we traditionally seek to mitigate our credit risk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to pay us on their accounts receivable balances. Additionally, negative or uncertain global economic conditions increase the risk that if a customer we have insured fails to pay us on their accounts receivable, the financial condition of the insurance carrier for such customer account may have also deteriorated such that it cannot cover our loss. A significant loss of accounts receivable that we cannot recover through credit insurance would have a negative impact on our financial condition.</w:t>
      </w:r>
    </w:p>
    <w:p>
      <w:pPr>
        <w:spacing w:after="0" w:line="70" w:lineRule="exact"/>
        <w:rPr>
          <w:rFonts w:ascii="Arial" w:cs="Arial" w:eastAsia="Arial" w:hAnsi="Arial"/>
          <w:sz w:val="17"/>
          <w:szCs w:val="17"/>
          <w:color w:val="auto"/>
        </w:rPr>
      </w:pPr>
    </w:p>
    <w:p>
      <w:pPr>
        <w:ind w:left="660" w:right="40" w:hanging="328"/>
        <w:spacing w:after="0" w:line="29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Impairment Charges. We test goodwill for impairment annually as of the first day of our fourth quarter and at other times if events have occurred or circumstances exist that indicate the carrying value of goodwill may no longer be recoverable. Negative or uncertain global economic conditions could result in circumstances, such as a sustained decline in our stock price and market capitalization or a decrease in our forecasted cash flows, indicating that the carrying value of our long-lived assets or goodwill may be impaired. If we are required to record a significant charge to earnings in our consolidated financial statements because of an impairment of our long-lived assets or goodwill, our results of operations will be adversely affected. For example, given the recent volatility of our market capitalization, it is possible that our goodwill could become impaired in the near term which could result in a material charge and adversely affect our results of operations and financial condition.</w:t>
      </w:r>
    </w:p>
    <w:p>
      <w:pPr>
        <w:spacing w:after="0" w:line="5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Integrating SanDisk Corporation’s (“SanDisk”) operations with ours may be more difficult, costly or time consuming than expected and the anticipated benefits, synergies and cost savings of our recent acquisition of SanDisk (the “Merger”) may not be realized.</w:t>
      </w:r>
    </w:p>
    <w:p>
      <w:pPr>
        <w:spacing w:after="0" w:line="6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success of our recent acquisition of SanDisk, including anticipated benefits, synergies and cost savings, will depend, in part, on our ability to successfully combine and integrate the businesses and culture of SanDisk into our company. It is possible that the integration process will take longer than anticipated. In addition, the integration process could result in the loss of key employees, higher than expected costs, ongoing diversion of management attention, the disruption of our ongoing businesses or inconsistencies in standards, controls, procedures and policies that adversely affect our ability to maintain relationships with customers, vendors, partners and employees. If we experience difficulties with the integration process, the anticipated benefits of the Merger may not be realized fully or at all, or may take longer to realize than expected. In addition, the actual cost savings of the Merger could be less than anticipated. Additionally, the integration of SanDisk’s operations into our operations may also increase the risk that our internal controls are found to be ineffective.</w:t>
      </w:r>
    </w:p>
    <w:p>
      <w:pPr>
        <w:spacing w:after="0" w:line="84"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Achieving the benefits of the Merger will depend, in part, on our ability to integrate the business and operations of SanDisk successfully and efficiently with our business. The challenges involved in this integration, which will be complex and time-consuming, include, but are not limited to, the following:</w:t>
      </w:r>
    </w:p>
    <w:p>
      <w:pPr>
        <w:spacing w:after="0" w:line="1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entering new markets or manufacturing in new geographies where we have no or limited direct prior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managing relationships with our strategic partners, and our combined supplier and customer base;</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coordinating and integrating independent research and development (“R&amp;D”) and engineering teams across technologies and product platforms to enhance product development while reducing costs;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levels of investment in R&amp;D, manufacturing capability and technology enhancement relating to SanDisk’s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transitioning to 3-dimensional (“3D”) NAND and alternative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coordinating sales and marketing efforts to effectively position the combined company’s capabilities and the direction of product development;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the systems and processes of two companies with complex operations and multiple manufacturing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increased scale and complexity of our operations resulting from the Merger;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obligations that we will have to counterparties of SanDisk that arise as a result of the change in control of SanDisk;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management attention from other important business objectives.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color w:val="auto"/>
        </w:rPr>
        <w:t>If we do not successfully manage these issues and the other challenges inherent in integrating an acquired business of the size and complexity of SanDisk, then we may not achieve the anticipated benefits of the Merger and our revenue, expenses, operating results and financial condition could be materially adversely affected.</w:t>
      </w:r>
    </w:p>
    <w:p>
      <w:pPr>
        <w:spacing w:after="0" w:line="73"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i w:val="1"/>
          <w:iCs w:val="1"/>
          <w:color w:val="auto"/>
        </w:rPr>
        <w:t>The incurrence of substantial indebtedness in connection with the financing of the Merger may have an adverse impact on our liquidity, limit our flexibility in responding to other business opportunities and increase our vulnerability to adverse economic and industry conditions.</w:t>
      </w:r>
    </w:p>
    <w:p>
      <w:pPr>
        <w:spacing w:after="0" w:line="3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connection with the Merger, we substantially increased our indebtedness, which could adversely affect our ability to fulfill our obligations and have a negative impact on our financing options and liquidity position. As of September 30, 2016, our total indebtedness was $13.4 billion, and we had $1.0 billion of additional borrowing availability under our revolving credit facility.</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117" w:lineRule="exact"/>
        <w:rPr>
          <w:sz w:val="20"/>
          <w:szCs w:val="20"/>
          <w:color w:val="auto"/>
        </w:rPr>
      </w:pPr>
    </w:p>
    <w:p>
      <w:pPr>
        <w:ind w:left="660" w:right="4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in the future for working capital, capital expenditures, acquisitions or other general corporate purposes;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R&amp;D and other general corporate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refinance our indebtedness on terms acceptable to us or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imposing restrictive covenants on our operations;</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breach the covenants under our debt agreements, causing an event of default under the applicable indebtedness, which, if not cured or waived, could result in us having to repay our indebtedness before their due dates or result in cross defaults;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carrying less debt;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addition, our credit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w:t>
      </w:r>
    </w:p>
    <w:p>
      <w:pPr>
        <w:spacing w:after="0" w:line="7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may from time to time seek to refinance the substantial indebtedness we incurred to finance the Merger by issuing additional shares of our common stock in one or more securities offerings. These securities offerings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 Refinancing our indebtedness may also require us to expense previous debt issuance costs or to incur new debt issuance costs.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If we are unable to successfully integrate the business and operations of HGST, our business and financial condition may be adversely affected.</w:t>
      </w:r>
    </w:p>
    <w:p>
      <w:pPr>
        <w:spacing w:after="0" w:line="129" w:lineRule="exact"/>
        <w:rPr>
          <w:sz w:val="20"/>
          <w:szCs w:val="20"/>
          <w:color w:val="auto"/>
        </w:rPr>
      </w:pPr>
    </w:p>
    <w:p>
      <w:pPr>
        <w:jc w:val="both"/>
        <w:ind w:right="260" w:firstLine="405"/>
        <w:spacing w:after="0" w:line="276" w:lineRule="auto"/>
        <w:rPr>
          <w:sz w:val="20"/>
          <w:szCs w:val="20"/>
          <w:color w:val="auto"/>
        </w:rPr>
      </w:pPr>
      <w:r>
        <w:rPr>
          <w:rFonts w:ascii="Arial" w:cs="Arial" w:eastAsia="Arial" w:hAnsi="Arial"/>
          <w:sz w:val="17"/>
          <w:szCs w:val="17"/>
          <w:color w:val="auto"/>
        </w:rPr>
        <w:t>In connection with obtaining the regulatory approvals required to complete the acquisition of HGST, we agreed to certain conditions required by the Ministry of Commerce of the People’s Republic of China (“MOFCOM”), including adopting measures to keep HGST as an independent competitor until MOFCOM agreed otherwise. On October 19, 2015, MOFCOM announced that it had made a decision allowing us to integrate substantial portions of our HGST and WD subsidiaries, provided that we continue to offer both HGST and WD product brands and maintain separate sales teams that will separately offer products under the WD and HGST brands for two years from the date of the decision.</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1" w:right="2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As a result of MOFCOM’s decision, we immediately began planning for the integration of the substantial portions of our HGST and WD subsidiaries that we are now allowed to integrate (including corporate functions, R&amp;D, recording heads and magnetic media operations, engineering and manufacturing). We expect this integration to continue through the end of calendar year 2017. Our integration efforts during this time may involve significant management time and create uncertainty for employees and customers. Any delays in the integration process could have a material adverse effect on our business, results of operations and financial condition. It is possible that the integration process could result in the loss of key employees, the loss of customers, the disruption of our company’s ongoing business or in unexpected integration issues, higher than expected integration costs and an overall integration process that takes longer than originally anticipated. Additionally, the integration of the operations of our HGST and Western Digital Technologies, Inc. (“WDT”) subsidiaries may also increase the risk that our internal controls are found to be ineffective. Further, until we are able to begin combining our HGST and WD product brands and sales teams on October 19, 2017, we will continue to incur additional costs to maintain separate brands and sales teams. These additional costs, along with any delay in the integration process or higher than expected integration costs or other integration issues, could adversely affect our ability to achieve the full operating expense synergies we expect from integration of the businesses of our HGST and WDT subsidiaries. Any failure to achieve the full operating expense synergies that we expect from this integration could harm our business and financial condition. Achieving these synergies is also subject to significant business, operational, economic and competitive uncertainties and contingencies, and we cannot assure you that any or all of these synergies will be achieved in the anticipated amounts or within the anticipated time frames or cost expectations or at all.</w:t>
      </w:r>
    </w:p>
    <w:p>
      <w:pPr>
        <w:spacing w:after="0" w:line="6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We participate in a highly competitive industry that is subject to declining average selling prices (“ASPs”), volatile gross margins and significant shifts in market share, all of which could adversely affect our operating results and financial condition.</w:t>
      </w:r>
    </w:p>
    <w:p>
      <w:pPr>
        <w:spacing w:after="0" w:line="62"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 of NAND flash memory is also influenced by, among other factors, the balance between supply and demand, including the effects of new fab capacity in the industry, macroeconomic factors, business conditions, technology transitions, conversion of industry DRAM capacity to NAND, conversion of 2-dimensional (“2D”) NAND capacity to 3D NAND or other actions taken by us or our competitors. The storage market has experienced periods of excess capacity, which can lead to liquidation of excess inventories and more intense price competition. If more intense price competition occurs, we may be forced to lower prices sooner and more than expected, which could adversely impact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Rapid technological changes often reduce the volume and profitability of sales of existing products and increase the risk of inventory obsolescence. These factors, along with others, may also result in significant shifts in market share among the industry’s major participants, including a substantial decrease in our market share, all of which could adversely impact our operating results and financial condition.</w:t>
      </w:r>
    </w:p>
    <w:p>
      <w:pPr>
        <w:spacing w:after="0" w:line="6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62"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data storage industry faces difficulties in accurately forecasting market and customer demand for its products. The variety and volume of products we manufacture are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original equipment manufacturers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excess inventory and price decreases, which could impact our financial performance.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experience significant sales seasonality and cyclicality, which could cause our operating results to fluctuate.</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Sales of computer systems, mobile devices, storage subsystems, gaming consoles and consumer electronics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Our sales to the CE, cloud computing, network attached storage (NAS), surveillance systems and enterprise markets, which have accounted for and may continue accounting for an increasing percentage of our overall revenue, may grow at a slower rate than current estimates or not at all, which could materially adversely impact our operating results and financial condition.</w:t>
      </w:r>
    </w:p>
    <w:p>
      <w:pPr>
        <w:spacing w:after="0" w:line="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secular growth of digital data has resulted in a more diversified mix of revenue from the CE, cloud computing, NAS, surveillance systems and enterprise markets. As sales into these markets have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79" w:lineRule="exact"/>
        <w:rPr>
          <w:sz w:val="20"/>
          <w:szCs w:val="20"/>
          <w:color w:val="auto"/>
        </w:rPr>
      </w:pPr>
    </w:p>
    <w:p>
      <w:pPr>
        <w:ind w:left="660" w:right="4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Mobile Devices. There has been and continues to be a rapid growth in devices that do not contain a hard drive such as tablet computers and smart phones. As tablet computers and smart phones provide many of the same capabilities as PCs, they have displaced or materially affected, and we expect will continue to displace or materially affect, the demand for PCs. If we are not successful in adapting our product offerings to include disk drives or alternative storage solutions that address these devices, even after our acquisition of SanDisk, demand for our products in these markets may decrease and our financial results could be materially adversely affected. In addition, global slowdown in the growth rate of mobile devices will also negatively impact our financial results.</w:t>
      </w:r>
    </w:p>
    <w:p>
      <w:pPr>
        <w:spacing w:after="0" w:line="85" w:lineRule="exact"/>
        <w:rPr>
          <w:rFonts w:ascii="Arial" w:cs="Arial" w:eastAsia="Arial" w:hAnsi="Arial"/>
          <w:sz w:val="18"/>
          <w:szCs w:val="18"/>
          <w:color w:val="auto"/>
        </w:rPr>
      </w:pPr>
    </w:p>
    <w:p>
      <w:pPr>
        <w:ind w:left="660" w:right="20" w:hanging="328"/>
        <w:spacing w:after="0" w:line="27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Enterprise. The enterprise storage space is comprised of customers with long design, qualification and test cycles prior to sales. We spend substantial time and resources in our sales process without any assurance that our efforts will produce any customer orders on the timelines or in the quantities we expect. These lengthy and uncertain processes also make it difficult for us to forecast demand and timing of customer orders. Due to longer customer product cycles, we may not be able to transition customers to our leading edge products, which would prevent us from benefitting from the technology transitions that enable cost reductions, which may harm our gross margin. Demand for our enterprise solutions from our hyperscale customers is correlated to large projects and expansions which can be sporadic, resulting in demand that is lumpy and less consistent than the consumer-driven demand for many of our solutions. Hyperscale customers may place orders for significant volumes with short lead times that may be difficult for us to fulfill, and sales to hyperscale customers may negatively impact gross margins due to product mix and pricing, each of which could adversely affect our business. In addition, hyperscale companies may internally develop enterprise storage solutions that reduce the demand for our solutions.</w:t>
      </w:r>
    </w:p>
    <w:p>
      <w:pPr>
        <w:spacing w:after="0" w:line="69" w:lineRule="exact"/>
        <w:rPr>
          <w:rFonts w:ascii="Arial" w:cs="Arial" w:eastAsia="Arial" w:hAnsi="Arial"/>
          <w:sz w:val="17"/>
          <w:szCs w:val="17"/>
          <w:color w:val="auto"/>
        </w:rPr>
      </w:pPr>
    </w:p>
    <w:p>
      <w:pPr>
        <w:ind w:left="660" w:right="160" w:hanging="328"/>
        <w:spacing w:after="0" w:line="27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Cloud Computing. Consumers traditionally have stored their data on their PC, often supplemented with personal external storage devices. Most businesses also include similar local storage as a primary or secondary storage location. This storage is typically provided by hard disk drives (“HDDs”) and increasingly solid-state drives (“SSDs”). With cloud computing, applications and data are hosted, accessed and processed through a third-party provider over a broadband Internet connection, potentially reducing or eliminating the need for, among other things, significant storage inside the accessing electronic device. Even if we are successful at increasing revenues from sales to cloud computing customers, if we are not successful in manufacturing compelling products to address the cloud computing opportunity, demand for our products in these other markets may decrease and our financial results could be materially adversely affected. Demand for cloud computing solutions themselves may be volatile due to differing patterns of technology adoption and innovation, improved data storage efficiency by cloud computing service providers, and concerns about data protection by end users.</w:t>
      </w:r>
    </w:p>
    <w:p>
      <w:pPr>
        <w:spacing w:after="0" w:line="73"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Obsolete Inventory. In some cases, products we manufacture for these markets are uniquely configured for a single customer’s application, creating a risk of obsolete inventory if anticipated demand is not actually realized. In addition, rapid technological change in our industry increases the risk of inventory obsolescence.</w:t>
      </w:r>
    </w:p>
    <w:p>
      <w:pPr>
        <w:spacing w:after="0" w:line="73"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Macroeconomic Conditions. Consumer spending has been, and may continue to be, adversely affected in many regions due to negative macroeconomic conditions and high unemployment levels. Please see the risk factor entitled “</w:t>
      </w:r>
      <w:r>
        <w:rPr>
          <w:rFonts w:ascii="Arial" w:cs="Arial" w:eastAsia="Arial" w:hAnsi="Arial"/>
          <w:sz w:val="18"/>
          <w:szCs w:val="18"/>
          <w:i w:val="1"/>
          <w:iCs w:val="1"/>
          <w:color w:val="auto"/>
        </w:rPr>
        <w:t>Adverse global economic conditions and credit market</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uncertainty could harm our business, results of operations and financial condition</w:t>
      </w:r>
      <w:r>
        <w:rPr>
          <w:rFonts w:ascii="Arial" w:cs="Arial" w:eastAsia="Arial" w:hAnsi="Arial"/>
          <w:sz w:val="18"/>
          <w:szCs w:val="18"/>
          <w:color w:val="auto"/>
        </w:rPr>
        <w:t>” for additional risks and uncertainties relating to macroeconomic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1"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addition, demand in these areas also could be negatively impacted by developments in the regulation and enforcement of digital rights management and the emergence of new technologies, such as data duplication, compression and storage virtualization. If we are not able to respond appropriately, these factors could lead to our customers’ storage needs being satisfied at lower prices with lower capacity hard drives or solid-state storage products, thereby decreasing our revenue or 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and financial condition. Furthermore, our ability to accurately read and respond to market trends, such as trends relating to the Internet of Things or big data, could harm our results.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Deterioration in the PC market may continue or accelerate, which could cause our operating results to suffer.</w:t>
      </w:r>
    </w:p>
    <w:p>
      <w:pPr>
        <w:spacing w:after="0" w:line="11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While sales to non-PC markets are becoming a more significant source of revenue, sales to the PC market remain an important part of our business. We believe that sales of PCs have declined due to fundamental changes in the PC market, including the growth of alternative mobile devices and the lengthening of product life cycles, and that further deterioration of the PC market may continue or accelerate, which could cause our operating results and financial condition to suffer. Additionally, if demand in the PC market is worse than expected as a result of these or other conditions, or demand for our products in the PC market decreases at a faster rate than expected, our operating results and financial condition may be adversely affected.</w:t>
      </w:r>
    </w:p>
    <w:p>
      <w:pPr>
        <w:spacing w:after="0" w:line="5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62"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We must successfully respond to the rapid change away from traditional advertising media, marketing and sales methods to the use of Internet media and advertising, particularly social media, and online sales, or our brand and retail sales could be negatively affected.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WD, HGST™ or SanDisk brand products, our operating results may be adversely affected. A significant portion of our sales is made through retailers, and if our retailers are not successful in selling our products, not only would our revenue decrease, but we could also experience lower gross margin due to the return of unsold inventory or the protection we provide to retailers against price declines.</w:t>
      </w:r>
    </w:p>
    <w:p>
      <w:pPr>
        <w:spacing w:after="0" w:line="7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i w:val="1"/>
          <w:iCs w:val="1"/>
          <w:color w:val="auto"/>
        </w:rPr>
        <w:t>Sales in the distribution channel are important to our business, and if we fail to respond to demand changes in distribution markets or if distribution markets for our products weaken, our operating results could suffer.</w:t>
      </w:r>
    </w:p>
    <w:p>
      <w:pPr>
        <w:spacing w:after="0" w:line="62"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Loss of market share with or by a key customer, or consolidation among our customer base, could harm our operating results.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During the three months ended September 30, 2016, 43%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and financial condition would likely be harmed.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we could decide not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64"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57" w:lineRule="exact"/>
        <w:rPr>
          <w:sz w:val="20"/>
          <w:szCs w:val="20"/>
          <w:color w:val="auto"/>
        </w:rPr>
      </w:pPr>
    </w:p>
    <w:p>
      <w:pPr>
        <w:ind w:right="600" w:firstLine="324"/>
        <w:spacing w:after="0" w:line="264" w:lineRule="auto"/>
        <w:rPr>
          <w:sz w:val="20"/>
          <w:szCs w:val="20"/>
          <w:color w:val="auto"/>
        </w:rPr>
      </w:pPr>
      <w:r>
        <w:rPr>
          <w:rFonts w:ascii="Arial" w:cs="Arial" w:eastAsia="Arial" w:hAnsi="Arial"/>
          <w:sz w:val="18"/>
          <w:szCs w:val="18"/>
          <w:i w:val="1"/>
          <w:iCs w:val="1"/>
          <w:color w:val="auto"/>
        </w:rPr>
        <w:t>Expansion into new markets may increase the complexity of our business, cause us to increase our R&amp;D expenses to develop new products and technologies or cause our capital expenditures to increase, and if we are unable to successfully adapt our business processes and product offerings as required by these new markets, our ability to grow will be adversely affected.</w:t>
      </w:r>
    </w:p>
    <w:p>
      <w:pPr>
        <w:spacing w:after="0" w:line="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 remain a significant supplier in the storage industry and to expand into new markets, we will need to offer a broader range of storage products to our customers. We currently offer a variety of 3.5-inch and 2.5-inch hard drives, solid state drives and systems, flash storage solutions, and other products for the PC, mobile, enterprise, data center and other storage markets. As we expand our product lines to sell into new markets, such as our recent entry into active archive systems and new flash memory business through the Merger, including the vertically integrated business model through Flash Ventures, the overall complexity of our business may increase at an accelerated rate and we may become subject to different market dynamics. These dynamics may include, among other things, different demand volume, cyclicality, seasonality, product requirements, sales channels, and warranty and return policies. In addition, expansion into other markets may result in increases in R&amp;D expenses and substantial investments in manufacturing capability, technology enhancements and go-to-market capability. Flash Ventures requires significant investments by both Toshiba and us for technology transitions, including the transition to 3D NAND, and capacity expansions. If we fail to successfully expand into new markets with products that we do not currently offer, we may lose business to our competitors or new entrants who offer these products.</w:t>
      </w:r>
    </w:p>
    <w:p>
      <w:pPr>
        <w:spacing w:after="0" w:line="7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i w:val="1"/>
          <w:iCs w:val="1"/>
          <w:color w:val="auto"/>
        </w:rPr>
        <w:t>Our vertical integration of recording head and magnetic media manufacturing makes us dependent on our ability to timely and cost-effectively develop recording heads and magnetic media with leading technology and overall quality, increasing capital expenditure costs and asset utilization risks for our business.</w:t>
      </w:r>
    </w:p>
    <w:p>
      <w:pPr>
        <w:spacing w:after="0" w:line="7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develop and manufacture a substantial portion of the recording heads and magnetic media used in the hard drive products we produce. Consequently, we are more dependent upon our own development and execution efforts and less able to take advantage of recording head and magnetic media technologies developed by other manufacturers. Technology transition for recording heads and magnetic media designs is critical to increasing our volume production of recording heads and magnetic media. We may be unsuccessful in timely and cost-effectively developing and manufacturing recording heads or magnetic media for products using future technologies. We also may not effectively transition our recording head or magnetic media design and technology to achieve acceptable manufacturing yields using the technologies necessary to satisfy our customers’ product needs, or we may encounter quality problems with the recording heads or magnetic media we manufacture. If we are unable to timely and cost-effectively develop recording heads and magnetic media with leading technology and overall quality, our ability to sell our products may be significantly diminished, which could materially and adversely affect our business and financial results.</w:t>
      </w:r>
    </w:p>
    <w:p>
      <w:pPr>
        <w:spacing w:after="0" w:line="74"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addition, as a result of our vertical integration of recording heads and magnetic media manufacturing, we make more capital investments and carry a higher percentage of fixed costs than we would if we were not vertically integrated. If our overall level of production decreases for any reason, and we are unable to reduce our fixed costs to match sales, our recording head or magnetic media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recording head or magnetic media manufacturing operations, our ongoing operations could be disrupted, resulting in a decrease in our revenue or profit margins and negatively impacting our operating results.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1"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We make significant investments in R&amp;D to improve our technology and develop new technologies, and unsuccessful investments or investments that are not cost effective could materially adversely affect our business, financial condition and results of operations.</w:t>
      </w:r>
    </w:p>
    <w:p>
      <w:pPr>
        <w:spacing w:after="0" w:line="6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As a leading supplier of hard drives and flash storage solutions, we make significant investments to maintain our existing products and to lead innovation and development of new technologies. This strategy requires us to make significant investments in R&amp;D. In addition, we may increase our capital expenditures and expenses above our historical run-rate model in order to remain competitive or as a result of the Merger with SanDisk, which has historically maintained higher levels of investment in R&amp;D than our company. The current inherent physical limitations associated with storage technologies are resulting in more costly capital expenditures that reduce the cost benefits of technology transitions and could limit our ability to keep pace with reductions in ASPs. These investments may not result in viable technologies or products, and even if they do result in viable technologies or products, they may not be profitable or accepted by the market. Significant investments in unsuccessful or cost-ineffective R&amp;D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Current or future competitors may gain a technology advantage or develop an advantageous cost structure that we cannot match.</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price, capacity, performance, reliability, serviceability, industry standards or formats, brand and marketing,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 The Chinese government and various agencies, state-owned or affiliated enterprises and investment funds are making significant investments to promote China’s domestic semiconductor industry consistent with the government’s stated national policy objectives. If we are unable to effectively compete with any manufacturers located in China or non-Chinese competitors benefitting from alliances with Chinese companies in the markets where we compete, our operating results and financial condition will suffer.</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Consolidation within the data storage industry could provide competitive advantages to our competitors.</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data storage industry as a whole has experienced consolidation over the past several years through acquisitions, mergers and decisions by industry players to exit the industry. Consolidation across the industry, including by our competitors, may enhance their capacity, abilities and resources and lower their cost structure, causing us to be at a competitive disadvantage.</w:t>
      </w:r>
    </w:p>
    <w:p>
      <w:pPr>
        <w:spacing w:after="0" w:line="7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Some of our competitors with diversified business units outside of storage products, may, over extended periods of time, sell storage products at prices that we cannot profitably match.</w:t>
      </w:r>
    </w:p>
    <w:p>
      <w:pPr>
        <w:spacing w:after="0" w:line="62"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jc w:val="right"/>
        <w:ind w:left="340" w:right="600"/>
        <w:spacing w:after="0" w:line="361" w:lineRule="auto"/>
        <w:rPr>
          <w:sz w:val="20"/>
          <w:szCs w:val="20"/>
          <w:color w:val="auto"/>
        </w:rPr>
      </w:pPr>
      <w:r>
        <w:rPr>
          <w:rFonts w:ascii="Arial" w:cs="Arial" w:eastAsia="Arial" w:hAnsi="Arial"/>
          <w:sz w:val="16"/>
          <w:szCs w:val="16"/>
          <w:i w:val="1"/>
          <w:iCs w:val="1"/>
          <w:color w:val="auto"/>
        </w:rPr>
        <w:t xml:space="preserve">If we fail to qualify our products and achieve design wins with our customers, it may have a significant adverse impact on our sales and margins. </w:t>
      </w:r>
      <w:r>
        <w:rPr>
          <w:rFonts w:ascii="Arial" w:cs="Arial" w:eastAsia="Arial" w:hAnsi="Arial"/>
          <w:sz w:val="16"/>
          <w:szCs w:val="16"/>
          <w:color w:val="auto"/>
        </w:rPr>
        <w:t>We regularly engage in new product qualification with our customers, and the product qualification process may be lengthy for some customers,</w:t>
      </w:r>
    </w:p>
    <w:p>
      <w:pPr>
        <w:spacing w:after="0" w:line="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including those in enterprise storage.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OEMs and hyperscale customers,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 Even if our products meet customer specifications, our sales to these customers are dependent upon the customers choosing our products over those of our competitors and purchasing our products in sufficient volume, our ability to supply our products in sufficient quantity and in a timely manner and, with respect to OEM partners, the OEMs’ ability to create, market and successfully sell products containing our solutions. Moreover, in transitioning to new technologies, such as 3D NAND, and products, we may not achieve design wins, our customers may delay transition to these new technologies, our competitors may transition more quickly than we do, or we may experience product delays, cost overruns or performance issues that could harm our operating results and financial condition.</w:t>
      </w:r>
    </w:p>
    <w:p>
      <w:pPr>
        <w:spacing w:after="0" w:line="59"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i w:val="1"/>
          <w:iCs w:val="1"/>
          <w:color w:val="auto"/>
        </w:rPr>
        <w:t>We are subject to risks related to product defects or the unintended use or security breaches of our products, which could result in product recalls or epidemic failures and could subject us to warranty claims in excess of our warranty provisions or which are greater than anticipated, litigation or indemnification claims.</w:t>
      </w:r>
    </w:p>
    <w:p>
      <w:pPr>
        <w:spacing w:after="0" w:line="73"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6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8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Certain of our products contain encryption or security algorithms to protect third party content and user-generated data stored on our products. To the extent our products are hacked or the encryption schemes are compromised or breached, this could harm our business by hurting our reputation, requiring us to employ additional resources to fix the errors or defects and expose us to litigation and indemnification claims.</w:t>
      </w:r>
    </w:p>
    <w:p>
      <w:pPr>
        <w:spacing w:after="0" w:line="5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and subject us to liability.</w:t>
      </w:r>
    </w:p>
    <w:p>
      <w:pPr>
        <w:spacing w:after="0" w:line="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We rely substantially on our business ventures and strategic partnerships with Toshiba for the supply of NAND flash memory, which subjects us to risks and uncertainties that could harm our business, financial condition and operating results.</w:t>
      </w:r>
    </w:p>
    <w:p>
      <w:pPr>
        <w:spacing w:after="0" w:line="62"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We are dependent on Flash Ventures and other strategic relationships with Toshiba for our NAND flash memory supply, and therefore our business, financial condition and operating results, and our ability to realize the anticipated benefits from the Merger, will be dependent on the success of Flash Ventures and other strategic relationships with Toshiba.</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A majority of our NAND flash memory is supplied by Flash Ventures, which limits our ability to respond to demand and supply changes. A failure to accurately forecast demand could cause us to over-invest or under-invest in technology transitions or the expansion of captive memory capacity in Flash Ventures. Over-investment could result in excess supply, which could cause significant decreases in our product prices, significant excess, obsolete or lower of cost or net realizable value inventory write-downs or under-utilization charges, and the potential impairment of our investments in Flash Ventures. On the other hand, if we or Toshiba under-invest in captive memory capacity or technology transitions, if we grow capacity more slowly than the rest of the industry, if our technology transitions do not occur on the timeline that we expect, if we encounter unanticipated difficulties in implementing these transitions, or if we implement technology transitions more slowly than our competitors, we may not have enough captive supply of the right type of memory or at all to meet demand on a timely and cost effective basis and we may lose opportunities for revenue, gross margin and share as a result. If our NAND memory supply is limited, we may make strategic decisions with respect to the allocation of our supply among our products and customers, and these strategic allocation decisions may result in less favorable gross margin in the short term or damage certain customer relationships. Growth of our NAND flash memory bit supply at a slower rate than the overall industry for an extended period of time would result in lowering our share which could limit our future opportunities and harm our financial results. We are also contractually obligated to pay for 50% of the fixed costs of Flash Ventures regardless of whether we purchase any wafers from Flash Ventures. Furthermore, purchase orders placed with Flash Ventures and under the foundry arrangements with Toshiba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70" w:lineRule="exact"/>
        <w:rPr>
          <w:sz w:val="20"/>
          <w:szCs w:val="20"/>
          <w:color w:val="auto"/>
        </w:rPr>
      </w:pPr>
    </w:p>
    <w:p>
      <w:pPr>
        <w:ind w:right="480" w:firstLine="405"/>
        <w:spacing w:after="0" w:line="308" w:lineRule="auto"/>
        <w:rPr>
          <w:sz w:val="20"/>
          <w:szCs w:val="20"/>
          <w:color w:val="auto"/>
        </w:rPr>
      </w:pPr>
      <w:r>
        <w:rPr>
          <w:rFonts w:ascii="Arial" w:cs="Arial" w:eastAsia="Arial" w:hAnsi="Arial"/>
          <w:sz w:val="17"/>
          <w:szCs w:val="17"/>
          <w:color w:val="auto"/>
        </w:rPr>
        <w:t>In addition, we partner with Toshiba on the development of NAND flash technology. SanDisk has entered into strategic partnerships with Toshiba relating to R&amp;D for the next technology transitions of NAND flash and alternative technologies beyond NAND flash technologies.</w:t>
      </w:r>
    </w:p>
    <w:p>
      <w:pPr>
        <w:spacing w:after="0" w:line="3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These ventures and strategic partnerships are subject to various risks that could harm the value of our investments, our revenue and costs, our future rate of spending, our technology plans and our future growth opportunities. Under the terms of SanDisk’s venture agreements with Toshiba, which govern the operations of Flash Ventures, we have limited power to unilaterally direct most of the activities that most significantly impact Flash Ventures’ performance. Although SanDisk and Toshiba have a long history of aligning on important manufacturing and technology development decisions, the integration of SanDisk into our organization could complicate the process of reaching agreement with Toshiba in a timely and favorable manner. We may not always agree with Toshiba on the NAND R&amp;D roadmap, the technology path beyond NAND flash memory, or expansions or conversions of production capacity. A change in the management or control of Toshiba’s storage business could lead to delays in decision-making or changes in strategic direction that could also adversely impact Flash Ventures. In addition, Toshiba’s financial position or shift in strategic priorities could adversely impact our business.</w:t>
      </w:r>
    </w:p>
    <w:p>
      <w:pPr>
        <w:spacing w:after="0" w:line="5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Flash Ventures requires significant investments by both Toshiba and us for technology transitions, including the transition to 3D NAND, and capacity expansions. In March 2016, Toshiba announced plans to construct a new wafer fab in Yokkaichi, Japan, to provide additional cleanroom space for expanded 3D NAND production. Although we intend to extend the joint venture partnership with Toshiba to the new wafer fab, there is no certainty as to when, and on what terms, we will participate with Toshiba in any investment in, or use of, the new wafer fab, if at all. Failure to extend the joint venture partnership or failure to continue to secure and invest in additional cleanroom space to support the continued 3D NAND transition could adversely impact our supply of captive NAND flash memory and financial results. If Toshiba does not or we do not provide sufficient resources or have adequate access to credit, these investments could be delayed or reduced. In addition, in the event that lease financings for Flash Ventures are not available on favorable terms or at all, more cash would be required to fund these investments.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1"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strategic relationships subject us to risks that could adversely affect our business, financial condition and results of operations.</w:t>
      </w:r>
    </w:p>
    <w:p>
      <w:pPr>
        <w:spacing w:after="0" w:line="117"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We have entered into strategic relationships with various partners for future product development, sales growth and the supply of technologies, components, equipment and materials for use in our product design and manufacturing, including our relationships with Toshiba for NAND flash memory supply. In addition, in the first quarter of 2017, our joint venture with Unisplendour Corporation Limited (“Unis”) to market and sell our current data center storage systems in China and to develop data storage systems for the Chinese market in the future became operational; the joint venture is 49% owned by us and 51% owned by Unis and its subsidiary, Unissoft (Wuxi) Group Co. Ltd. Please see the risk factor entitled “</w:t>
      </w:r>
      <w:r>
        <w:rPr>
          <w:rFonts w:ascii="Arial" w:cs="Arial" w:eastAsia="Arial" w:hAnsi="Arial"/>
          <w:sz w:val="17"/>
          <w:szCs w:val="17"/>
          <w:i w:val="1"/>
          <w:iCs w:val="1"/>
          <w:color w:val="auto"/>
        </w:rPr>
        <w:t>Because we are dependent on a limited</w:t>
      </w:r>
      <w:r>
        <w:rPr>
          <w:rFonts w:ascii="Arial" w:cs="Arial" w:eastAsia="Arial" w:hAnsi="Arial"/>
          <w:sz w:val="17"/>
          <w:szCs w:val="17"/>
          <w:color w:val="auto"/>
        </w:rPr>
        <w:t xml:space="preserve"> </w:t>
      </w:r>
      <w:r>
        <w:rPr>
          <w:rFonts w:ascii="Arial" w:cs="Arial" w:eastAsia="Arial" w:hAnsi="Arial"/>
          <w:sz w:val="17"/>
          <w:szCs w:val="17"/>
          <w:i w:val="1"/>
          <w:iCs w:val="1"/>
          <w:color w:val="auto"/>
        </w:rPr>
        <w:t>number of qualified suppliers for components, sub-assemblies,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7"/>
          <w:szCs w:val="17"/>
          <w:color w:val="auto"/>
        </w:rPr>
        <w:t>” for a further description of the risks associated with our reliance on external suppliers. These strategic relationships are subject to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risks that could adversely affect the value of our investments and our results of operations and financial condition. These risks include, but are not limited to, the following:</w:t>
      </w:r>
    </w:p>
    <w:p>
      <w:pPr>
        <w:spacing w:after="0" w:line="70" w:lineRule="exact"/>
        <w:rPr>
          <w:sz w:val="20"/>
          <w:szCs w:val="20"/>
          <w:color w:val="auto"/>
        </w:rPr>
      </w:pPr>
    </w:p>
    <w:p>
      <w:pPr>
        <w:ind w:left="660" w:right="1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and transferring technology to, our business ventures;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140"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due to differing business models or long-term business goals, our partners may decide not to join us in funding capital investment by our business ventures, which may result in higher levels of cash expenditures by us;</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lose the rights to technology or products being developed by the strategic relationship, including if any of our co-venturers is acquired by another company, files for bankruptcy or experiences financial or other losses;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6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i w:val="1"/>
          <w:iCs w:val="1"/>
          <w:color w:val="auto"/>
        </w:rPr>
        <w:t>Because we are dependent on a limited number of qualified suppliers for components, 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p>
    <w:p>
      <w:pPr>
        <w:spacing w:after="0" w:line="7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depend on an external supply base for technologies, software (including firmware), controller,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Our supply base has experienced industry consolidation. Where we rely on a limited number of suppliers or a single supplier, the risk of supplier loss due to industry consolidation is enhanced. Any disruption in our supply chain could reduce our revenue and adversely impact our financial results.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From time to time, our suppliers have experienced difficulty meeting our requirements. If we are unable to purchase sufficient quantities from our current suppliers or qualify and engage additional suppliers, we may not be able to meet demand for our products. We do not have long-term contracts with some of our existing suppliers, nor do we always have guaranteed manufacturing capacity with our suppliers and, therefore, we cannot guarantee that they will devote sufficient resources or capacity to manufacturing our products. We are not able to directly control product delivery schedules or quality assurance. Furthermore, we manufacture on a turnkey basis with some of our suppliers. In these arrangements, we do not have visibility and control of our suppliers’ inventories of purchased parts necessary to build our products or of the progress of our products through their assembly line. Any significant problems that occur at our suppliers, or their failure to perform at the level we expect, could lead to product shortages or quality assurance problems, either of which would harm our operating results and financial condition. In addition, if we are unable to purchase sufficient quantities from our current suppliers, we may not be able to engage alternative suppliers who are able or willing to provide goods or services in sufficient quantities or at a cost acceptable to us.</w:t>
      </w:r>
    </w:p>
    <w:p>
      <w:pPr>
        <w:spacing w:after="0" w:line="59" w:lineRule="exact"/>
        <w:rPr>
          <w:sz w:val="20"/>
          <w:szCs w:val="20"/>
          <w:color w:val="auto"/>
        </w:rPr>
      </w:pPr>
    </w:p>
    <w:p>
      <w:pPr>
        <w:ind w:right="380" w:firstLine="405"/>
        <w:spacing w:after="0" w:line="286" w:lineRule="auto"/>
        <w:rPr>
          <w:sz w:val="20"/>
          <w:szCs w:val="20"/>
          <w:color w:val="auto"/>
        </w:rPr>
      </w:pPr>
      <w:r>
        <w:rPr>
          <w:rFonts w:ascii="Arial" w:cs="Arial" w:eastAsia="Arial" w:hAnsi="Arial"/>
          <w:sz w:val="17"/>
          <w:szCs w:val="17"/>
          <w:color w:val="auto"/>
        </w:rPr>
        <w:t>Our products require controllers and firmware. We rely on a limited number of third-party vendors to develop or supply controllers for many of our high-value solutions. Any delays or cost increases in developing or sourcing controllers or firmware, or incompatibility or quality issues relating to the controllers or firmware in our products, could harm our financial results as well as business relationships with our customers.</w:t>
      </w:r>
    </w:p>
    <w:p>
      <w:pPr>
        <w:spacing w:after="0" w:line="5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 majority of our flash memory is currently supplied by Flash Ventures and, to a much lesser extent, by third-party silicon suppliers. Any disruption or shortage in supply of flash memory from our captive or non-captive sources would harm our operating results and financial condition. Many of the risks that affect us also affect our supply base and Flash Ventures, including, but not limited to, having single site manufacturing locations and other facilities based in high risk regions of the world (for example, Flash Ventures is located in Yokkaichi, Japan), natural disasters, power shortages, macro and local economic conditions, shortages of commodity materials, proper management of technology transitions, geo-political risks, employee strikes and other labor actions, compliance with legal requirements, financial instability and exposure to intellectual property (“IP”) and other litigation, including an injunction or other action that could delay shipping. If any of these risks were to affect our suppliers or Flash Ventures,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and strategic partners to develop new technologies and, as a result, we may become subject to litigation from our suppliers, strategic partners or third parties.</w:t>
      </w:r>
    </w:p>
    <w:p>
      <w:pPr>
        <w:spacing w:after="0" w:line="6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Some of our suppliers have also experienced a decline in financial performance.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Our success in new product areas may be dependent on our ability to develop close relationships with new suppliers, with preferential agreements. Where this cannot be done, our business and operations may be adversely affected.</w:t>
      </w:r>
    </w:p>
    <w:p>
      <w:pPr>
        <w:spacing w:after="0" w:line="70" w:lineRule="exact"/>
        <w:rPr>
          <w:sz w:val="20"/>
          <w:szCs w:val="20"/>
          <w:color w:val="auto"/>
        </w:rPr>
      </w:pPr>
    </w:p>
    <w:p>
      <w:pPr>
        <w:ind w:right="500" w:firstLine="405"/>
        <w:spacing w:after="0" w:line="273" w:lineRule="auto"/>
        <w:rPr>
          <w:sz w:val="20"/>
          <w:szCs w:val="20"/>
          <w:color w:val="auto"/>
        </w:rPr>
      </w:pPr>
      <w:r>
        <w:rPr>
          <w:rFonts w:ascii="Arial" w:cs="Arial" w:eastAsia="Arial" w:hAnsi="Arial"/>
          <w:sz w:val="17"/>
          <w:szCs w:val="17"/>
          <w:color w:val="auto"/>
        </w:rPr>
        <w:t>In addition to an external supply base, we also rely on an internal supply chain of heads, media and media substrate, and we rely on our business ventures with Toshiba for the supply of NAND flash memory. Please see the risk factors entitled, “</w:t>
      </w:r>
      <w:r>
        <w:rPr>
          <w:rFonts w:ascii="Arial" w:cs="Arial" w:eastAsia="Arial" w:hAnsi="Arial"/>
          <w:sz w:val="17"/>
          <w:szCs w:val="17"/>
          <w:i w:val="1"/>
          <w:iCs w:val="1"/>
          <w:color w:val="auto"/>
        </w:rPr>
        <w:t>A fundamental change in storage technologies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standards could result in significant increases in our costs and could put us at a competitive disadvantage,” “If we do not properly manage technology transitions, our competitiveness and operating results may be negatively affected,” and “We rely substantially on our business ventures and strategic partnerships with Toshiba for the supply of NAND flash memory, which subjects us to risks and uncertainties that could harm our business, financial condition and operating results” </w:t>
      </w:r>
      <w:r>
        <w:rPr>
          <w:rFonts w:ascii="Arial" w:cs="Arial" w:eastAsia="Arial" w:hAnsi="Arial"/>
          <w:sz w:val="17"/>
          <w:szCs w:val="17"/>
          <w:color w:val="auto"/>
        </w:rPr>
        <w:t>for a review of some of the risks related to these supplies.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1"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Price volatility, shortages of critical materials or components, or use by other industries of materials and components used in the storage industry, may negatively impact our operating results.</w:t>
      </w:r>
    </w:p>
    <w:p>
      <w:pPr>
        <w:spacing w:after="0" w:line="62"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 flash,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6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Contractual commitments with component suppliers may result in us paying increased charges and cash advances for such components or may cause us to have inadequate or excess component inventory.</w:t>
      </w:r>
    </w:p>
    <w:p>
      <w:pPr>
        <w:spacing w:after="0" w:line="62"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 we do not properly manage technology transitions, our competitiveness and operating results may be negatively affected.</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or keep pace with ASP reduction, which could harm our operating results.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7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Our successful development of 3D NAND and alternative technologies, such as 3D resistive random-access memory (“ReRAM”), and transitioning our customers to these technologies in a timely and effective manner are crucial to continuing the cost reductions necessary to maintain adequate gross margin. In transitioning our 2D NAND manufacturing capacity to 3D NAND technology, we could experience delays or other challenges in the production ramp, qualification of wafers, shipment of samples to customers or customer approval process. 3D NAND and any new manufacturing node may be more susceptible to manufacturing yield issues. Manufacturing yield issues may not be identified during the development or production process or solved until an actual product is manufactured and tested, further increasing our costs. If our technology transitions, including the production ramp of 3D NAND technology, take longer, are more costly to complete than anticipated, or do not improve manufacturing yield or other manufacturing efficiencies, our flash memory costs may not remain competitive with other NAND flash memory producers or may not fall commensurate with declines in the price of NAND flash memory, which would harm revenues, our gross margin and operating results.</w:t>
      </w:r>
    </w:p>
    <w:p>
      <w:pPr>
        <w:spacing w:after="0" w:line="74"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Many companies, including some of our competitors, have developed or are attempting to develop alternative non-volatile technologies. Successful broad-based commercialization of one or more competing technologies, as well as differing strategies and timing with respect to the transition from 2D NAND to 3D NAND, could reduce the competitiveness and future revenue and profitability of our 2D NAND and 3D NAND flash technologies, and the potential 3D ReRAM technology that we are developing with our partners. In addition, we generate license and royalty revenue from NAND flash technology, and if NAND flash technology is replaced by a technology where our IP is less relevant, our license and royalty revenue would decrease. Also, we may not have access to alternative technologies that we do not develop internally and we may have to pay royalties in order to access such technologies.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product life cycles could adversely affect our financial results.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If product life cycles lengthen, we may need to develop new technologies or programs to reduce our costs on any particular product to maintain competitive pricing for that product. Longer product life cycles could also restrict our ability to transition customers to our newer products in a timely manner, or at all, negatively impacting our ability to recoup our significant R&amp;D investments to improve our existing technology and develop new technologies.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57"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i w:val="1"/>
          <w:iCs w:val="1"/>
          <w:color w:val="auto"/>
        </w:rPr>
        <w:t>A fundamental change in storage technologies and standards could result in significant increases in our costs and could put us at a competitive disadvantage.</w:t>
      </w:r>
    </w:p>
    <w:p>
      <w:pPr>
        <w:spacing w:after="0" w:line="62"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Historically, when the industry experiences a fundamental change in storage technologies or standards, any manufacturer that fails to successfully and timely adjust its designs and processes to accommodate the new technology or standard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In addition, many companies, including some of our competitors, have developed or are attempting to develop alternative non-volatile technologies, including non-NAND technologies such as magnetorestitive RAM, ReRAM, 3D XPoint, phase change and Memristor, as well as NAND based vertical or stacked 3D memories based on charge trap, floating gate and other cell architecture. In embedded solutions, certain competitors have recently introduced a mobile storage standard referred to as Universal Flash Storage (“UFS”). In the data center market, certain competitors have recently introduced a non-volatile memory express (“NVMe”) product that can be used as a substitute for our PCIe solutions. In addition, a provider of processors and non-volatile memory solutions may be developing a new standard to attach ultra-low latency non-volatile memory to its processor memory bus, which it may choose not to license to its competitors, resulting in it being a single source provider of such non-volatile memory solutions. As a result of these shifts in technology and standards, we could incur substantial costs in developing new technologies, such as recording heads, magnetic media and tools, in adopting new standards or in investing in different capital equipment or manufacturing processes to remain competitive. If we fail to successfully implement these new technologies or standards, or if we are significantly slower than our competitors at implementing new technologies or standards, we may not be able to offer products with capacities and capabilities that our customers desire, which could harm our operating results.</w:t>
      </w:r>
    </w:p>
    <w:p>
      <w:pPr>
        <w:spacing w:after="0" w:line="6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The difficulty of introducing hard drives with higher levels of areal density and the challenges of reducing other costs may impact our ability to achieve historical levels of cost reduction.</w:t>
      </w:r>
    </w:p>
    <w:p>
      <w:pPr>
        <w:spacing w:after="0" w:line="62"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recording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Our license and royalty revenue may fluctuate or decline significantly in the future due to license agreement expirations or renewals, declines in sales of the products or use of technology underlying the license and royalty revenue by our licensees, or if licensees fail to perform on a portion or all of their contractual obligations.</w:t>
      </w:r>
    </w:p>
    <w:p>
      <w:pPr>
        <w:spacing w:after="0" w:line="73"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If our existing licensees do not renew their licenses upon expiration, renew or sign new agreements on less favorable terms, exercise their option to terminate the license or fail to exercise their option to extend the licenses, or we are not successful in signing new licensees in the future, our license revenue, profitability and cash provided by operating activities would be harmed and we may incur significant patent litigation costs to enforce our patents against these licensees. As our older patents expire, and the coverage of our newer patents may be different, it may be more difficult to negotiate or renew favorable license agreement terms or a license agreement at all. Our 2009 license agreement with Samsung expired on August 14, 2016. If we are unable to negotiate a new agreement or if we negotiate a new agreement on less favorable terms such as a lower effective royalty rate compared to the expired license agreement, we will experience a decrease in license and royalty revenue. Our agreements may require us in certain instances to recognize license revenue related to a particular licensee all in one period instead of over time, which could create additional volatility in our licensing revenue. A portion of our license and royalty revenue is based on sales of product categories as well as the underlying technology, and fluctuations in the sales of those products or technology adoption rates would also result in fluctuations in the license and royalty revenue due to us under our agreements. If our licensees or we fail to perform on contractual obligations, we may incur costs to enforce or defend the terms of our licenses and there can be no assurance that our enforcement, defense or collection efforts will be effective. If we license new IP from third parties or existing licensees, we may be required to pay license fees, royalty payments or offset existing license revenue. We may enter into agreements with customers, suppliers or partners that could limit our ability to monetize our IP or could result in us being required to provide IP indemnification to our customers, suppliers or partners. In addition, we may be subject to disputes, claims or other disagreements on the timing, amount or collection of royalties or license payments under our license agreements.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 we do not properly manage new product development, our competitiveness and operating results may be negatively affected.</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Our success depends in part on our ability to develop and introduce new products in a timely manner in order to keep pace with technology advancements. Advances in semiconductor technology have resulted in other emerging technologies that can be competitive with traditional storage technologies. We may be unsuccessful in anticipating and developing new and improved products for the client, enterprise and other storage markets in response to competing technologies. If our hard drive, solid state products and our storage solutions products fail to offer a superior value proposition to alternative storage products, we will be at a competitive disadvantage and our business will suffer. In some cases, our customers’ demand for a more diversified portfolio results in investments in new products for a particular market that do not necessarily expand overall market opportunity, which may negatively affect our operating results. As we introduce new products, standards or technologies, it can take time for these new standards or technologies to be adopted, for consumers to accept and transition to these new standards or technologies and for significant sales to be generated, if at all. Failure of consumers or enterprises to adopt our new products, standards or technologies could harm our results of operations as we fail to reap the benefits of our investments.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these new products.</w:t>
      </w:r>
    </w:p>
    <w:p>
      <w:pPr>
        <w:spacing w:after="0" w:line="11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particular, as part of our growth strategy, we have made significant investments in active archive systems, which are designed to enable organizations to rapidly access massive long-term data stores. For example, our acquisition of Amplidata NV was partially driven by our strategy to expand in this area. We expect to continue to make significant investments in active archive systems. Our active archive systems may fail to gain market acceptance, or the market for active archive systems may not grow as we anticipate.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have also seen, and anticipate continuing to see, an increase in customers requesting that we develop products, including software associated with our products, that incorporate open source software elements and operate in an open source environment. Adapting to this demand may cause product delays, placing us at a competitive disadvantage. Open source products could also reduce our capability for product differentiation or innovation and our affected products could be diminished to commodity status, which we expect would place increased downward pressure on our margins. If we fail to successfully anticipate and manage issues associated with our product development generally, our business may suffer.</w:t>
      </w:r>
    </w:p>
    <w:p>
      <w:pPr>
        <w:spacing w:after="0" w:line="6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6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As a result of our cost structure and strategy of vertical integration, we conduct our operations at large, high volume, purpose-built facilities in California and throughout Asia. The concentration of Flash Ventures in Yokkaichi, Japan, magnifies the risks of supply disruption.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our internal slider capacity and 60% of our hard drive manufacturing capacity was in Thailand. As a result of the flooding in Thailand, our facilities were inundated and temporarily shut down. During that period, our ability to manufacture hard drives was significantly constrained, adversely affecting our business, financial condition and results of operations. In addition, the concentration of our manufacturing sites could exacerbate the negative impacts resulting from localized labor unrest or other employment issues.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7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Toshiba to obtain and maintain sufficient property, business interruption and other insurance for Flash Ventures. If Toshiba fails to do so, we could suffer significant unreimbursable losses, and such failure could also cause Flash Ventures to breach various financing covenants.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Manufacturing, marketing and selling our products globally subjects us to numerous risks.</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Currently, a large portion of our revenue is derived from our international operations, and many of our products and components are produced overseas. Our revenue and future growth is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7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changes in foreign laws and regulations;</w:t>
      </w:r>
    </w:p>
    <w:p>
      <w:pPr>
        <w:spacing w:after="0" w:line="140"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and economic instability, civil unrest and natural disasters;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limited transportation availability, delays, and extended time required for shipping, which risks may be compounded in periods of price declines;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trade restrictions or higher tariffs and fees, import and export restriction including on encryption technology, and complex customs regulations;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labor and overhead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these risks, our business, results of operations or financial condition could be adversely affected.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Terrorist attacks may adversely affect our business and operating results.</w:t>
      </w:r>
    </w:p>
    <w:p>
      <w:pPr>
        <w:spacing w:after="0" w:line="11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Recent terrorist incidents around the world and 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R&amp;D activities (including our operations in Israel) or shipments of our products, our business, operating results and financial condition could be adversely affected. Any of these events could also increase volatility in the U.S. and world financial markets, which could have a negative effect on our stock price and may limit the capital resources available to us and our customers or suppliers, or adversely affect consumer confidence.</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Sudden disruptions to the availability of air transportation, or ocean or land freight lanes, could have an impact on our operations.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receive shipments from our suppliers or deliver our products.</w:t>
      </w:r>
    </w:p>
    <w:p>
      <w:pPr>
        <w:spacing w:after="0" w:line="7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i w:val="1"/>
          <w:iCs w:val="1"/>
          <w:color w:val="auto"/>
        </w:rPr>
        <w:t>If our technology infrastructure, systems or products are compromised, damaged or interrupted by cyber attacks, data security breaches, other security problems, security vulnerabilities or design defects, or sustain system failures, our operating results and financial condition could be adversely affected.</w:t>
      </w:r>
    </w:p>
    <w:p>
      <w:pPr>
        <w:spacing w:after="0" w:line="16"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experience cyber attacks of varying degrees on our technology infrastructure and systems and, as a result, unauthorized parties have obtained in the past, and may in the future obtain, access to our computer systems and networks. The technology infrastructure and systems of our suppliers, vendors and partners may also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security vulnerabilities or security weaknesses, as well as intentional or unintentional acts by employees or other insiders with access privileges, intentional acts of vandalism by third parties and sabotage. We believe cyber attack attempts are increasing in number and that cyber attackers are developing increasingly sophisticated systems and means to not only attack systems, but also to evade detection or to obscure their activities. Our products are also targets for cyber attacks.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We have agreed with certain customers and strategic partners, including Toshiba, to undertake certain commitments to promote information security, and we may be liable to Toshiba or such other parties if we fail to meet our cyber security commitments.</w:t>
      </w:r>
    </w:p>
    <w:p>
      <w:pPr>
        <w:spacing w:after="0" w:line="6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79"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121" w:right="2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62"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For example, we have completed the acquisitions of SanDisk (in May 2016), Amplidata NV (in March 2015), Virident Systems, Inc. (in October 2013) and sTec, Inc. (in September 2013).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We are also subject to certain covenants in our debt agreements which place limits on our ability to complete acquisitions and investments.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stockholders and the issuance of additional indebtedness which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w:t>
      </w:r>
    </w:p>
    <w:p>
      <w:pPr>
        <w:spacing w:after="0" w:line="8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62"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including employees from acquisitions,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We and certain of our officers are at times involved in litigation, including IP, antitrust and securities litigation, which may be costly, may divert the efforts of our key personnel and could result in adverse court rulings, which could materially harm our business.</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involved in litigation, including cases involving our IP rights and those of others,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w:t>
      </w:r>
    </w:p>
    <w:p>
      <w:pPr>
        <w:spacing w:after="0" w:line="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If we receive an adverse judgment in any litigation, we could be required to pay substantial damages and cease certain practices or activities, including the manufacture, use and sale of products. With or without merit, litigation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and any related publicity, may divert the efforts and attention of some of our key personnel. Litigation may also harm the market prices of our securities.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may be obligated to indemnify our current or former directors or employees, or former directors or employees of companies that we have acquired, in connection with litigation or regulatory investigations. These liabilities could be substantial and may include, among other things: the costs of defending lawsuits against these individuals; the cost of defending stockholder derivative suits; the cost of governmental, law enforcement or regulatory investigations; civil or criminal fines and penalties; legal and other expenses; and expenses associated with the remedial measures, if any, which may be imposed.</w:t>
      </w:r>
    </w:p>
    <w:p>
      <w:pPr>
        <w:spacing w:after="0" w:line="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7"/>
          <w:szCs w:val="17"/>
          <w:color w:val="auto"/>
        </w:rPr>
        <w:t>.</w:t>
      </w:r>
    </w:p>
    <w:p>
      <w:pPr>
        <w:spacing w:after="0" w:line="5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7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The nature of our industry and its reliance on IP and other proprietary information subjects us and our suppliers, customers and partners to the risk of significant litigation.</w:t>
      </w:r>
    </w:p>
    <w:p>
      <w:pPr>
        <w:spacing w:after="0" w:line="62"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89"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58"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Our reliance on IP and other proprietary information subjects us to the risk that these key ingredients of our business could be copied by competitors.</w:t>
      </w:r>
    </w:p>
    <w:p>
      <w:pPr>
        <w:spacing w:after="0" w:line="140"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6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8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The costs of compliance with state, federal and international legal and regulatory requirements, such as environmental, labor, trade, health, safety, anti-corruption and tax regulations, customers’ standards of corporate citizenship, and industry and coalition standards, such as those established by the Electronics Industry Citizenship Coalition, could cause an increase in our operating costs.</w:t>
      </w:r>
    </w:p>
    <w:p>
      <w:pPr>
        <w:spacing w:after="0" w:line="7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operating results and financial condition.</w:t>
      </w:r>
    </w:p>
    <w:p>
      <w:pPr>
        <w:spacing w:after="0" w:line="5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Electronics Industry Citizenship Coalition,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1"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Conflict minerals regulations may cause us to incur additional expenses and could limit the supply and increase the cost of certain components and metals contained in our products.</w:t>
      </w:r>
    </w:p>
    <w:p>
      <w:pPr>
        <w:spacing w:after="0" w:line="6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are subject to the SEC’s diligence and disclosure requirements regarding the use and source of gold, tantalum, tin and tungsten, commonly referred to as 3TG or conflict minerals, which are necessary to the functionality or production of products manufactured or contracted to be manufactured by public companies. These rules require us to determine and report annually whether such 3TG originated from the Democratic Republic of the Congo or an adjoining country.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and some of our customers have notified us that they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and challenges from government regulators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To the extent that conflict minerals legislation is adopted by the European Commission, Canada or any other jurisdiction, these risks could increase.</w:t>
      </w:r>
    </w:p>
    <w:p>
      <w:pPr>
        <w:spacing w:after="0" w:line="7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Violation of applicable laws, including labor or environmental laws, and certain other practices by our suppliers, customers or partners could harm our business.</w:t>
      </w:r>
    </w:p>
    <w:p>
      <w:pPr>
        <w:spacing w:after="0" w:line="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expect our suppliers, customers and partners to operate in compliance with applicable laws and regulations, including labor and environmental laws, and to otherwise meet our required standards of conduct. While our internal operating guidelines promote ethical business practices, we do not control our suppliers, customers, partners or their labor or environmental practices. The violation of labor, environmental or other laws by any of them, or divergence of their business practices from those generally accepted as ethical, could harm our business by:</w:t>
      </w:r>
    </w:p>
    <w:p>
      <w:pPr>
        <w:spacing w:after="0" w:line="7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interrupting or otherwise disrupting the shipment of our product components;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damaging our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forcing us to find alternate component 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demand for our products (for example, through a consumer boycott);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exposing us to potential liability for our suppliers’, customers’ or partners’ wrongdoings.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Because of high debt levels, we may not be able to service our debt obligations in accordance with their terms.</w:t>
      </w:r>
    </w:p>
    <w:p>
      <w:pPr>
        <w:spacing w:after="0" w:line="117"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As of September 30, 2016, our total indebtedness was $13.4 billion, and we had $1.0 billion of additional borrowing availability under our revolving credit facility. Our ability to meet our expense and debt service obligations contained in our debt agreements will depend on our available cash and our future performance, which will be affected by financial, business, economic and other factors, including potential changes in laws or regulations, industry conditions, industry supply and demand balance, customer preferences, the success of our products and pressure from competitors. If we are unable to meet our debt service obligations or should we fail to comply with our financial and other restrictive covenants contained in the agreements governing our indebtedness, we may be required to refinance all or part of our debt, sell important strategic assets at unfavorable prices, incur additional indebtedness or issue common stock or other equity securities. We may not be able to, at any given time, refinance our debt, sell assets, incur additional indebtedness or issue equity securities on terms acceptable to us, in amounts sufficient to meet our needs or at all. If we are able to raise additional funds through the issuance of equity securities, such issuance would also result in dilution to our shareholders. Our inability to service our debt obligations or refinance our debt could have a material adverse effect on our business, operating results and financial condition. In addition, our debt obligations may limit our ability to make required investments in capacity, technology or other areas of our business, which could have a material adverse effect on our business, operating results and financial condition. Further, if we are unable to repay, refinance or restructure our secured indebtedness, the holder of such debt could proceed against the collateral securing that indebtedness.</w:t>
      </w:r>
    </w:p>
    <w:p>
      <w:pPr>
        <w:spacing w:after="0" w:line="8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The terms of the agreements governing our indebtedness may restrict our current and future operations, particularly our ability to respond to changes or to pursue our business strategies, and could adversely affect our capital resources, financial condition and liquidity.</w:t>
      </w:r>
    </w:p>
    <w:p>
      <w:pPr>
        <w:spacing w:after="0" w:line="62"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agreements that govern our indebtedness contain a number of restrictive covenants that impose significant operating and financial restrictions on us and may limit our ability to engage in acts that may be in our long-term best interests, including, among other things, restrictions on our ability to:</w:t>
      </w:r>
    </w:p>
    <w:p>
      <w:pPr>
        <w:spacing w:after="0" w:line="1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assume or guarantee additional indebtedness;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1"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declare or pay dividends or make other distributions with respect to, or purchase or otherwise acquire or retire for value, equity interests;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principal payments on, or redeem or repurchase, subordinated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loans, advances or other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assets, make investments, complete acquisitions, consolidate or merge with or into, or sell all or substantially all of our assets to, another person;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Due to these restrictions, we may be unable to raise additional debt or equity financing to operate our business during general economic or business downturns, and we may be unable to compete effectively or take advantage of new opportunities to grow our business. In addition, our credit facilities require us to comply with certain financial maintenance covenants. Our ability to satisfy these financial maintenance covenants can be affected by events beyond our control, and we cannot assure you that we will meet them. The indebtedness and these restrictive covenants may have the effect, among other things, of limiting our flexibility in the conduct of our business and making us more vulnerable to economic downturns and adverse competitive and industry conditions.</w:t>
      </w:r>
    </w:p>
    <w:p>
      <w:pPr>
        <w:spacing w:after="0" w:line="8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A breach of the covenants under these agreements could result in an event of default under the applicable indebtedness, which, if not cured or waived, could result in us having to repay our borrowings or repay our notes before their due dates. Such default may allow the debt holders to accelerate the related debt and may result in the acceleration of any other debt, leases, or other obligations to which a cross-acceleration or cross-default provision applies. If we are forced to refinance these borrowings or our notes on less favorable terms or if we were to experience difficulty in refinancing the debt prior to maturity, our results of operations and financial condition could be materially affected. In addition, an event of default under our credit facilities may permit the lenders under our credit facilities to terminate all commitments to extend further credit under such credit facilities. If we are unable to repay the amounts due and payable under our credit facilities and our senior secured notes, those lenders may be able to proceed against the collateral granted to them to secure that indebtedness. In the event our lenders or holders of notes accelerate the repayment of such borrowings, we cannot assure you that we will have sufficient assets to repay such indebtedness. Any of the foregoing would have a material adverse effect on our business, results of operations and financial condition.</w:t>
      </w:r>
    </w:p>
    <w:p>
      <w:pPr>
        <w:spacing w:after="0" w:line="5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Flash Ventures’ equipment lease agreements contain covenants and other cancellation events, and cancellation of the leases would harm our business, operating results and financial condition.</w:t>
      </w:r>
    </w:p>
    <w:p>
      <w:pPr>
        <w:spacing w:after="0" w:line="6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Flash Ventures sells and leases back from a consortium of financial institutions (“lessors”) a portion of its equipment and Flash Ventures has entered into equipment lease agreements, of which we and Toshiba each guarantee half of the total outstanding obligations. As of September 30, 2016, the portion of outstanding Flash Ventures’ lease obligations covered by our guarantees totaled approximately $1.2 billion, based upon the Japanese yen to U.S. dollar exchange rate at September 30, 2016. The equipment lease agreements contain covenants and cancellation events that are customary for Japanese lease facilities and that relate to Flash Ventures and each of the guarantors. Cancellation events relating to the guarantors include, among other things, an assignment of all or a substantial part of a guarantor’s business and acceleration of other monetary debts of a guarantor above a specified threshold.</w:t>
      </w:r>
    </w:p>
    <w:p>
      <w:pPr>
        <w:spacing w:after="0" w:line="57"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breach of a covenant or the occurrence of another cancellation event could result in an acceleration of the Flash Ventures’ lease obligations. If a cancellation event were to occur, Flash Ventures would be required to negotiate a resolution with the lessors, as well as other parties to the lease transactions, to avoid cancellation and acceleration of the lease obligations. Such resolution could include, among other things, supplementary security to be supplied by us, as guarantor, increased interest rates or waiver fees. If a cancellation event occurs and we fail to reach a resolution, we may be required to pay all or a portion of the outstanding lease obligations covered by our guarantees, which would significantly reduce our cash position and may force us to seek additional financing, which may not be available on terms acceptable to us, if at all.</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Any decisions to reduce or discontinue paying cash dividends to our shareholders could cause the market price for our common stock to decline.</w:t>
      </w:r>
    </w:p>
    <w:p>
      <w:pPr>
        <w:spacing w:after="0" w:line="129"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may modify, suspend or cancel our cash dividend policy in any manner and at any time. Any reduction or discontinuance by us of the payment of quarterly cash dividends could cause the market price of our common stock to decline. Moreover, in the event our payment of quarterly cash dividends are reduced or discontinued, our failure or inability to resume paying cash dividends at historical levels could cause the market price of our common stock to decline.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Fluctuations in currency exchange rates as a result of our international operations may negatively affect our operating results.</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Because we manufacture and sell our products abroad, our revenue, cost of goods sold,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NAND flash memory from Flash Ventures and our investment in Flash Ventures are denominated in Japanese yen. If the Japanese yen appreciates against the U.S. dollar, our cost of purchasing NAND flash wafers and the cost to us of future funding of Flash Ventures would increase, and the value of our investments denominated in Japanese yen would be higher, increasing our exposure to asset impairment. If any of these events occur, they would have a negative impact on our operating results.</w:t>
      </w:r>
    </w:p>
    <w:p>
      <w:pPr>
        <w:spacing w:after="0" w:line="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United States.</w:t>
      </w:r>
    </w:p>
    <w:p>
      <w:pPr>
        <w:spacing w:after="0" w:line="6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57"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6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Our operating results fluctuate, sometimes significantly, from period to period due to many factors, which may result in a significant decline in our stock price.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loss of major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117"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62"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successfully transition to 3D NAND or other technology developments, or other failure to reduce product costs to keep pace with reduction in ASPs;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121" w:right="29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 of our partnerships and joint ventures, in particular the volume, timing and cost of wafer production at Flash Ventures, and our success in managing the relationships with our strategic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realize the potential benefits of our acquisitions and the success of our integration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penetrate new markets for our storage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seasonal and other fluctuations in demand often due to technological advances;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costs due to warranty claims;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7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7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reserves for doubtful accounts;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accruals for warranty costs related to product defects;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expensing of stock-based compensation.</w:t>
      </w:r>
    </w:p>
    <w:p>
      <w:pPr>
        <w:spacing w:after="0" w:line="11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market price of our common stock is volatile.</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6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1"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 and any litigation;</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62" w:lineRule="exact"/>
        <w:rPr>
          <w:rFonts w:ascii="Arial" w:cs="Arial" w:eastAsia="Arial" w:hAnsi="Arial"/>
          <w:sz w:val="18"/>
          <w:szCs w:val="18"/>
          <w:color w:val="auto"/>
        </w:rPr>
      </w:pPr>
    </w:p>
    <w:p>
      <w:pPr>
        <w:ind w:left="660" w:right="10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conditions and trends in the hard drive, solid state storage, flash memory, computer, mobile, data and content management, storage and communication industries;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129" w:lineRule="exact"/>
        <w:rPr>
          <w:sz w:val="20"/>
          <w:szCs w:val="20"/>
          <w:color w:val="auto"/>
        </w:rPr>
      </w:pPr>
    </w:p>
    <w:p>
      <w:pPr>
        <w:ind w:right="400" w:firstLine="405"/>
        <w:spacing w:after="0" w:line="257" w:lineRule="auto"/>
        <w:rPr>
          <w:sz w:val="20"/>
          <w:szCs w:val="20"/>
          <w:color w:val="auto"/>
        </w:rPr>
      </w:pPr>
      <w:r>
        <w:rPr>
          <w:rFonts w:ascii="Arial" w:cs="Arial" w:eastAsia="Arial" w:hAnsi="Arial"/>
          <w:sz w:val="18"/>
          <w:szCs w:val="18"/>
          <w:color w:val="auto"/>
        </w:rPr>
        <w:t>In addition,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8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The resale of shares of common stock issued to Hitachi in connection with our acquisition of HGST could adversely affect the market price of our common stock.</w:t>
      </w:r>
    </w:p>
    <w:p>
      <w:pPr>
        <w:spacing w:after="0" w:line="62"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On March 8, 2012, as partial consideration for our acquisition of HGST, we issued 25 million shares of our common stock to Hitachi. On each of November 6, 2013 and November 13, 2014, Hitachi completed a secondary offering of 12.5 million and 6.25 million, respectively, of these shares. Future sales of the remaining 6.25 million shares of our common stock held by Hitachi could adversely affect the market price of our common stock.</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cash balances and investment portfolio are subject to various risks, any of which could adversely impact our financial position.</w:t>
      </w:r>
    </w:p>
    <w:p>
      <w:pPr>
        <w:spacing w:after="0" w:line="11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U.S. government securities and bank deposits.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FDIC limits could also have an adverse impact on our financial position.</w:t>
      </w:r>
    </w:p>
    <w:p>
      <w:pPr>
        <w:spacing w:after="0" w:line="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United States at a substantial tax cost.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 our internal controls are found to be ineffective, our stock price may be adversely affected.</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most recent evaluation resulted in our conclusion that as of September 30, 2016,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we may be required to restate our financial results, our access to capital markets may be limited, and we may be subject to sanctions from regulatory agencies and The NASDAQ Global Select Market, each of which may adversely affect our stock price.</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121"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6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are subject to income taxes in the United States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a Revenue Agent’s Report seeking certain adjustments to income as disclosed in Part I, Item 1, Note 8 of the Notes to Condensed Consolidated Financial Statements included in this Quarterly Report on Form 10-Q.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We are subject to risks associated with loss or non-renewal of favorable tax treatment under agreements or treaties with foreign tax authorities.</w:t>
      </w:r>
    </w:p>
    <w:p>
      <w:pPr>
        <w:spacing w:after="0" w:line="1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 In addition, any actions by us to repatriate non-U.S. earnings for which we have not previously provided for U.S. taxes may impact our effective tax rate.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tax laws could increase our worldwide tax rate and materially affect our financial position and results of operations.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Tax laws are dynamic and subject to change as new laws and regulations are passed and new interpretations of the laws are issued or applied. The current U.S. administration and key members of Congress have made public statements indicating that tax reform is a priority, and certain changes to the U.S. tax laws and regulations have been proposed. In addition, many countries in the European Union, as well as a number of other countries and organizations such as the Organization for Economic Cooperation and Development, are actively considering changes to existing tax laws that, if enacted, could increase our tax obligations in many countries where we do business. Due to the large scale of our U.S. and international business activities, many of these proposed changes to the taxation of our activities, if enacted, could increase our worldwide effective tax rate and harm our financial position and results of operations.</w:t>
      </w:r>
    </w:p>
    <w:p>
      <w:pPr>
        <w:spacing w:after="0" w:line="3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121" w:lineRule="exact"/>
        <w:rPr>
          <w:sz w:val="20"/>
          <w:szCs w:val="20"/>
          <w:color w:val="auto"/>
        </w:rPr>
      </w:pPr>
    </w:p>
    <w:p>
      <w:pPr>
        <w:jc w:val="both"/>
        <w:ind w:right="20" w:firstLine="392"/>
        <w:spacing w:after="0" w:line="288" w:lineRule="auto"/>
        <w:rPr>
          <w:sz w:val="20"/>
          <w:szCs w:val="20"/>
          <w:color w:val="auto"/>
        </w:rPr>
      </w:pPr>
      <w:r>
        <w:rPr>
          <w:rFonts w:ascii="Arial" w:cs="Arial" w:eastAsia="Arial" w:hAnsi="Arial"/>
          <w:sz w:val="16"/>
          <w:szCs w:val="16"/>
          <w:color w:val="auto"/>
        </w:rPr>
        <w:t>The exhibits listed in the Exhibit Index (following the signature page of the Quarterly Report on Form 10-Q)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w:t>
      </w:r>
    </w:p>
    <w:p>
      <w:pPr>
        <w:spacing w:after="0" w:line="292" w:lineRule="auto"/>
        <w:rPr>
          <w:sz w:val="20"/>
          <w:szCs w:val="20"/>
          <w:color w:val="auto"/>
        </w:rPr>
      </w:pPr>
      <w:r>
        <w:rPr>
          <w:rFonts w:ascii="Arial" w:cs="Arial" w:eastAsia="Arial" w:hAnsi="Arial"/>
          <w:sz w:val="16"/>
          <w:szCs w:val="16"/>
          <w:color w:val="auto"/>
        </w:rPr>
        <w:t>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1"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11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22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President WD Capital, Chief Strategy Officer and Chief Financial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Officer</w:t>
      </w:r>
    </w:p>
    <w:p>
      <w:pPr>
        <w:spacing w:after="0" w:line="49"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00"/>
          </w:cols>
          <w:pgMar w:left="240" w:top="12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EXHIBIT INDEX</w:t>
      </w:r>
    </w:p>
    <w:p>
      <w:pPr>
        <w:sectPr>
          <w:pgSz w:w="11900" w:h="16838" w:orient="portrait"/>
          <w:cols w:equalWidth="0" w:num="1">
            <w:col w:w="11360"/>
          </w:cols>
          <w:pgMar w:left="240" w:top="121" w:right="299" w:bottom="1440" w:gutter="0" w:footer="0" w:header="0"/>
        </w:sectPr>
      </w:pP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64319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4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Agreement and Plan of Merger, dated as of October 21, 2015, among Western Digital Corporation, Schrader Acquisition Corporation and SanDisk Corporation (Filed as Exhibit 2.1 to the Company’s Current Report on Form 8-K (File No. 1-08703) with the Securities and Exchange Commission on October 26, 2015)±</w:t>
      </w:r>
    </w:p>
    <w:p>
      <w:pPr>
        <w:spacing w:after="0" w:line="19" w:lineRule="exact"/>
        <w:rPr>
          <w:sz w:val="20"/>
          <w:szCs w:val="20"/>
          <w:color w:val="auto"/>
        </w:rPr>
      </w:pPr>
    </w:p>
    <w:p>
      <w:pPr>
        <w:ind w:right="520"/>
        <w:spacing w:after="0" w:line="317" w:lineRule="auto"/>
        <w:rPr>
          <w:sz w:val="20"/>
          <w:szCs w:val="20"/>
          <w:color w:val="auto"/>
        </w:rPr>
      </w:pPr>
      <w:r>
        <w:rPr>
          <w:rFonts w:ascii="Arial" w:cs="Arial" w:eastAsia="Arial" w:hAnsi="Arial"/>
          <w:sz w:val="16"/>
          <w:szCs w:val="16"/>
          <w:color w:val="auto"/>
        </w:rPr>
        <w:t>Amended and Restated Certificate of Incorporation of Western Digital Corporation, as amended to date (Filed as Exhibit 3.1 to the Company’s Quarterly Report on Form 10-Q (File No. 1-08703) with the Securities and Exchange Commission on February 8, 2006)</w:t>
      </w:r>
    </w:p>
    <w:p>
      <w:pPr>
        <w:spacing w:after="0" w:line="1" w:lineRule="exact"/>
        <w:rPr>
          <w:sz w:val="20"/>
          <w:szCs w:val="20"/>
          <w:color w:val="auto"/>
        </w:rPr>
      </w:pPr>
    </w:p>
    <w:p>
      <w:pPr>
        <w:sectPr>
          <w:pgSz w:w="11900" w:h="16838" w:orient="portrait"/>
          <w:cols w:equalWidth="0" w:num="2">
            <w:col w:w="860" w:space="440"/>
            <w:col w:w="10060"/>
          </w:cols>
          <w:pgMar w:left="240" w:top="121" w:right="299" w:bottom="1440" w:gutter="0" w:footer="0" w:header="0"/>
          <w:type w:val="continuous"/>
        </w:sectPr>
      </w:pPr>
    </w:p>
    <w:tbl>
      <w:tblPr>
        <w:tblLayout w:type="fixed"/>
        <w:tblInd w:w="260" w:type="dxa"/>
        <w:tblCellMar>
          <w:top w:w="0" w:type="dxa"/>
          <w:left w:w="0" w:type="dxa"/>
          <w:bottom w:w="0" w:type="dxa"/>
          <w:right w:w="0" w:type="dxa"/>
        </w:tblCellMar>
      </w:tblPr>
      <w:tr>
        <w:trPr>
          <w:trHeight w:val="216"/>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87"/>
              </w:rPr>
              <w:t>3.2</w:t>
            </w:r>
          </w:p>
        </w:tc>
        <w:tc>
          <w:tcPr>
            <w:tcW w:w="10240" w:type="dxa"/>
            <w:vAlign w:val="bottom"/>
          </w:tcPr>
          <w:p>
            <w:pPr>
              <w:ind w:left="180"/>
              <w:spacing w:after="0"/>
              <w:rPr>
                <w:sz w:val="20"/>
                <w:szCs w:val="20"/>
                <w:color w:val="auto"/>
              </w:rPr>
            </w:pPr>
            <w:r>
              <w:rPr>
                <w:rFonts w:ascii="Arial" w:cs="Arial" w:eastAsia="Arial" w:hAnsi="Arial"/>
                <w:sz w:val="18"/>
                <w:szCs w:val="18"/>
                <w:color w:val="auto"/>
                <w:w w:val="92"/>
              </w:rPr>
              <w:t>Amended and Restated By-Laws of Western Digital Corporation, as amended effective as of November 14, 2013 (Filed as Exhibit 3.1 to</w:t>
            </w:r>
          </w:p>
        </w:tc>
      </w:tr>
      <w:tr>
        <w:trPr>
          <w:trHeight w:val="230"/>
        </w:trPr>
        <w:tc>
          <w:tcPr>
            <w:tcW w:w="860" w:type="dxa"/>
            <w:vAlign w:val="bottom"/>
          </w:tcPr>
          <w:p>
            <w:pPr>
              <w:spacing w:after="0"/>
              <w:rPr>
                <w:sz w:val="20"/>
                <w:szCs w:val="20"/>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w w:val="93"/>
              </w:rPr>
              <w:t>the Company’s Current Report on Form 8-K (File No. 1-08703) with the Securities and Exchange Commission on November 14, 2013)</w:t>
            </w:r>
          </w:p>
        </w:tc>
      </w:tr>
      <w:tr>
        <w:trPr>
          <w:trHeight w:val="256"/>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10.1</w:t>
            </w:r>
          </w:p>
        </w:tc>
        <w:tc>
          <w:tcPr>
            <w:tcW w:w="10240" w:type="dxa"/>
            <w:vAlign w:val="bottom"/>
          </w:tcPr>
          <w:p>
            <w:pPr>
              <w:ind w:left="180"/>
              <w:spacing w:after="0"/>
              <w:rPr>
                <w:sz w:val="20"/>
                <w:szCs w:val="20"/>
                <w:color w:val="auto"/>
              </w:rPr>
            </w:pPr>
            <w:r>
              <w:rPr>
                <w:rFonts w:ascii="Arial" w:cs="Arial" w:eastAsia="Arial" w:hAnsi="Arial"/>
                <w:sz w:val="18"/>
                <w:szCs w:val="18"/>
                <w:color w:val="auto"/>
                <w:w w:val="93"/>
              </w:rPr>
              <w:t>Separation and General Release Agreement, dated August 3, 2016, between Western Digital Technologies, Inc. and Olivier C. Leonetti</w:t>
            </w:r>
          </w:p>
        </w:tc>
      </w:tr>
      <w:tr>
        <w:trPr>
          <w:trHeight w:val="216"/>
        </w:trPr>
        <w:tc>
          <w:tcPr>
            <w:tcW w:w="860" w:type="dxa"/>
            <w:vAlign w:val="bottom"/>
          </w:tcPr>
          <w:p>
            <w:pPr>
              <w:spacing w:after="0"/>
              <w:rPr>
                <w:sz w:val="18"/>
                <w:szCs w:val="18"/>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w w:val="93"/>
              </w:rPr>
              <w:t>(Filed as Exhibit 10.8 to the Company’s Annual Report on Form 10-K (File No. 1-08703) with the Securities and Exchange Commission</w:t>
            </w:r>
          </w:p>
        </w:tc>
      </w:tr>
      <w:tr>
        <w:trPr>
          <w:trHeight w:val="230"/>
        </w:trPr>
        <w:tc>
          <w:tcPr>
            <w:tcW w:w="860" w:type="dxa"/>
            <w:vAlign w:val="bottom"/>
          </w:tcPr>
          <w:p>
            <w:pPr>
              <w:spacing w:after="0"/>
              <w:rPr>
                <w:sz w:val="20"/>
                <w:szCs w:val="20"/>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on August 29, 2016)*</w:t>
            </w:r>
          </w:p>
        </w:tc>
      </w:tr>
      <w:tr>
        <w:trPr>
          <w:trHeight w:val="256"/>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10.2</w:t>
            </w:r>
          </w:p>
        </w:tc>
        <w:tc>
          <w:tcPr>
            <w:tcW w:w="10240" w:type="dxa"/>
            <w:vAlign w:val="bottom"/>
          </w:tcPr>
          <w:p>
            <w:pPr>
              <w:ind w:left="180"/>
              <w:spacing w:after="0"/>
              <w:rPr>
                <w:sz w:val="20"/>
                <w:szCs w:val="20"/>
                <w:color w:val="auto"/>
              </w:rPr>
            </w:pPr>
            <w:r>
              <w:rPr>
                <w:rFonts w:ascii="Arial" w:cs="Arial" w:eastAsia="Arial" w:hAnsi="Arial"/>
                <w:sz w:val="18"/>
                <w:szCs w:val="18"/>
                <w:color w:val="auto"/>
                <w:w w:val="97"/>
              </w:rPr>
              <w:t>Amendment No. 1, dated as of August 17, 2016, to the Loan Agreement dated as of April 29, 2016, by and among Western Digital</w:t>
            </w:r>
          </w:p>
        </w:tc>
      </w:tr>
      <w:tr>
        <w:trPr>
          <w:trHeight w:val="216"/>
        </w:trPr>
        <w:tc>
          <w:tcPr>
            <w:tcW w:w="860" w:type="dxa"/>
            <w:vAlign w:val="bottom"/>
          </w:tcPr>
          <w:p>
            <w:pPr>
              <w:spacing w:after="0"/>
              <w:rPr>
                <w:sz w:val="18"/>
                <w:szCs w:val="18"/>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w w:val="90"/>
              </w:rPr>
              <w:t>Corporation, JPMorgan Chase Bank, N.A., as administrative agent and collateral agent, the lenders party thereto and the other loan parties</w:t>
            </w:r>
          </w:p>
        </w:tc>
      </w:tr>
      <w:tr>
        <w:trPr>
          <w:trHeight w:val="216"/>
        </w:trPr>
        <w:tc>
          <w:tcPr>
            <w:tcW w:w="860" w:type="dxa"/>
            <w:vAlign w:val="bottom"/>
          </w:tcPr>
          <w:p>
            <w:pPr>
              <w:spacing w:after="0"/>
              <w:rPr>
                <w:sz w:val="18"/>
                <w:szCs w:val="18"/>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w w:val="98"/>
              </w:rPr>
              <w:t>thereto (Filed as Exhibit 10.1 to the Company’s Current Report on Form 8-K (File No. 1-08703) with the Securities and Exchange</w:t>
            </w:r>
          </w:p>
        </w:tc>
      </w:tr>
      <w:tr>
        <w:trPr>
          <w:trHeight w:val="230"/>
        </w:trPr>
        <w:tc>
          <w:tcPr>
            <w:tcW w:w="860" w:type="dxa"/>
            <w:vAlign w:val="bottom"/>
          </w:tcPr>
          <w:p>
            <w:pPr>
              <w:spacing w:after="0"/>
              <w:rPr>
                <w:sz w:val="20"/>
                <w:szCs w:val="20"/>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Commission on August 18, 2016)</w:t>
            </w:r>
          </w:p>
        </w:tc>
      </w:tr>
      <w:tr>
        <w:trPr>
          <w:trHeight w:val="256"/>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10.3</w:t>
            </w:r>
          </w:p>
        </w:tc>
        <w:tc>
          <w:tcPr>
            <w:tcW w:w="10240" w:type="dxa"/>
            <w:vAlign w:val="bottom"/>
          </w:tcPr>
          <w:p>
            <w:pPr>
              <w:ind w:left="180"/>
              <w:spacing w:after="0"/>
              <w:rPr>
                <w:sz w:val="20"/>
                <w:szCs w:val="20"/>
                <w:color w:val="auto"/>
              </w:rPr>
            </w:pPr>
            <w:r>
              <w:rPr>
                <w:rFonts w:ascii="Arial" w:cs="Arial" w:eastAsia="Arial" w:hAnsi="Arial"/>
                <w:sz w:val="18"/>
                <w:szCs w:val="18"/>
                <w:color w:val="auto"/>
                <w:w w:val="90"/>
              </w:rPr>
              <w:t>Amendment No. 2, dated as of September 22, 2016, to the Loan Agreement dated as of April 29, 2016, as amended by Amendment No. 1,</w:t>
            </w:r>
          </w:p>
        </w:tc>
      </w:tr>
      <w:tr>
        <w:trPr>
          <w:trHeight w:val="216"/>
        </w:trPr>
        <w:tc>
          <w:tcPr>
            <w:tcW w:w="860" w:type="dxa"/>
            <w:vAlign w:val="bottom"/>
          </w:tcPr>
          <w:p>
            <w:pPr>
              <w:spacing w:after="0"/>
              <w:rPr>
                <w:sz w:val="18"/>
                <w:szCs w:val="18"/>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w w:val="96"/>
              </w:rPr>
              <w:t>dated as of August 17, 2016, by and among Western Digital Corporation, JPMorgan Chase Bank, N.A., as administrative agent and</w:t>
            </w:r>
          </w:p>
        </w:tc>
      </w:tr>
      <w:tr>
        <w:trPr>
          <w:trHeight w:val="216"/>
        </w:trPr>
        <w:tc>
          <w:tcPr>
            <w:tcW w:w="860" w:type="dxa"/>
            <w:vAlign w:val="bottom"/>
          </w:tcPr>
          <w:p>
            <w:pPr>
              <w:spacing w:after="0"/>
              <w:rPr>
                <w:sz w:val="18"/>
                <w:szCs w:val="18"/>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w w:val="90"/>
              </w:rPr>
              <w:t>collateral agent, the lenders party thereto and the other loan parties thereto (Filed as Exhibit 10.1 to the Company’s Current Report on Form</w:t>
            </w:r>
          </w:p>
        </w:tc>
      </w:tr>
      <w:tr>
        <w:trPr>
          <w:trHeight w:val="230"/>
        </w:trPr>
        <w:tc>
          <w:tcPr>
            <w:tcW w:w="860" w:type="dxa"/>
            <w:vAlign w:val="bottom"/>
          </w:tcPr>
          <w:p>
            <w:pPr>
              <w:spacing w:after="0"/>
              <w:rPr>
                <w:sz w:val="20"/>
                <w:szCs w:val="20"/>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8-K (File No. 1-08703) with the Securities and Exchange Commission on September 22, 2016)</w:t>
            </w:r>
          </w:p>
        </w:tc>
      </w:tr>
      <w:tr>
        <w:trPr>
          <w:trHeight w:val="27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31.1</w:t>
            </w:r>
          </w:p>
        </w:tc>
        <w:tc>
          <w:tcPr>
            <w:tcW w:w="1024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7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31.2</w:t>
            </w:r>
          </w:p>
        </w:tc>
        <w:tc>
          <w:tcPr>
            <w:tcW w:w="1024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56"/>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32.1</w:t>
            </w:r>
          </w:p>
        </w:tc>
        <w:tc>
          <w:tcPr>
            <w:tcW w:w="10240" w:type="dxa"/>
            <w:vAlign w:val="bottom"/>
          </w:tcPr>
          <w:p>
            <w:pPr>
              <w:ind w:left="18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r>
      <w:tr>
        <w:trPr>
          <w:trHeight w:val="230"/>
        </w:trPr>
        <w:tc>
          <w:tcPr>
            <w:tcW w:w="860" w:type="dxa"/>
            <w:vAlign w:val="bottom"/>
          </w:tcPr>
          <w:p>
            <w:pPr>
              <w:spacing w:after="0"/>
              <w:rPr>
                <w:sz w:val="20"/>
                <w:szCs w:val="20"/>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of 2002**</w:t>
            </w:r>
          </w:p>
        </w:tc>
      </w:tr>
      <w:tr>
        <w:trPr>
          <w:trHeight w:val="256"/>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32.2</w:t>
            </w:r>
          </w:p>
        </w:tc>
        <w:tc>
          <w:tcPr>
            <w:tcW w:w="10240" w:type="dxa"/>
            <w:vAlign w:val="bottom"/>
          </w:tcPr>
          <w:p>
            <w:pPr>
              <w:ind w:left="1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30"/>
        </w:trPr>
        <w:tc>
          <w:tcPr>
            <w:tcW w:w="860" w:type="dxa"/>
            <w:vAlign w:val="bottom"/>
          </w:tcPr>
          <w:p>
            <w:pPr>
              <w:spacing w:after="0"/>
              <w:rPr>
                <w:sz w:val="20"/>
                <w:szCs w:val="20"/>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of 2002**</w:t>
            </w:r>
          </w:p>
        </w:tc>
      </w:tr>
      <w:tr>
        <w:trPr>
          <w:trHeight w:val="27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2"/>
              </w:rPr>
              <w:t>101.INS</w:t>
            </w:r>
          </w:p>
        </w:tc>
        <w:tc>
          <w:tcPr>
            <w:tcW w:w="102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0"/>
              </w:rPr>
              <w:t>101.SCH</w:t>
            </w:r>
          </w:p>
        </w:tc>
        <w:tc>
          <w:tcPr>
            <w:tcW w:w="1024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1024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1024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1024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2"/>
              </w:rPr>
              <w:t>101.DEF</w:t>
            </w:r>
          </w:p>
        </w:tc>
        <w:tc>
          <w:tcPr>
            <w:tcW w:w="1024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0204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6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3" w:lineRule="exact"/>
        <w:rPr>
          <w:sz w:val="20"/>
          <w:szCs w:val="20"/>
          <w:color w:val="auto"/>
        </w:rPr>
      </w:pPr>
    </w:p>
    <w:p>
      <w:pPr>
        <w:ind w:left="340" w:right="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240" w:hanging="332"/>
        <w:spacing w:after="0" w:line="26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 copies of any of the omitted schedules upon request by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121" w:right="29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1160" w:hanging="180"/>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90" w:lineRule="exact"/>
        <w:rPr>
          <w:rFonts w:ascii="Arial" w:cs="Arial" w:eastAsia="Arial" w:hAnsi="Arial"/>
          <w:sz w:val="18"/>
          <w:szCs w:val="18"/>
          <w:color w:val="auto"/>
        </w:rPr>
      </w:pPr>
    </w:p>
    <w:p>
      <w:pPr>
        <w:ind w:right="60" w:firstLine="980"/>
        <w:spacing w:after="0" w:line="334" w:lineRule="auto"/>
        <w:tabs>
          <w:tab w:leader="none" w:pos="11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20" w:firstLine="980"/>
        <w:spacing w:after="0" w:line="308" w:lineRule="auto"/>
        <w:tabs>
          <w:tab w:leader="none" w:pos="1152"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right="40" w:firstLine="980"/>
        <w:spacing w:after="0" w:line="264" w:lineRule="auto"/>
        <w:tabs>
          <w:tab w:leader="none" w:pos="11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right="60" w:firstLine="972"/>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sz w:val="20"/>
          <w:szCs w:val="20"/>
          <w:color w:val="auto"/>
        </w:rPr>
      </w:pPr>
    </w:p>
    <w:p>
      <w:pPr>
        <w:ind w:right="20" w:firstLine="972"/>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sz w:val="20"/>
          <w:szCs w:val="20"/>
          <w:color w:val="auto"/>
        </w:rPr>
      </w:pPr>
    </w:p>
    <w:p>
      <w:pPr>
        <w:ind w:right="560" w:firstLine="972"/>
        <w:spacing w:after="0" w:line="334" w:lineRule="auto"/>
        <w:rPr>
          <w:sz w:val="20"/>
          <w:szCs w:val="20"/>
          <w:color w:val="auto"/>
        </w:rPr>
      </w:pPr>
      <w:r>
        <w:rPr>
          <w:rFonts w:ascii="Arial" w:cs="Arial" w:eastAsia="Arial" w:hAnsi="Arial"/>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right="40" w:firstLine="972"/>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sz w:val="20"/>
          <w:szCs w:val="20"/>
          <w:color w:val="auto"/>
        </w:rPr>
      </w:pPr>
    </w:p>
    <w:p>
      <w:pPr>
        <w:ind w:right="680" w:firstLine="980"/>
        <w:spacing w:after="0" w:line="334" w:lineRule="auto"/>
        <w:tabs>
          <w:tab w:leader="none" w:pos="11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right="780" w:firstLine="972"/>
        <w:spacing w:after="0" w:line="308" w:lineRule="auto"/>
        <w:rPr>
          <w:sz w:val="20"/>
          <w:szCs w:val="20"/>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sz w:val="20"/>
          <w:szCs w:val="20"/>
          <w:color w:val="auto"/>
        </w:rPr>
      </w:pPr>
    </w:p>
    <w:p>
      <w:pPr>
        <w:ind w:right="460" w:firstLine="972"/>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2016</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P. Long, certify that:</w:t>
      </w:r>
    </w:p>
    <w:p>
      <w:pPr>
        <w:spacing w:after="0" w:line="90" w:lineRule="exact"/>
        <w:rPr>
          <w:sz w:val="20"/>
          <w:szCs w:val="20"/>
          <w:color w:val="auto"/>
        </w:rPr>
      </w:pPr>
    </w:p>
    <w:p>
      <w:pPr>
        <w:ind w:left="1240" w:hanging="179"/>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90" w:lineRule="exact"/>
        <w:rPr>
          <w:rFonts w:ascii="Arial" w:cs="Arial" w:eastAsia="Arial" w:hAnsi="Arial"/>
          <w:sz w:val="18"/>
          <w:szCs w:val="18"/>
          <w:color w:val="auto"/>
        </w:rPr>
      </w:pPr>
    </w:p>
    <w:p>
      <w:pPr>
        <w:ind w:right="260" w:firstLine="1061"/>
        <w:spacing w:after="0" w:line="264" w:lineRule="auto"/>
        <w:tabs>
          <w:tab w:leader="none" w:pos="12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right="560" w:firstLine="1061"/>
        <w:spacing w:after="0" w:line="308" w:lineRule="auto"/>
        <w:tabs>
          <w:tab w:leader="none" w:pos="1233"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right="40" w:firstLine="1061"/>
        <w:spacing w:after="0" w:line="264" w:lineRule="auto"/>
        <w:tabs>
          <w:tab w:leader="none" w:pos="12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right="160" w:firstLine="1053"/>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sz w:val="20"/>
          <w:szCs w:val="20"/>
          <w:color w:val="auto"/>
        </w:rPr>
      </w:pPr>
    </w:p>
    <w:p>
      <w:pPr>
        <w:ind w:right="20" w:firstLine="1053"/>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sz w:val="20"/>
          <w:szCs w:val="20"/>
          <w:color w:val="auto"/>
        </w:rPr>
      </w:pPr>
    </w:p>
    <w:p>
      <w:pPr>
        <w:ind w:right="480" w:firstLine="1053"/>
        <w:spacing w:after="0" w:line="334" w:lineRule="auto"/>
        <w:rPr>
          <w:sz w:val="20"/>
          <w:szCs w:val="20"/>
          <w:color w:val="auto"/>
        </w:rPr>
      </w:pPr>
      <w:r>
        <w:rPr>
          <w:rFonts w:ascii="Arial" w:cs="Arial" w:eastAsia="Arial" w:hAnsi="Arial"/>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jc w:val="both"/>
        <w:ind w:right="420" w:firstLine="1053"/>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sz w:val="20"/>
          <w:szCs w:val="20"/>
          <w:color w:val="auto"/>
        </w:rPr>
      </w:pPr>
    </w:p>
    <w:p>
      <w:pPr>
        <w:ind w:right="600" w:firstLine="1061"/>
        <w:spacing w:after="0" w:line="334" w:lineRule="auto"/>
        <w:tabs>
          <w:tab w:leader="none" w:pos="123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right="700" w:firstLine="1053"/>
        <w:spacing w:after="0" w:line="308" w:lineRule="auto"/>
        <w:rPr>
          <w:sz w:val="20"/>
          <w:szCs w:val="20"/>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sz w:val="20"/>
          <w:szCs w:val="20"/>
          <w:color w:val="auto"/>
        </w:rPr>
      </w:pPr>
    </w:p>
    <w:p>
      <w:pPr>
        <w:ind w:right="380" w:firstLine="1053"/>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2016</w:t>
      </w:r>
    </w:p>
    <w:p>
      <w:pPr>
        <w:sectPr>
          <w:pgSz w:w="11900" w:h="16838" w:orient="portrait"/>
          <w:cols w:equalWidth="0" w:num="1">
            <w:col w:w="11420"/>
          </w:cols>
          <w:pgMar w:left="240" w:top="580" w:right="239" w:bottom="1440" w:gutter="0" w:footer="0" w:header="0"/>
        </w:sectPr>
      </w:pPr>
    </w:p>
    <w:bookmarkStart w:id="81" w:name="page82"/>
    <w:bookmarkEnd w:id="81"/>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120" w:firstLine="440"/>
        <w:spacing w:after="0" w:line="277" w:lineRule="auto"/>
        <w:tabs>
          <w:tab w:leader="none" w:pos="6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period ended September 30, 2016 (the “Report”) fully complies with the requirements of Section 13(a) or Section 15(d), as applicable, of the Securities Exchange Act of 1934, as amended; and</w:t>
      </w:r>
    </w:p>
    <w:p>
      <w:pPr>
        <w:spacing w:after="0" w:line="35" w:lineRule="exact"/>
        <w:rPr>
          <w:rFonts w:ascii="Arial" w:cs="Arial" w:eastAsia="Arial" w:hAnsi="Arial"/>
          <w:sz w:val="18"/>
          <w:szCs w:val="18"/>
          <w:color w:val="auto"/>
        </w:rPr>
      </w:pPr>
    </w:p>
    <w:p>
      <w:pPr>
        <w:ind w:left="700" w:hanging="260"/>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2016</w:t>
      </w:r>
    </w:p>
    <w:p>
      <w:pPr>
        <w:sectPr>
          <w:pgSz w:w="11900" w:h="16838" w:orient="portrait"/>
          <w:cols w:equalWidth="0" w:num="1">
            <w:col w:w="11420"/>
          </w:cols>
          <w:pgMar w:left="240" w:top="580" w:right="239" w:bottom="1440" w:gutter="0" w:footer="0" w:header="0"/>
        </w:sectPr>
      </w:pPr>
    </w:p>
    <w:bookmarkStart w:id="82" w:name="page83"/>
    <w:bookmarkEnd w:id="82"/>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120" w:firstLine="440"/>
        <w:spacing w:after="0" w:line="277" w:lineRule="auto"/>
        <w:tabs>
          <w:tab w:leader="none" w:pos="6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period ended September 30, 2016 (the “Report”) fully complies with the requirements of Section 13(a) or Section 15(d), as applicable, of the Securities Exchange Act of 1934, as amended; and</w:t>
      </w:r>
    </w:p>
    <w:p>
      <w:pPr>
        <w:spacing w:after="0" w:line="35" w:lineRule="exact"/>
        <w:rPr>
          <w:rFonts w:ascii="Arial" w:cs="Arial" w:eastAsia="Arial" w:hAnsi="Arial"/>
          <w:sz w:val="18"/>
          <w:szCs w:val="18"/>
          <w:color w:val="auto"/>
        </w:rPr>
      </w:pPr>
    </w:p>
    <w:p>
      <w:pPr>
        <w:ind w:left="700" w:hanging="260"/>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amp;"/>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5"/>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5"/>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2019-12-29T09:06:26Z</dcterms:created>
  <dcterms:modified xsi:type="dcterms:W3CDTF">2019-12-29T09:06:26Z</dcterms:modified>
</cp:coreProperties>
</file>