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46990</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43815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7"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October 2, 2020</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64770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295910</wp:posOffset>
            </wp:positionV>
            <wp:extent cx="29660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00" w:type="dxa"/>
            <w:vAlign w:val="bottom"/>
          </w:tcPr>
          <w:p>
            <w:pPr>
              <w:spacing w:after="0"/>
              <w:rPr>
                <w:sz w:val="18"/>
                <w:szCs w:val="18"/>
                <w:color w:val="auto"/>
              </w:rPr>
            </w:pPr>
          </w:p>
        </w:tc>
        <w:tc>
          <w:tcPr>
            <w:tcW w:w="358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33-0956711</w:t>
            </w:r>
          </w:p>
        </w:tc>
        <w:tc>
          <w:tcPr>
            <w:tcW w:w="0" w:type="dxa"/>
            <w:vAlign w:val="bottom"/>
          </w:tcPr>
          <w:p>
            <w:pPr>
              <w:spacing w:after="0"/>
              <w:rPr>
                <w:sz w:val="1"/>
                <w:szCs w:val="1"/>
                <w:color w:val="auto"/>
              </w:rPr>
            </w:pPr>
          </w:p>
        </w:tc>
      </w:tr>
      <w:tr>
        <w:trPr>
          <w:trHeight w:val="128"/>
        </w:trPr>
        <w:tc>
          <w:tcPr>
            <w:tcW w:w="2760" w:type="dxa"/>
            <w:vAlign w:val="bottom"/>
            <w:gridSpan w:val="2"/>
          </w:tcPr>
          <w:p>
            <w:pPr>
              <w:jc w:val="center"/>
              <w:ind w:left="572"/>
              <w:spacing w:after="0" w:line="128" w:lineRule="exact"/>
              <w:rPr>
                <w:sz w:val="20"/>
                <w:szCs w:val="20"/>
                <w:color w:val="auto"/>
              </w:rPr>
            </w:pPr>
            <w:r>
              <w:rPr>
                <w:rFonts w:ascii="Times New Roman" w:cs="Times New Roman" w:eastAsia="Times New Roman" w:hAnsi="Times New Roman"/>
                <w:sz w:val="13"/>
                <w:szCs w:val="13"/>
                <w:i w:val="1"/>
                <w:iCs w:val="1"/>
                <w:color w:val="auto"/>
                <w:w w:val="97"/>
              </w:rPr>
              <w:t>(State or other jurisdiction of</w:t>
            </w:r>
          </w:p>
        </w:tc>
        <w:tc>
          <w:tcPr>
            <w:tcW w:w="2500" w:type="dxa"/>
            <w:vAlign w:val="bottom"/>
          </w:tcPr>
          <w:p>
            <w:pPr>
              <w:spacing w:after="0"/>
              <w:rPr>
                <w:sz w:val="11"/>
                <w:szCs w:val="11"/>
                <w:color w:val="auto"/>
              </w:rPr>
            </w:pPr>
          </w:p>
        </w:tc>
        <w:tc>
          <w:tcPr>
            <w:tcW w:w="3580" w:type="dxa"/>
            <w:vAlign w:val="bottom"/>
            <w:vMerge w:val="restart"/>
          </w:tcPr>
          <w:p>
            <w:pPr>
              <w:jc w:val="center"/>
              <w:ind w:left="1710"/>
              <w:spacing w:after="0"/>
              <w:rPr>
                <w:sz w:val="20"/>
                <w:szCs w:val="20"/>
                <w:color w:val="auto"/>
              </w:rPr>
            </w:pPr>
            <w:r>
              <w:rPr>
                <w:rFonts w:ascii="Times New Roman" w:cs="Times New Roman" w:eastAsia="Times New Roman" w:hAnsi="Times New Roman"/>
                <w:sz w:val="13"/>
                <w:szCs w:val="13"/>
                <w:i w:val="1"/>
                <w:iCs w:val="1"/>
                <w:color w:val="auto"/>
                <w:w w:val="96"/>
              </w:rPr>
              <w:t>(I.R.S. Employer Identification No.)</w:t>
            </w:r>
          </w:p>
        </w:tc>
        <w:tc>
          <w:tcPr>
            <w:tcW w:w="0" w:type="dxa"/>
            <w:vAlign w:val="bottom"/>
          </w:tcPr>
          <w:p>
            <w:pPr>
              <w:spacing w:after="0"/>
              <w:rPr>
                <w:sz w:val="1"/>
                <w:szCs w:val="1"/>
                <w:color w:val="auto"/>
              </w:rPr>
            </w:pPr>
          </w:p>
        </w:tc>
      </w:tr>
      <w:tr>
        <w:trPr>
          <w:trHeight w:val="166"/>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3"/>
                <w:szCs w:val="13"/>
                <w:i w:val="1"/>
                <w:iCs w:val="1"/>
                <w:color w:val="auto"/>
                <w:w w:val="95"/>
              </w:rPr>
              <w:t>incorporation or organization)</w:t>
            </w:r>
          </w:p>
        </w:tc>
        <w:tc>
          <w:tcPr>
            <w:tcW w:w="250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5601 Great Oaks Parkway</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San Jose,</w:t>
            </w: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58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95119</w:t>
            </w:r>
          </w:p>
        </w:tc>
        <w:tc>
          <w:tcPr>
            <w:tcW w:w="0" w:type="dxa"/>
            <w:vAlign w:val="bottom"/>
          </w:tcPr>
          <w:p>
            <w:pPr>
              <w:spacing w:after="0"/>
              <w:rPr>
                <w:sz w:val="1"/>
                <w:szCs w:val="1"/>
                <w:color w:val="auto"/>
              </w:rPr>
            </w:pPr>
          </w:p>
        </w:tc>
      </w:tr>
      <w:tr>
        <w:trPr>
          <w:trHeight w:val="169"/>
        </w:trPr>
        <w:tc>
          <w:tcPr>
            <w:tcW w:w="2760" w:type="dxa"/>
            <w:vAlign w:val="bottom"/>
            <w:gridSpan w:val="2"/>
          </w:tcPr>
          <w:p>
            <w:pPr>
              <w:jc w:val="center"/>
              <w:ind w:left="552"/>
              <w:spacing w:after="0"/>
              <w:rPr>
                <w:sz w:val="20"/>
                <w:szCs w:val="20"/>
                <w:color w:val="auto"/>
              </w:rPr>
            </w:pPr>
            <w:r>
              <w:rPr>
                <w:rFonts w:ascii="Times New Roman" w:cs="Times New Roman" w:eastAsia="Times New Roman" w:hAnsi="Times New Roman"/>
                <w:sz w:val="13"/>
                <w:szCs w:val="13"/>
                <w:i w:val="1"/>
                <w:iCs w:val="1"/>
                <w:color w:val="auto"/>
                <w:w w:val="97"/>
              </w:rPr>
              <w:t>(Address of principal executive offices)</w:t>
            </w:r>
          </w:p>
        </w:tc>
        <w:tc>
          <w:tcPr>
            <w:tcW w:w="2500" w:type="dxa"/>
            <w:vAlign w:val="bottom"/>
          </w:tcPr>
          <w:p>
            <w:pPr>
              <w:spacing w:after="0"/>
              <w:rPr>
                <w:sz w:val="14"/>
                <w:szCs w:val="14"/>
                <w:color w:val="auto"/>
              </w:rPr>
            </w:pPr>
          </w:p>
        </w:tc>
        <w:tc>
          <w:tcPr>
            <w:tcW w:w="3580" w:type="dxa"/>
            <w:vAlign w:val="bottom"/>
          </w:tcPr>
          <w:p>
            <w:pPr>
              <w:jc w:val="center"/>
              <w:ind w:left="1710"/>
              <w:spacing w:after="0"/>
              <w:rPr>
                <w:sz w:val="20"/>
                <w:szCs w:val="20"/>
                <w:color w:val="auto"/>
              </w:rPr>
            </w:pPr>
            <w:r>
              <w:rPr>
                <w:rFonts w:ascii="Times New Roman" w:cs="Times New Roman" w:eastAsia="Times New Roman" w:hAnsi="Times New Roman"/>
                <w:sz w:val="13"/>
                <w:szCs w:val="13"/>
                <w:i w:val="1"/>
                <w:iCs w:val="1"/>
                <w:color w:val="auto"/>
                <w:w w:val="98"/>
              </w:rPr>
              <w:t>(Zip Code)</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2"/>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2"/>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280670</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ind w:right="6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8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9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040" w:type="dxa"/>
            <w:vAlign w:val="bottom"/>
          </w:tcPr>
          <w:p>
            <w:pPr>
              <w:spacing w:after="0"/>
              <w:rPr>
                <w:sz w:val="16"/>
                <w:szCs w:val="16"/>
                <w:color w:val="auto"/>
              </w:rPr>
            </w:pPr>
          </w:p>
        </w:tc>
      </w:tr>
      <w:tr>
        <w:trPr>
          <w:trHeight w:val="179"/>
        </w:trPr>
        <w:tc>
          <w:tcPr>
            <w:tcW w:w="23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22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Non-accelerated filer</w:t>
            </w:r>
          </w:p>
        </w:tc>
        <w:tc>
          <w:tcPr>
            <w:tcW w:w="25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226"/>
        </w:trPr>
        <w:tc>
          <w:tcPr>
            <w:tcW w:w="2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20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258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99"/>
              </w:rPr>
              <w:t>☐</w:t>
            </w:r>
          </w:p>
        </w:tc>
        <w:tc>
          <w:tcPr>
            <w:tcW w:w="204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218"/>
        </w:trPr>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October 30, 2020, 304,245,045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48"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894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Condensed Consolidated Balance Sheets — As of October 2, 2020 and July 3, 2020</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88"/>
              </w:rPr>
            </w:pPr>
            <w:hyperlink w:anchor="page5">
              <w:r>
                <w:rPr>
                  <w:rFonts w:ascii="Times New Roman" w:cs="Times New Roman" w:eastAsia="Times New Roman" w:hAnsi="Times New Roman"/>
                  <w:sz w:val="18"/>
                  <w:szCs w:val="18"/>
                  <w:u w:val="single" w:color="auto"/>
                  <w:color w:val="3635D6"/>
                  <w:w w:val="88"/>
                </w:rPr>
                <w:t>5</w:t>
              </w:r>
            </w:hyperlink>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Operations — Three Months Ended October 2, 2020 and October 4, 2019</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88"/>
              </w:rPr>
            </w:pPr>
            <w:hyperlink w:anchor="page5">
              <w:r>
                <w:rPr>
                  <w:rFonts w:ascii="Times New Roman" w:cs="Times New Roman" w:eastAsia="Times New Roman" w:hAnsi="Times New Roman"/>
                  <w:sz w:val="18"/>
                  <w:szCs w:val="18"/>
                  <w:u w:val="single" w:color="auto"/>
                  <w:color w:val="3635D6"/>
                  <w:w w:val="88"/>
                </w:rPr>
                <w:t>6</w:t>
              </w:r>
            </w:hyperlink>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894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Comprehensive Loss — Three Months Ended October 2, 2020 and October</w:t>
            </w:r>
          </w:p>
        </w:tc>
        <w:tc>
          <w:tcPr>
            <w:tcW w:w="1440" w:type="dxa"/>
            <w:vAlign w:val="bottom"/>
            <w:vMerge w:val="restart"/>
          </w:tcPr>
          <w:p>
            <w:pPr>
              <w:jc w:val="center"/>
              <w:spacing w:after="0"/>
              <w:rPr>
                <w:rFonts w:ascii="Times New Roman" w:cs="Times New Roman" w:eastAsia="Times New Roman" w:hAnsi="Times New Roman"/>
                <w:sz w:val="18"/>
                <w:szCs w:val="18"/>
                <w:u w:val="single" w:color="auto"/>
                <w:color w:val="3635D6"/>
                <w:w w:val="88"/>
              </w:rPr>
            </w:pPr>
            <w:hyperlink w:anchor="page6">
              <w:r>
                <w:rPr>
                  <w:rFonts w:ascii="Times New Roman" w:cs="Times New Roman" w:eastAsia="Times New Roman" w:hAnsi="Times New Roman"/>
                  <w:sz w:val="18"/>
                  <w:szCs w:val="18"/>
                  <w:u w:val="single" w:color="auto"/>
                  <w:color w:val="3635D6"/>
                  <w:w w:val="88"/>
                </w:rPr>
                <w:t>7</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4, 2019</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Condensed Consolidated Statements of Cash Flows — Three Months Ended October 2, 2020 and October 4, 2019</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88"/>
              </w:rPr>
            </w:pPr>
            <w:hyperlink w:anchor="page7">
              <w:r>
                <w:rPr>
                  <w:rFonts w:ascii="Times New Roman" w:cs="Times New Roman" w:eastAsia="Times New Roman" w:hAnsi="Times New Roman"/>
                  <w:sz w:val="18"/>
                  <w:szCs w:val="18"/>
                  <w:u w:val="single" w:color="auto"/>
                  <w:color w:val="3635D6"/>
                  <w:w w:val="88"/>
                </w:rPr>
                <w:t>8</w:t>
              </w:r>
            </w:hyperlink>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894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Shareholders' Equity — Three Months Ended October 2, 2020 and October</w:t>
            </w:r>
          </w:p>
        </w:tc>
        <w:tc>
          <w:tcPr>
            <w:tcW w:w="1440" w:type="dxa"/>
            <w:vAlign w:val="bottom"/>
            <w:vMerge w:val="restart"/>
          </w:tcPr>
          <w:p>
            <w:pPr>
              <w:jc w:val="center"/>
              <w:spacing w:after="0"/>
              <w:rPr>
                <w:rFonts w:ascii="Times New Roman" w:cs="Times New Roman" w:eastAsia="Times New Roman" w:hAnsi="Times New Roman"/>
                <w:sz w:val="18"/>
                <w:szCs w:val="18"/>
                <w:u w:val="single" w:color="auto"/>
                <w:color w:val="3635D6"/>
                <w:w w:val="88"/>
              </w:rPr>
            </w:pPr>
            <w:hyperlink w:anchor="page8">
              <w:r>
                <w:rPr>
                  <w:rFonts w:ascii="Times New Roman" w:cs="Times New Roman" w:eastAsia="Times New Roman" w:hAnsi="Times New Roman"/>
                  <w:sz w:val="18"/>
                  <w:szCs w:val="18"/>
                  <w:u w:val="single" w:color="auto"/>
                  <w:color w:val="3635D6"/>
                  <w:w w:val="88"/>
                </w:rPr>
                <w:t>9</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4, 2019</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10">
              <w:r>
                <w:rPr>
                  <w:rFonts w:ascii="Times New Roman" w:cs="Times New Roman" w:eastAsia="Times New Roman" w:hAnsi="Times New Roman"/>
                  <w:sz w:val="18"/>
                  <w:szCs w:val="18"/>
                  <w:u w:val="single" w:color="auto"/>
                  <w:color w:val="3635D6"/>
                  <w:w w:val="99"/>
                </w:rPr>
                <w:t>11</w:t>
              </w:r>
            </w:hyperlink>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34">
              <w:r>
                <w:rPr>
                  <w:rFonts w:ascii="Times New Roman" w:cs="Times New Roman" w:eastAsia="Times New Roman" w:hAnsi="Times New Roman"/>
                  <w:sz w:val="18"/>
                  <w:szCs w:val="18"/>
                  <w:u w:val="single" w:color="auto"/>
                  <w:color w:val="3635D6"/>
                  <w:w w:val="99"/>
                </w:rPr>
                <w:t>35</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46">
              <w:r>
                <w:rPr>
                  <w:rFonts w:ascii="Times New Roman" w:cs="Times New Roman" w:eastAsia="Times New Roman" w:hAnsi="Times New Roman"/>
                  <w:sz w:val="18"/>
                  <w:szCs w:val="18"/>
                  <w:u w:val="single" w:color="auto"/>
                  <w:color w:val="3635D6"/>
                  <w:w w:val="99"/>
                </w:rPr>
                <w:t>47</w:t>
              </w:r>
            </w:hyperlink>
          </w:p>
        </w:tc>
        <w:tc>
          <w:tcPr>
            <w:tcW w:w="0" w:type="dxa"/>
            <w:vAlign w:val="bottom"/>
          </w:tcPr>
          <w:p>
            <w:pPr>
              <w:spacing w:after="0"/>
              <w:rPr>
                <w:sz w:val="1"/>
                <w:szCs w:val="1"/>
                <w:color w:val="auto"/>
              </w:rPr>
            </w:pPr>
          </w:p>
        </w:tc>
      </w:tr>
      <w:tr>
        <w:trPr>
          <w:trHeight w:val="23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47">
              <w:r>
                <w:rPr>
                  <w:rFonts w:ascii="Times New Roman" w:cs="Times New Roman" w:eastAsia="Times New Roman" w:hAnsi="Times New Roman"/>
                  <w:sz w:val="18"/>
                  <w:szCs w:val="18"/>
                  <w:u w:val="single" w:color="auto"/>
                  <w:color w:val="3635D6"/>
                  <w:w w:val="99"/>
                </w:rPr>
                <w:t>47</w:t>
              </w:r>
            </w:hyperlink>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89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48">
              <w:r>
                <w:rPr>
                  <w:rFonts w:ascii="Times New Roman" w:cs="Times New Roman" w:eastAsia="Times New Roman" w:hAnsi="Times New Roman"/>
                  <w:sz w:val="18"/>
                  <w:szCs w:val="18"/>
                  <w:u w:val="single" w:color="auto"/>
                  <w:color w:val="3635D6"/>
                  <w:w w:val="99"/>
                </w:rPr>
                <w:t>48</w:t>
              </w:r>
            </w:hyperlink>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440" w:type="dxa"/>
            <w:vAlign w:val="bottom"/>
          </w:tcPr>
          <w:p>
            <w:pPr>
              <w:jc w:val="center"/>
              <w:spacing w:after="0"/>
              <w:rPr>
                <w:rFonts w:ascii="Times New Roman" w:cs="Times New Roman" w:eastAsia="Times New Roman" w:hAnsi="Times New Roman"/>
                <w:sz w:val="18"/>
                <w:szCs w:val="18"/>
                <w:u w:val="single" w:color="auto"/>
                <w:color w:val="3635D6"/>
                <w:w w:val="99"/>
              </w:rPr>
            </w:pPr>
            <w:hyperlink w:anchor="page48">
              <w:r>
                <w:rPr>
                  <w:rFonts w:ascii="Times New Roman" w:cs="Times New Roman" w:eastAsia="Times New Roman" w:hAnsi="Times New Roman"/>
                  <w:sz w:val="18"/>
                  <w:szCs w:val="18"/>
                  <w:u w:val="single" w:color="auto"/>
                  <w:color w:val="3635D6"/>
                  <w:w w:val="99"/>
                </w:rPr>
                <w:t>48</w:t>
              </w:r>
            </w:hyperlink>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440" w:type="dxa"/>
            <w:vAlign w:val="bottom"/>
            <w:shd w:val="clear" w:color="auto" w:fill="CCEEFF"/>
          </w:tcPr>
          <w:p>
            <w:pPr>
              <w:jc w:val="center"/>
              <w:spacing w:after="0"/>
              <w:rPr>
                <w:rFonts w:ascii="Times New Roman" w:cs="Times New Roman" w:eastAsia="Times New Roman" w:hAnsi="Times New Roman"/>
                <w:sz w:val="18"/>
                <w:szCs w:val="18"/>
                <w:u w:val="single" w:color="auto"/>
                <w:color w:val="3635D6"/>
                <w:w w:val="99"/>
              </w:rPr>
            </w:pPr>
            <w:hyperlink w:anchor="page48">
              <w:r>
                <w:rPr>
                  <w:rFonts w:ascii="Times New Roman" w:cs="Times New Roman" w:eastAsia="Times New Roman" w:hAnsi="Times New Roman"/>
                  <w:sz w:val="18"/>
                  <w:szCs w:val="18"/>
                  <w:u w:val="single" w:color="auto"/>
                  <w:color w:val="3635D6"/>
                  <w:w w:val="99"/>
                </w:rPr>
                <w:t>49</w:t>
              </w:r>
            </w:hyperlink>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effects of the COVID-19 pandemic and measures intended to reduce its spread;</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Flash Ventures joint venture with Kioxia Corporation, the flash industry and our flash wafer output plans;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the outcome of legal proceedings in which we are involved;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reinvestment in the business and ongoing deleveraging efforts;</w:t>
      </w:r>
    </w:p>
    <w:p>
      <w:pPr>
        <w:spacing w:after="0" w:line="9" w:lineRule="exact"/>
        <w:rPr>
          <w:rFonts w:ascii="Times New Roman" w:cs="Times New Roman" w:eastAsia="Times New Roman" w:hAnsi="Times New Roman"/>
          <w:sz w:val="18"/>
          <w:szCs w:val="18"/>
          <w:i w:val="1"/>
          <w:iCs w:val="1"/>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capital investments and sources of funding for those investments; and</w:t>
      </w:r>
    </w:p>
    <w:p>
      <w:pPr>
        <w:spacing w:after="0" w:line="9"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beliefs regarding the sufficiency of our available liquidity to meet our working capital, debt and capital expenditure needs as well as our dividend plans.</w:t>
      </w:r>
    </w:p>
    <w:p>
      <w:pPr>
        <w:spacing w:after="0" w:line="206" w:lineRule="exact"/>
        <w:rPr>
          <w:sz w:val="20"/>
          <w:szCs w:val="20"/>
          <w:color w:val="auto"/>
        </w:rPr>
      </w:pPr>
    </w:p>
    <w:p>
      <w:pPr>
        <w:ind w:right="220" w:firstLine="324"/>
        <w:spacing w:after="0" w:line="314"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on information available to the Company as of the date of this Quarterly Report on Form 10-Q and are based on management’s current views and assumptions. They are conditioned upon and involve a number of risks, uncertainties and other factors that</w:t>
      </w:r>
    </w:p>
    <w:p>
      <w:pPr>
        <w:spacing w:after="0" w:line="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could cause actual results or performance to differ materially from those expressed in the forward-looking statements. These risks and uncertainties include, but are not limited to:</w:t>
      </w:r>
    </w:p>
    <w:p>
      <w:pPr>
        <w:spacing w:after="0" w:line="20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future responses to and effects of the COVID-19 pandemic;</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volatility in global economic conditions;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impact of business and market conditions;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impact of competitive products and pricing;</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difficulties or delays in manufacturing or other supply chain disruptions;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hiring and retention of key employees;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high level of debt and other financial obligations;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disruptions in operations from cyberattacks or other system security risks;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actions by competitors;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223"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Annual Report on Form 10-K for the fiscal year ended July 3, 2020 (the “2020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2020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events or circumstances after the date of this document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320" w:type="dxa"/>
            <w:vAlign w:val="bottom"/>
          </w:tcPr>
          <w:p>
            <w:pPr>
              <w:spacing w:after="0"/>
              <w:rPr>
                <w:sz w:val="13"/>
                <w:szCs w:val="13"/>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authorized — 5 shares; issued and outstanding — none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 450 shares; issued — 312 shares; outstanding — 304 shares and 302 shares,</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 common shares at cost; 8 shares and 10 shares, respectively</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40" w:type="dxa"/>
            <w:vAlign w:val="bottom"/>
          </w:tcPr>
          <w:p>
            <w:pPr>
              <w:spacing w:after="0"/>
              <w:rPr>
                <w:sz w:val="11"/>
                <w:szCs w:val="11"/>
                <w:color w:val="auto"/>
              </w:rPr>
            </w:pPr>
          </w:p>
        </w:tc>
        <w:tc>
          <w:tcPr>
            <w:tcW w:w="1180" w:type="dxa"/>
            <w:vAlign w:val="bottom"/>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8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w:t>
            </w:r>
          </w:p>
        </w:tc>
      </w:tr>
      <w:tr>
        <w:trPr>
          <w:trHeight w:val="21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59"/>
        </w:trPr>
        <w:tc>
          <w:tcPr>
            <w:tcW w:w="8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bl>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34"/>
        </w:trPr>
        <w:tc>
          <w:tcPr>
            <w:tcW w:w="826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80" w:type="dxa"/>
            <w:vAlign w:val="bottom"/>
          </w:tcPr>
          <w:p>
            <w:pPr>
              <w:spacing w:after="0"/>
              <w:rPr>
                <w:sz w:val="11"/>
                <w:szCs w:val="1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(276)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Actuarial pension gain</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unrealized gain (loss) on derivative contracts and available-for-sale securities</w:t>
            </w: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 before tax</w:t>
            </w: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33"/>
        </w:trPr>
        <w:tc>
          <w:tcPr>
            <w:tcW w:w="826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80" w:type="dxa"/>
            <w:vAlign w:val="bottom"/>
          </w:tcPr>
          <w:p>
            <w:pPr>
              <w:spacing w:after="0"/>
              <w:rPr>
                <w:sz w:val="11"/>
                <w:szCs w:val="1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operations: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89"/>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8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9"/>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9"/>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debt discounts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9"/>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2"/>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2"/>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10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82"/>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8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3,048</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3,455</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2,995</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3,248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56"/>
        </w:trPr>
        <w:tc>
          <w:tcPr>
            <w:tcW w:w="8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6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94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8"/>
                <w:szCs w:val="8"/>
                <w:color w:val="auto"/>
              </w:rPr>
            </w:pPr>
          </w:p>
        </w:tc>
        <w:tc>
          <w:tcPr>
            <w:tcW w:w="1100" w:type="dxa"/>
            <w:vAlign w:val="bottom"/>
          </w:tcPr>
          <w:p>
            <w:pPr>
              <w:jc w:val="center"/>
              <w:ind w:right="49"/>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3, 2020</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Adoption of new accounting standards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2, 2020</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30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4"/>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10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3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28,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w:t>
            </w:r>
          </w:p>
        </w:tc>
        <w:tc>
          <w:tcPr>
            <w:tcW w:w="0" w:type="dxa"/>
            <w:vAlign w:val="bottom"/>
          </w:tcPr>
          <w:p>
            <w:pPr>
              <w:spacing w:after="0"/>
              <w:rPr>
                <w:sz w:val="1"/>
                <w:szCs w:val="1"/>
                <w:color w:val="auto"/>
              </w:rPr>
            </w:pPr>
          </w:p>
        </w:tc>
      </w:tr>
      <w:tr>
        <w:trPr>
          <w:trHeight w:val="18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Adoption of new accounting</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standards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trike w:val="1"/>
                <w:w w:val="85"/>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4, 2019</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201" w:lineRule="exact"/>
        <w:rPr>
          <w:sz w:val="20"/>
          <w:szCs w:val="20"/>
          <w:color w:val="auto"/>
        </w:rPr>
      </w:pPr>
    </w:p>
    <w:p>
      <w:pPr>
        <w:ind w:right="60"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The results of operations for interim periods are not necessarily indicative of results to be expected for the full year.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coronavirus disease 2019 (“COVID-19”) pandemic. However, actual results could differ materially from these estimates and be significantly affected by the severity and duration of the pandemic, the extent of actions to contain or treat COVID-19, how quickly and to what extent normal economic and operating activity can resume, and the severity and duration of the global economic downturn that results from the pandemic.</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U.S. and in foreign countries through its sales personnel, dealers, distributors, retailers, and subsidiaries. Historically, the Company has managed and reported under a single operating segment. Late in the first quarter of fiscal 2021, the Chief Executive Officer, who is the Company’s Chief Operating Decision Maker (“CODM”), announced a decision to reorganize the Company’s business by forming two separate product business units: flash-based products and hard disk drives (“HDD”). Beginning in the second fiscal quarter, the Company is in the process of transitioning to this new operating model and discrete information has not yet been established to align with the new business structure. Management expects to finalize its assessment of its operating segments when the transition is completed, which is expected to be by the end of fiscal 2021.</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Updates (“ASU”) No. 2016-13, “Financial Instruments - 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adopted this standard effective July 4, 2020 (the beginning of fiscal 2021) with no material impact on its Condensed Consolidated Financial Statements.</w:t>
      </w:r>
    </w:p>
    <w:p>
      <w:pPr>
        <w:spacing w:after="0" w:line="2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Accounting Standards Codification (ASC) 606 by recognizing a cumulative-effect adjustment to the opening balance of retained earnings of the earliest annual period presented. The Company adopted this standard effective July 4, 2020 (the beginning of fiscal 2021) with no material impact on its Condensed Consolidated Financial Statements.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2022. Early adoption is permitted. The Company does not expect this update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Revenues</w:t>
      </w:r>
    </w:p>
    <w:p>
      <w:pPr>
        <w:spacing w:after="0" w:line="25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October 2, 2020 or July 3, 2020.</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October 2, 2020 and July 3, 2020 as well as the related amortization for the three months ended October 2, 2020 and October 4, 2019 were not material.</w:t>
      </w:r>
    </w:p>
    <w:p>
      <w:pPr>
        <w:spacing w:after="0" w:line="214"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Contract liabilities relate to customers’ payments in advance of performance under the contract and primarily relate to remaining performance obligations under support and maintenance contracts. As of October 2, 2020 and July 3, 2020, contract liabilities were not material.</w:t>
      </w:r>
    </w:p>
    <w:p>
      <w:pPr>
        <w:spacing w:after="0" w:line="189" w:lineRule="exact"/>
        <w:rPr>
          <w:sz w:val="20"/>
          <w:szCs w:val="20"/>
          <w:color w:val="auto"/>
        </w:rPr>
      </w:pPr>
    </w:p>
    <w:p>
      <w:pPr>
        <w:ind w:right="36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the practical expedients and does not disclose transaction price allocated to the remaining performance obligations for (i) arrangements that have an original expected duration of one year or less, which mainly consist of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October 2, 2020 was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$102 million, which is mainly attributable to the functional IP license and service arrangements. The Company expects to recognize this amount as revenue as follows: $31 million during the remainder of fiscal 2021, $40 million in fiscal 2022, and $31 million in fiscal 2023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60" w:type="dxa"/>
            <w:vAlign w:val="bottom"/>
          </w:tcPr>
          <w:p>
            <w:pPr>
              <w:spacing w:after="0"/>
              <w:rPr>
                <w:sz w:val="11"/>
                <w:szCs w:val="11"/>
                <w:color w:val="auto"/>
              </w:rPr>
            </w:pPr>
          </w:p>
        </w:tc>
        <w:tc>
          <w:tcPr>
            <w:tcW w:w="1080" w:type="dxa"/>
            <w:vAlign w:val="bottom"/>
          </w:tcPr>
          <w:p>
            <w:pPr>
              <w:jc w:val="right"/>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Hard disk drives (“HDD”)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Flash-based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8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Client Devices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16"/>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Client Solutions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top 10 customers accounted for 44% of its net revenue for the three months ended October 2, 2020, and 43% of its net revenue for the three months ended October 4, 2019. For the three months ended October 2, 2020, no single customer accounted for 10% of the Company’s net revenue, and for the three months ended October 4, 2019, one customer accounted for 11% of the Company’s net revenue.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During the three months ended October 2, 2020 and October 4, 2019, the Company sold trade accounts receivable and received cash proceeds of $128 million and $85 million, respectively. The discounts on the trade accounts receivable sold during the periods were not material and were recorded within Other income, net in the Condensed Consolidated Statements of Operations. As of October 2, 2020 and July 3, 2020, the amount of factored receivables that remained outstanding was $128 million and $113 million, respectively.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13"/>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w:t>
            </w:r>
          </w:p>
        </w:tc>
      </w:tr>
      <w:tr>
        <w:trPr>
          <w:trHeight w:val="216"/>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188"/>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w:t>
            </w:r>
          </w:p>
        </w:tc>
      </w:tr>
      <w:tr>
        <w:trPr>
          <w:trHeight w:val="213"/>
        </w:trPr>
        <w:tc>
          <w:tcPr>
            <w:tcW w:w="9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r>
      <w:tr>
        <w:trPr>
          <w:trHeight w:val="133"/>
        </w:trPr>
        <w:tc>
          <w:tcPr>
            <w:tcW w:w="82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60" w:type="dxa"/>
            <w:vAlign w:val="bottom"/>
          </w:tcPr>
          <w:p>
            <w:pPr>
              <w:spacing w:after="0"/>
              <w:rPr>
                <w:sz w:val="11"/>
                <w:szCs w:val="11"/>
                <w:color w:val="auto"/>
              </w:rPr>
            </w:pPr>
          </w:p>
        </w:tc>
      </w:tr>
      <w:tr>
        <w:trPr>
          <w:trHeight w:val="189"/>
        </w:trPr>
        <w:tc>
          <w:tcPr>
            <w:tcW w:w="824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5"/>
                <w:szCs w:val="15"/>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 portion (included in Accrued expenses)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Long-term portion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260" w:type="dxa"/>
            <w:vAlign w:val="bottom"/>
          </w:tcPr>
          <w:p>
            <w:pPr>
              <w:spacing w:after="0"/>
              <w:rPr>
                <w:sz w:val="15"/>
                <w:szCs w:val="15"/>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425"/>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
        </w:trPr>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Payables related to unrecognized tax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13"/>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54" w:lineRule="exact"/>
        <w:rPr>
          <w:sz w:val="20"/>
          <w:szCs w:val="20"/>
          <w:color w:val="auto"/>
        </w:rPr>
      </w:pPr>
    </w:p>
    <w:p>
      <w:pPr>
        <w:ind w:right="800" w:firstLine="324"/>
        <w:spacing w:after="0" w:line="286" w:lineRule="auto"/>
        <w:rPr>
          <w:sz w:val="20"/>
          <w:szCs w:val="20"/>
          <w:color w:val="auto"/>
        </w:rPr>
      </w:pPr>
      <w:r>
        <w:rPr>
          <w:rFonts w:ascii="Times New Roman" w:cs="Times New Roman" w:eastAsia="Times New Roman" w:hAnsi="Times New Roman"/>
          <w:sz w:val="17"/>
          <w:szCs w:val="17"/>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2"/>
                <w:szCs w:val="12"/>
                <w:color w:val="auto"/>
              </w:rPr>
            </w:pPr>
          </w:p>
        </w:tc>
        <w:tc>
          <w:tcPr>
            <w:tcW w:w="1320" w:type="dxa"/>
            <w:vAlign w:val="bottom"/>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3,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2,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 2020 and October 4, 2019, the amounts reclassified out of AOCI related to derivative contracts were substantially all charged to Cost of revenue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 2020 and July 3, 2020, and indicate the fair value hierarchy of the valuation techniques utilized to determine such values: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7"/>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55"/>
        </w:trPr>
        <w:tc>
          <w:tcPr>
            <w:tcW w:w="5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9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7"/>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 2020 and October 4, 2019, the Company had no transfers of financial assets and liabilities between levels and there were no changes in valuation techniques and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7"/>
          <w:szCs w:val="17"/>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2021 and the fourth quarter of 2020,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1000" w:type="dxa"/>
            <w:vAlign w:val="bottom"/>
            <w:tcBorders>
              <w:bottom w:val="single" w:sz="8" w:color="auto"/>
            </w:tcBorders>
          </w:tcPr>
          <w:p>
            <w:pPr>
              <w:spacing w:after="0"/>
              <w:rPr>
                <w:sz w:val="16"/>
                <w:szCs w:val="16"/>
                <w:color w:val="auto"/>
              </w:rPr>
            </w:pPr>
          </w:p>
        </w:tc>
      </w:tr>
      <w:tr>
        <w:trPr>
          <w:trHeight w:val="134"/>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Pr>
          <w:p>
            <w:pPr>
              <w:spacing w:after="0"/>
              <w:rPr>
                <w:sz w:val="11"/>
                <w:szCs w:val="11"/>
                <w:color w:val="auto"/>
              </w:rPr>
            </w:pPr>
          </w:p>
        </w:tc>
        <w:tc>
          <w:tcPr>
            <w:tcW w:w="940" w:type="dxa"/>
            <w:vAlign w:val="bottom"/>
          </w:tcPr>
          <w:p>
            <w:pPr>
              <w:jc w:val="center"/>
              <w:ind w:right="402"/>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48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1"/>
                <w:szCs w:val="11"/>
                <w:color w:val="auto"/>
              </w:rPr>
            </w:pPr>
          </w:p>
        </w:tc>
        <w:tc>
          <w:tcPr>
            <w:tcW w:w="1000" w:type="dxa"/>
            <w:vAlign w:val="bottom"/>
          </w:tcPr>
          <w:p>
            <w:pPr>
              <w:jc w:val="right"/>
              <w:ind w:right="501"/>
              <w:spacing w:after="0" w:line="134"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9"/>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 maturing 2023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r>
      <w:tr>
        <w:trPr>
          <w:trHeight w:val="210"/>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October 2, 2020,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October 2, 2020, the amount of existing net losses related to cash flow hedges recorded in AOCI included $70 million related to the Company’s interest rate swaps that is expected to be reclassified to earnings after twelve months. In addition, as of October 2, 2020, the Company did not have any foreign exchange forward contracts with credit-risk-related contingent features.</w:t>
      </w:r>
    </w:p>
    <w:p>
      <w:pPr>
        <w:spacing w:after="0" w:line="20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months ended October 2, 2020 and October 4, 2019, total net realized and unrealized transaction and foreign exchange contract currency gains and losses were not material to the Company’s Condensed Consolidated Financial Statements.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October 2, 2020 and July 3, 2020,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 as of October 2, 2020 and July 3,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0.50% convertible senior notes due 2020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 maturing 2023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 maturing 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2"/>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9,289</w:t>
            </w: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The credit agreement governing the revolving credit facility and Term Loan A-1 requires the Company to comply with certain financial covenants, consisting of a leverage ratio and an interest coverage ratio. As of October 2, 2020, the Company was in compliance with these financial covenants.</w:t>
      </w:r>
    </w:p>
    <w:p>
      <w:pPr>
        <w:spacing w:after="0" w:line="16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 2020, the Company made a voluntary prepayment of $150 million on its Term Loan B-4. Subsequent to October 2, 2020, the 0.50% convertible notes due 2020 were settled in full in accordance with their terms.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Unfunded status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443"/>
              <w:spacing w:after="0" w:line="147"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amount recognized</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months ended October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as of October 2, 2020 and July 3,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42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w:t>
            </w: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 2020 and October 4, 2019, the Company made net payments to Flash Ventures of $981 million and $682 million, respectively, for purchased flash-based memory wafers and net loans and investments.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As of October 2, 2020 and July 3, 2020, the Company had Accounts payable balances due to Flash Ventures of $404 million and $407 million, respectively.</w:t>
      </w:r>
    </w:p>
    <w:p>
      <w:pPr>
        <w:spacing w:after="0" w:line="189" w:lineRule="exact"/>
        <w:rPr>
          <w:sz w:val="20"/>
          <w:szCs w:val="20"/>
          <w:color w:val="auto"/>
        </w:rPr>
      </w:pPr>
    </w:p>
    <w:p>
      <w:pPr>
        <w:jc w:val="both"/>
        <w:ind w:right="160" w:firstLine="324"/>
        <w:spacing w:after="0" w:line="263"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October 2, 2020,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8"/>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2"/>
              <w:spacing w:after="0" w:line="148" w:lineRule="exact"/>
              <w:rPr>
                <w:sz w:val="20"/>
                <w:szCs w:val="20"/>
                <w:color w:val="auto"/>
              </w:rPr>
            </w:pPr>
            <w:r>
              <w:rPr>
                <w:rFonts w:ascii="Times New Roman" w:cs="Times New Roman" w:eastAsia="Times New Roman" w:hAnsi="Times New Roman"/>
                <w:sz w:val="14"/>
                <w:szCs w:val="14"/>
                <w:b w:val="1"/>
                <w:bCs w:val="1"/>
                <w:color w:val="auto"/>
              </w:rPr>
              <w:t>October 2,</w:t>
            </w:r>
          </w:p>
        </w:tc>
      </w:tr>
      <w:tr>
        <w:trPr>
          <w:trHeight w:val="189"/>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37"/>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As a result of this incident, the Company incurred charges of $68 million for the three months ended October 4, 2019, which were recorded in Cost of revenue and primarily consisted of unabsorbed manufacturing overhead costs. During the three months ended October 2, 2020, the Company received a recovery of $30 million related to this incident from its insurance carriers, which was recorded in Cost of revenue. The Company continues to pursue recovery of its losses associated with this event; however, the total amount of recovery cannot be estimated at this time.</w:t>
      </w:r>
    </w:p>
    <w:p>
      <w:pPr>
        <w:spacing w:after="0" w:line="21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The Company has paid for most of its share of initial K1 equipment investments and relocation costs. Other period expenses associated with the initial production ramp at K1 are expected to begin trailing off toward the end of calendar year 2020 as output increases. The Company also agreed to prepay an aggregate of approximately $360 million over a 3-year period beginning in the first half of fiscal year 2020 toward K1 building depreciation, to be credited against future wafer charges. As of October 2, 2020, remaining committed prepayments totaled $178 million.</w:t>
      </w:r>
    </w:p>
    <w:p>
      <w:pPr>
        <w:spacing w:after="0" w:line="217"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research and development (“R&amp;D”) activities with Kioxia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contractually committed to a minimum funding level. R&amp;D commitments are immaterial to the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October 2,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65"/>
              <w:spacing w:after="0"/>
              <w:rPr>
                <w:sz w:val="20"/>
                <w:szCs w:val="20"/>
                <w:color w:val="auto"/>
              </w:rPr>
            </w:pPr>
            <w:r>
              <w:rPr>
                <w:rFonts w:ascii="Times New Roman" w:cs="Times New Roman" w:eastAsia="Times New Roman" w:hAnsi="Times New Roman"/>
                <w:sz w:val="14"/>
                <w:szCs w:val="14"/>
                <w:color w:val="auto"/>
              </w:rPr>
              <w:t>Lease Amounts</w:t>
            </w:r>
          </w:p>
        </w:tc>
      </w:tr>
      <w:tr>
        <w:trPr>
          <w:trHeight w:val="133"/>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4"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4"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89"/>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firstLine="324"/>
        <w:spacing w:after="0" w:line="264"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October 2, 2020 in U.S. dollars, based upon the Japanese yen to U.S. dollar exchange rate as of October 2, 2020:</w:t>
      </w:r>
    </w:p>
    <w:tbl>
      <w:tblPr>
        <w:tblLayout w:type="fixed"/>
        <w:tblInd w:w="0" w:type="dxa"/>
        <w:tblCellMar>
          <w:top w:w="0" w:type="dxa"/>
          <w:left w:w="0" w:type="dxa"/>
          <w:bottom w:w="0" w:type="dxa"/>
          <w:right w:w="0" w:type="dxa"/>
        </w:tblCellMar>
      </w:tblPr>
      <w:tr>
        <w:trPr>
          <w:trHeight w:val="145"/>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Payment of Principal</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Purchase Option</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Annual Installments</w:t>
            </w: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Exercise Price at Final</w:t>
            </w:r>
          </w:p>
        </w:tc>
        <w:tc>
          <w:tcPr>
            <w:tcW w:w="140" w:type="dxa"/>
            <w:vAlign w:val="bottom"/>
          </w:tcPr>
          <w:p>
            <w:pPr>
              <w:spacing w:after="0"/>
              <w:rPr>
                <w:sz w:val="11"/>
                <w:szCs w:val="11"/>
                <w:color w:val="auto"/>
              </w:rPr>
            </w:pPr>
          </w:p>
        </w:tc>
        <w:tc>
          <w:tcPr>
            <w:tcW w:w="130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Guarantee Amount</w:t>
            </w: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Lease Terms</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nine months of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October 2, 2020, no amounts have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months ended October 2, 2020 and October 4, 2019, the Company recognized approximately 2% and 1%, respectively, of its consolidated revenue on products distributed by the Unis Venture. The outstanding accounts receivable due from and investment in the Unis Venture were 6% and 4% of Accounts receivable, net as of October 2, 2020 and July 3,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October 2,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199"/>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lease payments by fiscal year:</w:t>
            </w:r>
          </w:p>
        </w:tc>
        <w:tc>
          <w:tcPr>
            <w:tcW w:w="220" w:type="dxa"/>
            <w:vAlign w:val="bottom"/>
          </w:tcPr>
          <w:p>
            <w:pPr>
              <w:spacing w:after="0"/>
              <w:rPr>
                <w:sz w:val="17"/>
                <w:szCs w:val="17"/>
                <w:color w:val="auto"/>
              </w:rPr>
            </w:pPr>
          </w:p>
        </w:tc>
        <w:tc>
          <w:tcPr>
            <w:tcW w:w="1360" w:type="dxa"/>
            <w:vAlign w:val="bottom"/>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9"/>
        </w:trPr>
        <w:tc>
          <w:tcPr>
            <w:tcW w:w="9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Remaining nine months of 2021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9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9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9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9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9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r>
      <w:tr>
        <w:trPr>
          <w:trHeight w:val="212"/>
        </w:trPr>
        <w:tc>
          <w:tcPr>
            <w:tcW w:w="9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299</w:t>
            </w:r>
          </w:p>
        </w:tc>
      </w:tr>
      <w:tr>
        <w:trPr>
          <w:trHeight w:val="213"/>
        </w:trPr>
        <w:tc>
          <w:tcPr>
            <w:tcW w:w="9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9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9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9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r>
      <w:tr>
        <w:trPr>
          <w:trHeight w:val="256"/>
        </w:trPr>
        <w:tc>
          <w:tcPr>
            <w:tcW w:w="9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60" w:type="dxa"/>
            <w:vAlign w:val="bottom"/>
            <w:tcBorders>
              <w:bottom w:val="single" w:sz="8" w:color="auto"/>
            </w:tcBorders>
            <w:gridSpan w:val="3"/>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r>
      <w:tr>
        <w:trPr>
          <w:trHeight w:val="133"/>
        </w:trPr>
        <w:tc>
          <w:tcPr>
            <w:tcW w:w="8260" w:type="dxa"/>
            <w:vAlign w:val="bottom"/>
          </w:tcPr>
          <w:p>
            <w:pPr>
              <w:spacing w:after="0"/>
              <w:rPr>
                <w:sz w:val="11"/>
                <w:szCs w:val="11"/>
                <w:color w:val="auto"/>
              </w:rPr>
            </w:pPr>
          </w:p>
        </w:tc>
        <w:tc>
          <w:tcPr>
            <w:tcW w:w="1100" w:type="dxa"/>
            <w:vAlign w:val="bottom"/>
          </w:tcPr>
          <w:p>
            <w:pPr>
              <w:jc w:val="center"/>
              <w:ind w:left="266"/>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80" w:type="dxa"/>
            <w:vAlign w:val="bottom"/>
          </w:tcPr>
          <w:p>
            <w:pPr>
              <w:spacing w:after="0"/>
              <w:rPr>
                <w:sz w:val="11"/>
                <w:szCs w:val="11"/>
                <w:color w:val="auto"/>
              </w:rPr>
            </w:pPr>
          </w:p>
        </w:tc>
        <w:tc>
          <w:tcPr>
            <w:tcW w:w="1180" w:type="dxa"/>
            <w:vAlign w:val="bottom"/>
          </w:tcPr>
          <w:p>
            <w:pPr>
              <w:jc w:val="center"/>
              <w:ind w:left="305"/>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20" w:type="dxa"/>
            <w:vAlign w:val="bottom"/>
          </w:tcPr>
          <w:p>
            <w:pPr>
              <w:spacing w:after="0"/>
              <w:rPr>
                <w:sz w:val="11"/>
                <w:szCs w:val="11"/>
                <w:color w:val="auto"/>
              </w:rPr>
            </w:pPr>
          </w:p>
        </w:tc>
      </w:tr>
      <w:tr>
        <w:trPr>
          <w:trHeight w:val="189"/>
        </w:trPr>
        <w:tc>
          <w:tcPr>
            <w:tcW w:w="826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gridSpan w:val="2"/>
          </w:tcPr>
          <w:p>
            <w:pPr>
              <w:jc w:val="center"/>
              <w:ind w:right="70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0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1180" w:type="dxa"/>
            <w:vAlign w:val="bottom"/>
            <w:shd w:val="clear" w:color="auto" w:fill="CCEEFF"/>
          </w:tcPr>
          <w:p>
            <w:pPr>
              <w:jc w:val="right"/>
              <w:ind w:right="945"/>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0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October 2, 2020, the Company had the following minimum long-term commitments:</w:t>
      </w:r>
    </w:p>
    <w:tbl>
      <w:tblPr>
        <w:tblLayout w:type="fixed"/>
        <w:tblInd w:w="40" w:type="dxa"/>
        <w:tblCellMar>
          <w:top w:w="0" w:type="dxa"/>
          <w:left w:w="0" w:type="dxa"/>
          <w:bottom w:w="0" w:type="dxa"/>
          <w:right w:w="0" w:type="dxa"/>
        </w:tblCellMar>
      </w:tblPr>
      <w:tr>
        <w:trPr>
          <w:trHeight w:val="148"/>
        </w:trPr>
        <w:tc>
          <w:tcPr>
            <w:tcW w:w="9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42"/>
              <w:spacing w:after="0" w:line="148"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89"/>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83"/>
        </w:trPr>
        <w:tc>
          <w:tcPr>
            <w:tcW w:w="9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9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Remaining nine months of 2021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9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596</w:t>
            </w:r>
          </w:p>
        </w:tc>
      </w:tr>
      <w:tr>
        <w:trPr>
          <w:trHeight w:val="213"/>
        </w:trPr>
        <w:tc>
          <w:tcPr>
            <w:tcW w:w="9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523</w:t>
            </w:r>
          </w:p>
        </w:tc>
      </w:tr>
      <w:tr>
        <w:trPr>
          <w:trHeight w:val="219"/>
        </w:trPr>
        <w:tc>
          <w:tcPr>
            <w:tcW w:w="9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w:t>
            </w:r>
          </w:p>
        </w:tc>
      </w:tr>
      <w:tr>
        <w:trPr>
          <w:trHeight w:val="213"/>
        </w:trPr>
        <w:tc>
          <w:tcPr>
            <w:tcW w:w="9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r>
      <w:tr>
        <w:trPr>
          <w:trHeight w:val="216"/>
        </w:trPr>
        <w:tc>
          <w:tcPr>
            <w:tcW w:w="9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r>
      <w:tr>
        <w:trPr>
          <w:trHeight w:val="212"/>
        </w:trPr>
        <w:tc>
          <w:tcPr>
            <w:tcW w:w="9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2,107</w:t>
            </w:r>
          </w:p>
        </w:tc>
      </w:tr>
      <w:tr>
        <w:trPr>
          <w:trHeight w:val="20"/>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18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stock options,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40" w:type="dxa"/>
            <w:vAlign w:val="bottom"/>
            <w:tcBorders>
              <w:bottom w:val="single" w:sz="8" w:color="auto"/>
            </w:tcBorders>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33"/>
        </w:trPr>
        <w:tc>
          <w:tcPr>
            <w:tcW w:w="8260" w:type="dxa"/>
            <w:vAlign w:val="bottom"/>
          </w:tcPr>
          <w:p>
            <w:pPr>
              <w:spacing w:after="0"/>
              <w:rPr>
                <w:sz w:val="11"/>
                <w:szCs w:val="11"/>
                <w:color w:val="auto"/>
              </w:rPr>
            </w:pPr>
          </w:p>
        </w:tc>
        <w:tc>
          <w:tcPr>
            <w:tcW w:w="110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40" w:type="dxa"/>
            <w:vAlign w:val="bottom"/>
          </w:tcPr>
          <w:p>
            <w:pPr>
              <w:spacing w:after="0"/>
              <w:rPr>
                <w:sz w:val="11"/>
                <w:szCs w:val="11"/>
                <w:color w:val="auto"/>
              </w:rPr>
            </w:pPr>
          </w:p>
        </w:tc>
      </w:tr>
      <w:tr>
        <w:trPr>
          <w:trHeight w:val="189"/>
        </w:trPr>
        <w:tc>
          <w:tcPr>
            <w:tcW w:w="8260" w:type="dxa"/>
            <w:vAlign w:val="bottom"/>
          </w:tcPr>
          <w:p>
            <w:pPr>
              <w:spacing w:after="0"/>
              <w:rPr>
                <w:sz w:val="16"/>
                <w:szCs w:val="16"/>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28"/>
        </w:trPr>
        <w:tc>
          <w:tcPr>
            <w:tcW w:w="8260" w:type="dxa"/>
            <w:vAlign w:val="bottom"/>
          </w:tcPr>
          <w:p>
            <w:pPr>
              <w:spacing w:after="0"/>
              <w:rPr>
                <w:sz w:val="24"/>
                <w:szCs w:val="24"/>
                <w:color w:val="auto"/>
              </w:rPr>
            </w:pPr>
          </w:p>
        </w:tc>
        <w:tc>
          <w:tcPr>
            <w:tcW w:w="2640" w:type="dxa"/>
            <w:vAlign w:val="bottom"/>
            <w:tcBorders>
              <w:bottom w:val="single" w:sz="8" w:color="auto"/>
            </w:tcBorders>
            <w:gridSpan w:val="4"/>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r>
      <w:tr>
        <w:trPr>
          <w:trHeight w:val="133"/>
        </w:trPr>
        <w:tc>
          <w:tcPr>
            <w:tcW w:w="8260" w:type="dxa"/>
            <w:vAlign w:val="bottom"/>
          </w:tcPr>
          <w:p>
            <w:pPr>
              <w:spacing w:after="0"/>
              <w:rPr>
                <w:sz w:val="11"/>
                <w:szCs w:val="11"/>
                <w:color w:val="auto"/>
              </w:rPr>
            </w:pPr>
          </w:p>
        </w:tc>
        <w:tc>
          <w:tcPr>
            <w:tcW w:w="110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264"/>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40" w:type="dxa"/>
            <w:vAlign w:val="bottom"/>
          </w:tcPr>
          <w:p>
            <w:pPr>
              <w:spacing w:after="0"/>
              <w:rPr>
                <w:sz w:val="11"/>
                <w:szCs w:val="11"/>
                <w:color w:val="auto"/>
              </w:rPr>
            </w:pPr>
          </w:p>
        </w:tc>
      </w:tr>
      <w:tr>
        <w:trPr>
          <w:trHeight w:val="189"/>
        </w:trPr>
        <w:tc>
          <w:tcPr>
            <w:tcW w:w="8260" w:type="dxa"/>
            <w:vAlign w:val="bottom"/>
          </w:tcPr>
          <w:p>
            <w:pPr>
              <w:spacing w:after="0"/>
              <w:rPr>
                <w:sz w:val="16"/>
                <w:szCs w:val="16"/>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Subtotal</w:t>
            </w: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
        </w:trPr>
        <w:tc>
          <w:tcPr>
            <w:tcW w:w="8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189" w:lineRule="exact"/>
        <w:rPr>
          <w:sz w:val="20"/>
          <w:szCs w:val="20"/>
          <w:color w:val="auto"/>
        </w:rPr>
      </w:pPr>
    </w:p>
    <w:p>
      <w:pPr>
        <w:ind w:right="4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stock options,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October 2, 2020:</w:t>
      </w:r>
    </w:p>
    <w:tbl>
      <w:tblPr>
        <w:tblLayout w:type="fixed"/>
        <w:tblInd w:w="0" w:type="dxa"/>
        <w:tblCellMar>
          <w:top w:w="0" w:type="dxa"/>
          <w:left w:w="0" w:type="dxa"/>
          <w:bottom w:w="0" w:type="dxa"/>
          <w:right w:w="0" w:type="dxa"/>
        </w:tblCellMar>
      </w:tblPr>
      <w:tr>
        <w:trPr>
          <w:trHeight w:val="148"/>
        </w:trPr>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43"/>
              <w:spacing w:after="0" w:line="148"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9"/>
        </w:trPr>
        <w:tc>
          <w:tcPr>
            <w:tcW w:w="826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83"/>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16"/>
        </w:trPr>
        <w:tc>
          <w:tcPr>
            <w:tcW w:w="8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0.8</w:t>
            </w:r>
          </w:p>
        </w:tc>
      </w:tr>
      <w:tr>
        <w:trPr>
          <w:trHeight w:val="237"/>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metrics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6"/>
                <w:szCs w:val="16"/>
                <w:color w:val="auto"/>
              </w:rPr>
            </w:pPr>
          </w:p>
        </w:tc>
        <w:tc>
          <w:tcPr>
            <w:tcW w:w="13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July 3,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Canceled or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at October 2, 2020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October 2,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3,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October 2,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authorized a stock repurchase program for the repurchase of up to $5.0 billion of the Company’s common stock, which authorization is effective through July 25, 2023. The Company did not make any stock repurchases during the three months ended October 2, 2020 and has not repurchased any shares of its common stock pursuant to its stock repurchase program since the first quarter of fiscal 2019. The remaining amount available to be repurchased under the Company’s current stock repurchase program as of October 2, 2020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Shareholders</w:t>
      </w:r>
    </w:p>
    <w:p>
      <w:pPr>
        <w:spacing w:after="0" w:line="25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a quarterly cash dividend from the first quarter of fiscal 2013 up to the third quarter of fiscal 2020. In April 2020, the Company suspended its dividend to reinvest in the business and to support its ongoing deleveraging efforts.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in the U.S. The CARES Act, among other things, allows net operating losses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continue to implement emergency tax measures to provide relief similar to the CARES Act. The Company at present does not expect that any of the provisions of the CARES Act or the emergency tax measures around the world would result in a material cash benefit. However, the Company continues to monitor and evaluate the regulatory and interpretive guidance related to the CARES Act as well as in other jurisdictions.</w:t>
      </w:r>
    </w:p>
    <w:p>
      <w:pPr>
        <w:spacing w:after="0" w:line="21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424"/>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440" w:type="dxa"/>
            <w:vAlign w:val="bottom"/>
          </w:tcPr>
          <w:p>
            <w:pPr>
              <w:spacing w:after="0"/>
              <w:rPr>
                <w:sz w:val="11"/>
                <w:szCs w:val="11"/>
                <w:color w:val="auto"/>
              </w:rPr>
            </w:pPr>
          </w:p>
        </w:tc>
        <w:tc>
          <w:tcPr>
            <w:tcW w:w="1160" w:type="dxa"/>
            <w:vAlign w:val="bottom"/>
          </w:tcPr>
          <w:p>
            <w:pPr>
              <w:jc w:val="right"/>
              <w:ind w:right="363"/>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tcPr>
          <w:p>
            <w:pPr>
              <w:jc w:val="center"/>
              <w:ind w:left="8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spacing w:after="0"/>
              <w:rPr>
                <w:sz w:val="15"/>
                <w:szCs w:val="15"/>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32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57</w:t>
            </w:r>
          </w:p>
        </w:tc>
        <w:tc>
          <w:tcPr>
            <w:tcW w:w="44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33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October 2, 2020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2030. In addition, the effective tax rate for the three months ended October 2, 2020 includes the discrete effects of net tax deficiencies from shortfalls of $11 million related to the vesting of stock-based awards and additional tax expense of $10 million from the re-measurement of purchase accounting deferred tax liabilities due to restructuring activities. The discrete items have no impact on the amount of income taxes paid by the Company.</w:t>
      </w:r>
    </w:p>
    <w:p>
      <w:pPr>
        <w:spacing w:after="0" w:line="214"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October 4, 2019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and penalties.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and penalties.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U.S. Tax Court consolidated the case for fiscal years 2008 through 2009 with the case for fiscal years 2010 through 2012. On May 4, 2020, the IRS filed with the U.S. Tax Court Amendments to Answer to assert penalties totaling $340 million on the proposed adjustments relating to transfer pricing with respect to fiscal years 2008 through 2009 and fiscal years 2010 through 2012. In September 2020, the IRS proposed adjustments relating to transfer pricing with the Company’s foreign subsidiaries for fiscal years 2013 through 2015 that, if sustained, would result in additional federal tax totaling approximately $271 million. The Company disagrees with the proposed adjustments. The Company continues to believe that its tax positions are properly supported and will vigorously contest the position taken by the IRS.</w:t>
      </w:r>
    </w:p>
    <w:p>
      <w:pPr>
        <w:spacing w:after="0" w:line="2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October 2, 2020,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October 2, 2020, the liability for unrecognized tax benefits (excluding accrued interest and penalties) was approximately $711 million. Accrued interest and penalties related to unrecognized tax benefits as of October 2, 2020 was approximately $141 million. Of these amounts, approximately $715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60" w:type="dxa"/>
            <w:vAlign w:val="bottom"/>
          </w:tcPr>
          <w:p>
            <w:pPr>
              <w:spacing w:after="0"/>
              <w:rPr>
                <w:sz w:val="11"/>
                <w:szCs w:val="11"/>
                <w:color w:val="auto"/>
              </w:rPr>
            </w:pPr>
          </w:p>
        </w:tc>
        <w:tc>
          <w:tcPr>
            <w:tcW w:w="1180" w:type="dxa"/>
            <w:vAlign w:val="bottom"/>
          </w:tcPr>
          <w:p>
            <w:pPr>
              <w:jc w:val="right"/>
              <w:ind w:right="322"/>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0" w:type="dxa"/>
            <w:vAlign w:val="bottom"/>
          </w:tcPr>
          <w:p>
            <w:pPr>
              <w:spacing w:after="0"/>
              <w:rPr>
                <w:sz w:val="1"/>
                <w:szCs w:val="1"/>
                <w:color w:val="auto"/>
              </w:rPr>
            </w:pPr>
          </w:p>
        </w:tc>
      </w:tr>
      <w:tr>
        <w:trPr>
          <w:trHeight w:val="189"/>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computes basic loss per common share using Net loss and the weighted average number of common shares outstanding during the period. Diluted loss per common share is computed using Net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October 2, 2020 and the three months ended October 4, 2019, the Company recorded net losses,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 Charges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charges related to employee termination benefits, asset impairment, and other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r>
      <w:tr>
        <w:trPr>
          <w:trHeight w:val="133"/>
        </w:trPr>
        <w:tc>
          <w:tcPr>
            <w:tcW w:w="8220" w:type="dxa"/>
            <w:vAlign w:val="bottom"/>
          </w:tcPr>
          <w:p>
            <w:pPr>
              <w:spacing w:after="0"/>
              <w:rPr>
                <w:sz w:val="11"/>
                <w:szCs w:val="11"/>
                <w:color w:val="auto"/>
              </w:rPr>
            </w:pPr>
          </w:p>
        </w:tc>
        <w:tc>
          <w:tcPr>
            <w:tcW w:w="11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44"/>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280" w:type="dxa"/>
            <w:vAlign w:val="bottom"/>
          </w:tcPr>
          <w:p>
            <w:pPr>
              <w:spacing w:after="0"/>
              <w:rPr>
                <w:sz w:val="11"/>
                <w:szCs w:val="11"/>
                <w:color w:val="auto"/>
              </w:rPr>
            </w:pPr>
          </w:p>
        </w:tc>
      </w:tr>
      <w:tr>
        <w:trPr>
          <w:trHeight w:val="189"/>
        </w:trPr>
        <w:tc>
          <w:tcPr>
            <w:tcW w:w="8220" w:type="dxa"/>
            <w:vAlign w:val="bottom"/>
          </w:tcPr>
          <w:p>
            <w:pPr>
              <w:spacing w:after="0"/>
              <w:rPr>
                <w:sz w:val="16"/>
                <w:szCs w:val="16"/>
                <w:color w:val="auto"/>
              </w:rPr>
            </w:pPr>
          </w:p>
        </w:tc>
        <w:tc>
          <w:tcPr>
            <w:tcW w:w="11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gridSpan w:val="3"/>
          </w:tcPr>
          <w:p>
            <w:pPr>
              <w:jc w:val="right"/>
              <w:ind w:right="7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5"/>
                <w:szCs w:val="15"/>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Closure of Foreign Manufacturing Facilities</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Realignment</w:t>
            </w: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10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
        </w:trPr>
        <w:tc>
          <w:tcPr>
            <w:tcW w:w="8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 activity against the reserve during the three months ended October 2,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July 3, 2020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October 2, 2020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5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disclosures regarding statutory notices of deficiency issued by the IRS on June 28, 2018 and December 10, 2018, and petitions filed by the Company with the U.S. Tax Court in September 2018 and March 2019, see Note 12, </w:t>
      </w: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280" w:firstLine="324"/>
        <w:spacing w:after="0" w:line="220"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See also “Forward-Looking Statements” immediately prior to Part I, Item 1 in this Quarterly Report on Form 10-Q.</w:t>
      </w:r>
    </w:p>
    <w:p>
      <w:pPr>
        <w:spacing w:after="0" w:line="22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0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Structure</w:t>
      </w:r>
    </w:p>
    <w:p>
      <w:pPr>
        <w:spacing w:after="0" w:line="24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Late in the first quarter of fiscal 2021, we announced a decision to reorganize our business by forming two separate product business units: flash-based products and hard disk drive (“HDD”). The new structure is intended to provide each business unit with focus and responsibility for identifying current and future customer requirements while driving the strategy, roadmap, pricing and overall profitability for their respective product areas. Beginning in the second fiscal quarter, we are in the process of transitioning to this new operating model and discrete information has not yet been established to align with the new business structure. We are developing new reporting processes to support the new business structure and evaluating the impact of these changes on our discussion and analysis of our financial condition and results of operations in the future.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4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pandemic, and the United States declared a national emergency. In the intervening months, COVID-19 has spread globally and led governments and other authorities around the world, including federal, state and local authorities in the United States, to impose measures intended to reduce its spread, including restrictions on freedom of movement and business operations such as travel bans, border closings, business limitations and closures (subject to exceptions for essential operations and businesses), quarantines and shelter-in-place orders. Although some of these governmental restrictions have since been lifted or scaled back, a recent surge of COVID-19 infections has resulted in the re-imposition of certain restrictions and may lead to other restrictions being re-implemented in response to efforts to reduce the spread of COVID-19. These measures may remain in place for a significant amount of time. In light of these events, we have taken actions to protect the health and safety of our employees while continuing to serve our global customers as an essential business. We have implemented more thorough sanitation practices as outlined by health organizations and instituted social distancing policies at our locations around the world, including working from home, limiting the number of employees attending meetings, reducing the number of people in our sites at any one time, and suspending employee travel. In addition, the responses to COVID-19 taken by others in the supply chain have impacted our operations. As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result, we have incurred charges of approximately $28 million during the three months ended October 2, 2020, primarily related to higher logistics costs, which were recorded in cost of revenue.</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essential business, we continue to provide products and solutions that enable the proliferation of data and facilitate the sharing of information remotely, which has become more critical as much of the world is interacting from areas of self-isolation. Generally, demand for our products remains solid. During the three months ended October 2, 2020, we experienced lower sales in some of our capacity enterprise and Client Devices products as customers absorbed purchases made in recent quarters but we also experienced increased sales in retail as COVID-19 restrictions eased, more brick and mortar businesses resumed operations, the work and learn from home trend increased hard drive demand for desktops and notebooks, and gaming increased. Looking forward, we see positive indications of the progression of 5G ramp and the growth of gaming. We also currently expect retail demand to be solid in the near term and HDD to improve as customers absorb recent purchases and we ramp sales as we complete new product qualifications. However, the COVID-19 environment remains dynamic and we cannot predict the duration of the pandemic and how demand may change as it develops.</w:t>
      </w:r>
    </w:p>
    <w:p>
      <w:pPr>
        <w:spacing w:after="0" w:line="21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w:t>
      </w:r>
      <w:r>
        <w:rPr>
          <w:rFonts w:ascii="Times New Roman" w:cs="Times New Roman" w:eastAsia="Times New Roman" w:hAnsi="Times New Roman"/>
          <w:sz w:val="18"/>
          <w:szCs w:val="18"/>
          <w:i w:val="1"/>
          <w:iCs w:val="1"/>
          <w:color w:val="auto"/>
        </w:rPr>
        <w:t>“The COVID-19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pandemic could adversely affect our business, results of operations and financial condition” </w:t>
      </w:r>
      <w:r>
        <w:rPr>
          <w:rFonts w:ascii="Times New Roman" w:cs="Times New Roman" w:eastAsia="Times New Roman" w:hAnsi="Times New Roman"/>
          <w:sz w:val="18"/>
          <w:szCs w:val="18"/>
          <w:color w:val="auto"/>
        </w:rPr>
        <w:t>in Part I,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fiscal year ended July 3, 2020 for more information regarding the risks we face as a result of the COVID-19 pandemic.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Flash Ventures entity’s operating cash flow is insufficient to fund these investments. We also co-develop flash technologies (including process technology and memory design) with Kioxia and contribute IP for Flash Ventures’ use.</w:t>
      </w:r>
    </w:p>
    <w:p>
      <w:pPr>
        <w:spacing w:after="0" w:line="214"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Since its inception, Flash Ventures’ primary manufacturing site has been located in Yokkaichi, Japan, which currently includes five wafer fabrication facilities. Production levels at the Yokkaichi site were temporarily reduced as a result of an unexpected power outage incident that occurred in the Yokkaichi region on June 15, 2019. The power outage incident impacted the facilities and process tools and resulted in damage to flash wafers in production. The incident resulted in a reduction of our flash wafer availability by approximately 4 exabytes. As a result of this power outage incident, we incurred charges of $68 million recorded in Cost of revenue in the three months ended October 4, 2019, which primarily consisted of unabsorbed manufacturing overhead costs. During the three months ended October 2, 2020, we received a recovery of $30 million related to this incident from our insurance carriers, which was recorded in Cost of revenue. We continue to pursue recovery of our losses associated with this event; however, the total amount of recovery cannot be estimated at this time.</w:t>
      </w:r>
    </w:p>
    <w:p>
      <w:pPr>
        <w:spacing w:after="0" w:line="2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We have paid for most of our share of initial K1 equipment investments and relocation costs. Other period expenses associated with the initial production ramp at K1 are expected to begin trailing off toward the end of calendar year 2020 as output increases. Other period expenses associated with the initial production ramp at K1 will begin trailing off as output increases toward the end of the calendar year. We also agreed to prepay an aggregate of approximately $360 million over a 3-year period beginning in the first half of fiscal year 2020 toward K1 building depreciation, to be credited against future wafer charges. As of October 2, 2020, remaining committed prepayments totaled $178 million.</w:t>
      </w:r>
    </w:p>
    <w:p>
      <w:pPr>
        <w:spacing w:after="0" w:line="21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October 2020, Kioxia announced the start of construction of the shell for a new fabrication facility in Yokkaichi, Japan, referred to as “Y7”. We expect to continue Flash Ventures investments into Y7 in due course, following the completion of agreements with Kioxia governing the construction and operation of the new facility and according to then-prevailing market trends.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First Quarter Overview</w:t>
      </w:r>
    </w:p>
    <w:p>
      <w:pPr>
        <w:spacing w:after="0" w:line="254"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860" w:type="dxa"/>
            <w:vAlign w:val="bottom"/>
          </w:tcPr>
          <w:p>
            <w:pPr>
              <w:spacing w:after="0"/>
              <w:rPr>
                <w:sz w:val="11"/>
                <w:szCs w:val="11"/>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ind w:left="4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  $</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77.0</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3,282</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81.2</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(264)</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18.8</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14.2</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4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48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21.3</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887</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22.0</w:t>
            </w:r>
          </w:p>
        </w:tc>
        <w:tc>
          <w:tcPr>
            <w:tcW w:w="9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(3.2)</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0.3</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8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8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(3.0)</w:t>
            </w: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339"/>
              <w:spacing w:after="0"/>
              <w:rPr>
                <w:sz w:val="20"/>
                <w:szCs w:val="20"/>
                <w:color w:val="auto"/>
              </w:rPr>
            </w:pPr>
            <w:r>
              <w:rPr>
                <w:rFonts w:ascii="Times New Roman" w:cs="Times New Roman" w:eastAsia="Times New Roman" w:hAnsi="Times New Roman"/>
                <w:sz w:val="16"/>
                <w:szCs w:val="16"/>
                <w:color w:val="auto"/>
              </w:rPr>
              <w:t>(2.7)</w:t>
            </w: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0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(5.9)</w:t>
            </w: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(6.8)</w:t>
            </w: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revenue: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40" w:type="dxa"/>
            <w:vAlign w:val="bottom"/>
          </w:tcPr>
          <w:p>
            <w:pPr>
              <w:spacing w:after="0"/>
              <w:rPr>
                <w:sz w:val="11"/>
                <w:szCs w:val="11"/>
                <w:color w:val="auto"/>
              </w:rPr>
            </w:pPr>
          </w:p>
        </w:tc>
        <w:tc>
          <w:tcPr>
            <w:tcW w:w="1080" w:type="dxa"/>
            <w:vAlign w:val="bottom"/>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5"/>
                <w:szCs w:val="15"/>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Hard disk drives (“HDD”)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Flash-based</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Client Devices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Data Center Devices &amp; Solutions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1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Client Solutions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Net revenue decreased 2.9% for the three months ended October 2, 2020 compared to the three months ended October 4, 2019. The decrease in net revenue for the three months ended October 2, 2020 from the comparable period in the prior year reflects lower volumes of memory for HDD products and more competitive pricing for both HDD and flash products, which contributed approximately 9 and 5 percentage points of decline, respectively, and which were partially offset by higher volumes of flash products sold. Client Devices revenue increased 20% year over year. Higher volumes of flash memory contributed 38 percentage points of growth, primarily from client compute SSD due to increased demand for SSD-based notebook and desktop products resulting from work from home and remote learning trends as well as significant growth in gaming as upcoming game consoles transition from hard drive-based storage solutions to flash. These increases were partially offset by lower average pricing on both HDD and flash products. Our revenue for Data Center Devices and Solutions decreased 26% year over year, which predominantly reflected lower volumes of both HDD and flash-based products as Cloud and OEM customers absorbed some of the capacity purchased in recent quarters and as we continued to ramp up new product transitions in hard drive and flash-based storage solutions. Client Solutions revenue decreased 5% year over year with more competitive pricing driving approximately 8 percentage points of decline, primarily in retail flash products, partially offset by volume growth in both flash and hard drive-based products driven by increased demand for our products that support both remote learning and work from home applications.</w:t>
      </w:r>
    </w:p>
    <w:p>
      <w:pPr>
        <w:spacing w:after="0" w:line="21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changes in net revenue by geography reflect an increase in Asia primarily driven by our increased sales of mobility products to manufacturers in the Asia region, and a decrease in the Americas driven by lower sales of capacity enterprise products.</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top 10 customers accounted for 44% and 43% of our net revenue for the three months ended October 2, 2020 and October 4, 2019, respectively. For the three months ended October 2, 2020, no single customer accounted for 10% or more of our net revenue. For the three months ended October 4, 2019, one customer accounted for 11% of our net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For the three months ended October 2, 2020 and October 4, 2019, these programs represented 18% and 15%, respectively, of gross revenues, and adjustments to revenue due to changes in accruals for these programs have generally averaged less than 1% of gross revenue year over year.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by $146 million for the three months ended October 2, 2020 from the comparable period in the prior year, which primarily reflects the power outage charges of $68 million incurred in the prior year, the $30 million partial recovery in the current year, a $19 million decrease in charges in the current year related to amortization expense on acquired intangible assets and reduced manufacturing costs. These improvements were partially offset by COVID-19 related costs incurred in the current quarter.</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Gross margin increased approximately 4 percentage points for the three months ended October 2, 2020 from the comparable period in the prior year, which primarily reflects the impacts of the lower charges noted above as well as reduced manufacturing costs as we ramp production of new products. Over the near term, we expect gross margin to be constrained by lower-margin retail products but expect improved gross margins over the longer term as we complete new product qualifications and ramp production on higher capacity drives.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 decreased $19 million for the three months ended October 2, 2020 from the comparable period in the prior year primarily reflecting additional expense related to the additional week in the prior year.</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$49 million for the three months ended October 2, 2020 from the comparable period in the prior year primarily reflecting a $10 million reduction of expenses related to the additional week in the prior year, approximately $10 million in lower costs in the current year for travel and entertainment and marketing expenses as a result of COVID-19 as well as savings from the exit of our storage systems business and our cost reduction actions.</w:t>
      </w:r>
    </w:p>
    <w:p>
      <w:pPr>
        <w:spacing w:after="0" w:line="207" w:lineRule="exact"/>
        <w:rPr>
          <w:sz w:val="20"/>
          <w:szCs w:val="20"/>
          <w:color w:val="auto"/>
        </w:rPr>
      </w:pPr>
    </w:p>
    <w:p>
      <w:pPr>
        <w:ind w:right="180" w:firstLine="324"/>
        <w:spacing w:after="0" w:line="245"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increased from the comparable period in the prior year as we initiated incremental actions to align our operations with current market demand. For information regarding employee termination, asset impairment and other charges, see Part I, Item 1, Note 14, </w:t>
      </w:r>
      <w:r>
        <w:rPr>
          <w:rFonts w:ascii="Times New Roman" w:cs="Times New Roman" w:eastAsia="Times New Roman" w:hAnsi="Times New Roman"/>
          <w:sz w:val="18"/>
          <w:szCs w:val="18"/>
          <w:i w:val="1"/>
          <w:iCs w:val="1"/>
          <w:color w:val="auto"/>
        </w:rPr>
        <w:t>Employee Termination, Asset Impairment and Other Charges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5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decrease in total interest and other expense, net for the three months ended October 2, 2020 primarily reflects lower interest expense resulting from the pay-down of principal on our debt and lower index rates.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3"/>
        </w:trPr>
        <w:tc>
          <w:tcPr>
            <w:tcW w:w="8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423"/>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480" w:type="dxa"/>
            <w:vAlign w:val="bottom"/>
          </w:tcPr>
          <w:p>
            <w:pPr>
              <w:spacing w:after="0"/>
              <w:rPr>
                <w:sz w:val="11"/>
                <w:szCs w:val="11"/>
                <w:color w:val="auto"/>
              </w:rPr>
            </w:pPr>
          </w:p>
        </w:tc>
        <w:tc>
          <w:tcPr>
            <w:tcW w:w="1120" w:type="dxa"/>
            <w:vAlign w:val="bottom"/>
          </w:tcPr>
          <w:p>
            <w:pPr>
              <w:jc w:val="right"/>
              <w:ind w:right="363"/>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8"/>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left="763"/>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120" w:type="dxa"/>
            <w:vAlign w:val="bottom"/>
          </w:tcPr>
          <w:p>
            <w:pPr>
              <w:spacing w:after="0"/>
              <w:rPr>
                <w:sz w:val="18"/>
                <w:szCs w:val="18"/>
                <w:color w:val="auto"/>
              </w:rPr>
            </w:pPr>
          </w:p>
        </w:tc>
      </w:tr>
      <w:tr>
        <w:trPr>
          <w:trHeight w:val="21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57</w:t>
            </w:r>
          </w:p>
        </w:tc>
        <w:tc>
          <w:tcPr>
            <w:tcW w:w="480" w:type="dxa"/>
            <w:vAlign w:val="bottom"/>
          </w:tcPr>
          <w:p>
            <w:pPr>
              <w:spacing w:after="0"/>
              <w:rPr>
                <w:sz w:val="18"/>
                <w:szCs w:val="18"/>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33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months ended October 2, 2020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2030. In addition, the effective tax rate for the three months ended October 2, 2020 includes the discrete effects of net tax deficiencies from shortfalls of $11 million related to the vesting of stock-based awards and additional tax expense of $10 million from the re-measurement of purchase accounting deferred tax liabilities due to restructuring activities. The discrete items have no impact on the amount of income taxes paid by us.</w:t>
      </w:r>
    </w:p>
    <w:p>
      <w:pPr>
        <w:spacing w:after="0" w:line="21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primary driver of the difference between the effective tax rate for the three months ended October 4, 2019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203" w:lineRule="exact"/>
        <w:rPr>
          <w:sz w:val="20"/>
          <w:szCs w:val="20"/>
          <w:color w:val="auto"/>
        </w:rPr>
      </w:pPr>
    </w:p>
    <w:p>
      <w:pPr>
        <w:ind w:right="980" w:firstLine="324"/>
        <w:spacing w:after="0" w:line="282"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87" w:lineRule="exact"/>
        <w:rPr>
          <w:sz w:val="20"/>
          <w:szCs w:val="20"/>
          <w:color w:val="auto"/>
        </w:rPr>
      </w:pPr>
    </w:p>
    <w:p>
      <w:pPr>
        <w:ind w:right="5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(benefit),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33"/>
        </w:trPr>
        <w:tc>
          <w:tcPr>
            <w:tcW w:w="826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4,</w:t>
            </w:r>
          </w:p>
        </w:tc>
        <w:tc>
          <w:tcPr>
            <w:tcW w:w="380" w:type="dxa"/>
            <w:vAlign w:val="bottom"/>
          </w:tcPr>
          <w:p>
            <w:pPr>
              <w:spacing w:after="0"/>
              <w:rPr>
                <w:sz w:val="11"/>
                <w:szCs w:val="11"/>
                <w:color w:val="auto"/>
              </w:rPr>
            </w:pPr>
          </w:p>
        </w:tc>
      </w:tr>
      <w:tr>
        <w:trPr>
          <w:trHeight w:val="189"/>
        </w:trPr>
        <w:tc>
          <w:tcPr>
            <w:tcW w:w="8260" w:type="dxa"/>
            <w:vAlign w:val="bottom"/>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3"/>
          </w:tcPr>
          <w:p>
            <w:pPr>
              <w:jc w:val="right"/>
              <w:ind w:right="6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5"/>
                <w:szCs w:val="15"/>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9"/>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Investing activities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 activities</w:t>
            </w: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(253)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(492)</w:t>
            </w:r>
          </w:p>
        </w:tc>
      </w:tr>
      <w:tr>
        <w:trPr>
          <w:trHeight w:val="216"/>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(207)</w:t>
            </w:r>
          </w:p>
        </w:tc>
      </w:tr>
      <w:tr>
        <w:trPr>
          <w:trHeight w:val="20"/>
        </w:trPr>
        <w:tc>
          <w:tcPr>
            <w:tcW w:w="8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July 3, 2020.</w:t>
      </w:r>
    </w:p>
    <w:p>
      <w:pPr>
        <w:spacing w:after="0" w:line="20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During fiscal 2021, we expect expenditures for property, plant and equipment for our company plus our portion of the capital expenditures by our Flash Ventures joint venture with Kioxia for its operations to aggregate approximately $3.1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$1.3 billion during fiscal 2021. The total expected cash to be used could vary depending on the timing and completion of various capital projects and the availability, timing and terms of related financing</w:t>
      </w:r>
      <w:r>
        <w:rPr>
          <w:rFonts w:ascii="Times New Roman" w:cs="Times New Roman" w:eastAsia="Times New Roman" w:hAnsi="Times New Roman"/>
          <w:sz w:val="18"/>
          <w:szCs w:val="18"/>
          <w:color w:val="7030A0"/>
        </w:rPr>
        <w:t>.</w:t>
      </w:r>
    </w:p>
    <w:p>
      <w:pPr>
        <w:spacing w:after="0" w:line="21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fiscal 2019, we determined that it was our intention to repatriate all of our foreign undistributed earnings as a result of the 2017 Act, except a portion of our foreign undistributed earnings, which could result in additional federal taxes based on interpretive guidance issued by the IRS. After consideration of this interpretative guidance affecting the taxation of a certain portion of our foreign undistributed earnings, we determined that we do not intend to repatriate this portion of our foreign undistributed earnings and did not establish an accrual for this liability.</w:t>
      </w:r>
    </w:p>
    <w:p>
      <w:pPr>
        <w:spacing w:after="0" w:line="20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total of $1.97 billion and $2.60 billion of our Cash and cash equivalents was held outside of the U.S. as of October 2, 2020 and October 4, 2019, respectively. As a result of the change in our permanent reinvestment assertion, there are no material tax consequences that were not previously accrued for on the repatriation of this cash.</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$43 million for the three months ended October 2, 2020, as compared to $82 million of net cash used for changes in operating assets and liabilities for the three months ended October 4, 2019.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60" w:type="dxa"/>
            <w:vAlign w:val="bottom"/>
          </w:tcPr>
          <w:p>
            <w:pPr>
              <w:spacing w:after="0"/>
              <w:rPr>
                <w:sz w:val="12"/>
                <w:szCs w:val="12"/>
                <w:color w:val="auto"/>
              </w:rPr>
            </w:pPr>
          </w:p>
        </w:tc>
        <w:tc>
          <w:tcPr>
            <w:tcW w:w="1080" w:type="dxa"/>
            <w:vAlign w:val="bottom"/>
            <w:tcBorders>
              <w:top w:val="single" w:sz="8" w:color="auto"/>
            </w:tcBorders>
          </w:tcPr>
          <w:p>
            <w:pPr>
              <w:ind w:left="400"/>
              <w:spacing w:after="0" w:line="139"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222"/>
              <w:spacing w:after="0" w:line="139" w:lineRule="exact"/>
              <w:rPr>
                <w:sz w:val="20"/>
                <w:szCs w:val="20"/>
                <w:color w:val="auto"/>
              </w:rPr>
            </w:pPr>
            <w:r>
              <w:rPr>
                <w:rFonts w:ascii="Times New Roman" w:cs="Times New Roman" w:eastAsia="Times New Roman" w:hAnsi="Times New Roman"/>
                <w:sz w:val="14"/>
                <w:szCs w:val="14"/>
                <w:b w:val="1"/>
                <w:bCs w:val="1"/>
                <w:color w:val="auto"/>
              </w:rPr>
              <w:t>October 4,</w:t>
            </w:r>
          </w:p>
        </w:tc>
      </w:tr>
      <w:tr>
        <w:trPr>
          <w:trHeight w:val="189"/>
        </w:trPr>
        <w:tc>
          <w:tcPr>
            <w:tcW w:w="9340" w:type="dxa"/>
            <w:vAlign w:val="bottom"/>
            <w:gridSpan w:val="2"/>
          </w:tcPr>
          <w:p>
            <w:pPr>
              <w:ind w:left="88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2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i w:val="1"/>
                <w:iCs w:val="1"/>
                <w:color w:val="auto"/>
              </w:rPr>
              <w:t>(in days)</w:t>
            </w:r>
          </w:p>
        </w:tc>
        <w:tc>
          <w:tcPr>
            <w:tcW w:w="1140" w:type="dxa"/>
            <w:vAlign w:val="bottom"/>
            <w:tcBorders>
              <w:top w:val="single" w:sz="8" w:color="auto"/>
            </w:tcBorders>
          </w:tcPr>
          <w:p>
            <w:pPr>
              <w:spacing w:after="0"/>
              <w:rPr>
                <w:sz w:val="15"/>
                <w:szCs w:val="15"/>
                <w:color w:val="auto"/>
              </w:rPr>
            </w:pPr>
          </w:p>
        </w:tc>
      </w:tr>
      <w:tr>
        <w:trPr>
          <w:trHeight w:val="216"/>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782"/>
              <w:spacing w:after="0"/>
              <w:rPr>
                <w:sz w:val="20"/>
                <w:szCs w:val="20"/>
                <w:color w:val="auto"/>
              </w:rPr>
            </w:pPr>
            <w:r>
              <w:rPr>
                <w:rFonts w:ascii="Times New Roman" w:cs="Times New Roman" w:eastAsia="Times New Roman" w:hAnsi="Times New Roman"/>
                <w:sz w:val="16"/>
                <w:szCs w:val="16"/>
                <w:color w:val="auto"/>
                <w:w w:val="99"/>
              </w:rPr>
              <w:t>35</w:t>
            </w:r>
          </w:p>
        </w:tc>
      </w:tr>
      <w:tr>
        <w:trPr>
          <w:trHeight w:val="213"/>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98</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66</w:t>
            </w:r>
          </w:p>
        </w:tc>
      </w:tr>
      <w:tr>
        <w:trPr>
          <w:trHeight w:val="20"/>
        </w:trPr>
        <w:tc>
          <w:tcPr>
            <w:tcW w:w="8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linearity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2, 2020, DSO increased by 14 days over the prior year, primarily reflecting the timing of shipments and customer collections. We have seen no significant deterioration in our receivables as a result of COVID-19. DIO increased by 3 days over the prior year, primarily reflecting higher stocking levels of HDD inventory. With supply chains experiencing disruptions as a result of COVID-19, we are taking actions to ensure that we have the components we need to build products and are stocking higher levels of inventory so that we can ship by ocean and reduce higher cost air freight. DPO increased by 4 days over the prior year, primarily reflecting resumptions of flash production volumes as well as routine variations in the timing of purchases and payments during the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October 2, 2020 primarily consisted of a $163 million net decrease in notes receivable issuances to Flash Ventures, partially offset by $337 million of capital expenditures. Net cash used in investing activities for the three months ended October 4, 2019 primarily consisted of $277 million of capital expenditures and a net $186 million decrease in notes receivable issuances to Flash Ventures to fund its capital expansion.</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2, 2020, net cash used in financing activities primarily consisted of $213 million for repayment of debt, which included a $150 million voluntary prepayment on our Term Loan B-4, and $41 million for taxes paid on vested stock awards under employee stock plans. Net cash used in financing activities for the three months ended October 4, 2019 primarily consisted of $319 million for the repayment of our debt, $147 million to pay dividends on our common stock and $52 million for taxes paid on vested stock awards under employee stock plans.</w:t>
      </w:r>
    </w:p>
    <w:p>
      <w:pPr>
        <w:spacing w:after="0" w:line="20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April 2020, we suspended our dividend to reinvest in the business and to support our ongoing deleveraging efforts. We will reevaluate our dividend policy as our leverage ratio improves.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known contractual cash obligations and commercial commitments as of October 2,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nine</w:t>
            </w:r>
          </w:p>
        </w:tc>
        <w:tc>
          <w:tcPr>
            <w:tcW w:w="16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Beyond 2025</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months of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34"/>
        </w:trPr>
        <w:tc>
          <w:tcPr>
            <w:tcW w:w="4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discounts and issuance costs.</w:t>
      </w:r>
    </w:p>
    <w:p>
      <w:pPr>
        <w:spacing w:after="0" w:line="1" w:lineRule="exact"/>
        <w:rPr>
          <w:rFonts w:ascii="Times New Roman" w:cs="Times New Roman" w:eastAsia="Times New Roman" w:hAnsi="Times New Roman"/>
          <w:sz w:val="23"/>
          <w:szCs w:val="23"/>
          <w:color w:val="auto"/>
          <w:vertAlign w:val="superscript"/>
        </w:rPr>
      </w:pPr>
    </w:p>
    <w:p>
      <w:pPr>
        <w:ind w:left="340" w:right="440" w:hanging="332"/>
        <w:spacing w:after="0" w:line="228"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existing debt, we have $2.25 billion available for borrowing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 this Quarterly Report on Form 10-Q and in Part II, Item 8,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Annual Report on Form 10-K for the fiscal year ended July 3, 2020. The credit agreement governing our revolving credit facility and Term Loan A-1 requires us to comply with certain financial covenants, consisting of a leverage ratio and an interest coverage ratio. As of October 2, 2020, we were in compliance with these financial covenants.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October 2, 2020,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fiscal years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October 2,</w:t>
            </w:r>
          </w:p>
        </w:tc>
      </w:tr>
      <w:tr>
        <w:trPr>
          <w:trHeight w:val="189"/>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fiscal 2021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37"/>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estimate of the total tax liability for the mandatory deemed repatriation tax, see Part II, Item 8,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Consolidated Financial Statements included in our Annual Report on Form 10-K for the fiscal year ended June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October 2, 2020, the liability for unrecognized tax benefits (excluding accrued interest and penalties) was approximately $711 million. Accrued interest and penalties related to unrecognized tax benefits as of October 2, 2020 was approximately $141 million. Of these amounts, approximately $715 million could result in potential cash payments. We are not able to provide a reasonable estimate of the timing of future tax payments related to these obligations.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generally held a balance of fixed and variable rate debt. At October 2, 2020, we had $6.06 billion of variable rate debt, comprising 64%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$4.06 billion of Long-term debt subject to variations in interest rates and a one percent increase in the variable rate of interest would increase annual interest expense by $41 million.</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for the repurchase of up to $5.0 billion of our common stock, which authorization is effective through July 25, 2023. We did not make any stock repurchases during the three months ended October 2, 2020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October 2, 2020 was $4.5 billion. Repurchases under the stock repurchase program may be made in the open market or in privately negotiated transactions and may be made under a Rule 10b5-1 plan.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54"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issued a quarterly cash dividend from the first quarter of fiscal 2013 through the third quarter of fiscal 2020. In April 2020, we suspended our dividend to reinvest in the business and to support our ongoing deleveraging efforts. We will reevaluate our dividend policy as our leverage ratio improves.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2" w:lineRule="exact"/>
        <w:rPr>
          <w:sz w:val="20"/>
          <w:szCs w:val="20"/>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3, 2020 for a discussion of our critical accounting policies and estimates.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00" w:lineRule="exact"/>
        <w:rPr>
          <w:sz w:val="20"/>
          <w:szCs w:val="20"/>
          <w:color w:val="auto"/>
        </w:rPr>
      </w:pPr>
    </w:p>
    <w:p>
      <w:pPr>
        <w:spacing w:after="0" w:line="29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w:t>
      </w:r>
      <w:r>
        <w:rPr>
          <w:rFonts w:ascii="Times New Roman" w:cs="Times New Roman" w:eastAsia="Times New Roman" w:hAnsi="Times New Roman"/>
          <w:sz w:val="18"/>
          <w:szCs w:val="18"/>
          <w:color w:val="212529"/>
        </w:rPr>
        <w:t>o our market risk during the three months ended</w:t>
      </w:r>
      <w:r>
        <w:rPr>
          <w:rFonts w:ascii="Times New Roman" w:cs="Times New Roman" w:eastAsia="Times New Roman" w:hAnsi="Times New Roman"/>
          <w:sz w:val="18"/>
          <w:szCs w:val="18"/>
          <w:color w:val="auto"/>
        </w:rPr>
        <w:t xml:space="preserve"> October 2, 2020</w:t>
      </w:r>
      <w:r>
        <w:rPr>
          <w:rFonts w:ascii="Times New Roman" w:cs="Times New Roman" w:eastAsia="Times New Roman" w:hAnsi="Times New Roman"/>
          <w:sz w:val="18"/>
          <w:szCs w:val="18"/>
          <w:color w:val="212529"/>
        </w:rPr>
        <w:t>. For a discussion of our exposure to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risk, see Part II, Item 7A, “Quantitative and Qualitative Disclosures About Market Risk” in our Annual Report on Form 10-K for the fiscal year ended July 3, 2020.</w:t>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4"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fiscal year ended July 3, 2020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3, 2020.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60" w:firstLine="8"/>
        <w:spacing w:after="0" w:line="25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firstLine="8"/>
        <w:spacing w:after="0" w:line="260"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60" w:type="dxa"/>
            <w:vAlign w:val="bottom"/>
          </w:tcPr>
          <w:p>
            <w:pPr>
              <w:ind w:left="360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Exhibit</w:t>
            </w:r>
          </w:p>
        </w:tc>
        <w:tc>
          <w:tcPr>
            <w:tcW w:w="9960" w:type="dxa"/>
            <w:vAlign w:val="bottom"/>
            <w:vMerge w:val="restart"/>
          </w:tcPr>
          <w:p>
            <w:pPr>
              <w:ind w:left="456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Number</w:t>
            </w:r>
          </w:p>
        </w:tc>
        <w:tc>
          <w:tcPr>
            <w:tcW w:w="9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shd w:val="clear" w:color="auto" w:fill="CCEEFF"/>
          </w:tcPr>
          <w:p>
            <w:pPr>
              <w:jc w:val="center"/>
              <w:spacing w:after="0" w:line="169" w:lineRule="exact"/>
              <w:rPr>
                <w:rFonts w:ascii="Times New Roman" w:cs="Times New Roman" w:eastAsia="Times New Roman" w:hAnsi="Times New Roman"/>
                <w:sz w:val="18"/>
                <w:szCs w:val="18"/>
                <w:u w:val="single" w:color="auto"/>
                <w:color w:val="0000FF"/>
                <w:w w:val="97"/>
              </w:rPr>
            </w:pPr>
            <w:hyperlink r:id="rId69">
              <w:r>
                <w:rPr>
                  <w:rFonts w:ascii="Times New Roman" w:cs="Times New Roman" w:eastAsia="Times New Roman" w:hAnsi="Times New Roman"/>
                  <w:sz w:val="18"/>
                  <w:szCs w:val="18"/>
                  <w:u w:val="single" w:color="auto"/>
                  <w:color w:val="0000FF"/>
                  <w:w w:val="97"/>
                </w:rPr>
                <w:t>3.1</w:t>
              </w:r>
            </w:hyperlink>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176"/>
        </w:trPr>
        <w:tc>
          <w:tcPr>
            <w:tcW w:w="1120" w:type="dxa"/>
            <w:vAlign w:val="bottom"/>
          </w:tcPr>
          <w:p>
            <w:pPr>
              <w:jc w:val="center"/>
              <w:spacing w:after="0" w:line="176" w:lineRule="exact"/>
              <w:rPr>
                <w:rFonts w:ascii="Times New Roman" w:cs="Times New Roman" w:eastAsia="Times New Roman" w:hAnsi="Times New Roman"/>
                <w:sz w:val="18"/>
                <w:szCs w:val="18"/>
                <w:u w:val="single" w:color="auto"/>
                <w:color w:val="0000FF"/>
                <w:w w:val="97"/>
              </w:rPr>
            </w:pPr>
            <w:hyperlink r:id="rId70">
              <w:r>
                <w:rPr>
                  <w:rFonts w:ascii="Times New Roman" w:cs="Times New Roman" w:eastAsia="Times New Roman" w:hAnsi="Times New Roman"/>
                  <w:sz w:val="18"/>
                  <w:szCs w:val="18"/>
                  <w:u w:val="single" w:color="auto"/>
                  <w:color w:val="0000FF"/>
                  <w:w w:val="97"/>
                </w:rPr>
                <w:t>3.2</w:t>
              </w:r>
            </w:hyperlink>
          </w:p>
        </w:tc>
        <w:tc>
          <w:tcPr>
            <w:tcW w:w="100" w:type="dxa"/>
            <w:vAlign w:val="bottom"/>
          </w:tcPr>
          <w:p>
            <w:pPr>
              <w:spacing w:after="0"/>
              <w:rPr>
                <w:sz w:val="15"/>
                <w:szCs w:val="15"/>
                <w:color w:val="auto"/>
              </w:rPr>
            </w:pPr>
          </w:p>
        </w:tc>
        <w:tc>
          <w:tcPr>
            <w:tcW w:w="9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May 2, 2018 (Filed as Exhibit 3.1 to the</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 No. 1-08703) with the Securities and Exchange Commission on May 7, 2018)</w:t>
            </w:r>
          </w:p>
        </w:tc>
        <w:tc>
          <w:tcPr>
            <w:tcW w:w="0" w:type="dxa"/>
            <w:vAlign w:val="bottom"/>
          </w:tcPr>
          <w:p>
            <w:pPr>
              <w:spacing w:after="0"/>
              <w:rPr>
                <w:sz w:val="1"/>
                <w:szCs w:val="1"/>
                <w:color w:val="auto"/>
              </w:rPr>
            </w:pPr>
          </w:p>
        </w:tc>
      </w:tr>
      <w:tr>
        <w:trPr>
          <w:trHeight w:val="257"/>
        </w:trPr>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5"/>
              </w:rPr>
            </w:pPr>
            <w:hyperlink w:anchor="page52">
              <w:r>
                <w:rPr>
                  <w:rFonts w:ascii="Times New Roman" w:cs="Times New Roman" w:eastAsia="Times New Roman" w:hAnsi="Times New Roman"/>
                  <w:sz w:val="18"/>
                  <w:szCs w:val="18"/>
                  <w:u w:val="single" w:color="auto"/>
                  <w:color w:val="0000FF"/>
                  <w:w w:val="95"/>
                </w:rPr>
                <w:t>10.1</w:t>
              </w:r>
            </w:hyperlink>
          </w:p>
        </w:tc>
        <w:tc>
          <w:tcPr>
            <w:tcW w:w="100" w:type="dxa"/>
            <w:vAlign w:val="bottom"/>
            <w:shd w:val="clear" w:color="auto" w:fill="CCEEFF"/>
          </w:tcPr>
          <w:p>
            <w:pPr>
              <w:spacing w:after="0"/>
              <w:rPr>
                <w:sz w:val="22"/>
                <w:szCs w:val="22"/>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Retention Agreement, dated as of August 26, 2019, with Michael C. Ray†*</w:t>
            </w:r>
          </w:p>
        </w:tc>
        <w:tc>
          <w:tcPr>
            <w:tcW w:w="0" w:type="dxa"/>
            <w:vAlign w:val="bottom"/>
          </w:tcPr>
          <w:p>
            <w:pPr>
              <w:spacing w:after="0"/>
              <w:rPr>
                <w:sz w:val="1"/>
                <w:szCs w:val="1"/>
                <w:color w:val="auto"/>
              </w:rPr>
            </w:pPr>
          </w:p>
        </w:tc>
      </w:tr>
      <w:tr>
        <w:trPr>
          <w:trHeight w:val="229"/>
        </w:trPr>
        <w:tc>
          <w:tcPr>
            <w:tcW w:w="112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54">
              <w:r>
                <w:rPr>
                  <w:rFonts w:ascii="Times New Roman" w:cs="Times New Roman" w:eastAsia="Times New Roman" w:hAnsi="Times New Roman"/>
                  <w:sz w:val="18"/>
                  <w:szCs w:val="18"/>
                  <w:u w:val="single" w:color="auto"/>
                  <w:color w:val="0000FF"/>
                  <w:w w:val="95"/>
                </w:rPr>
                <w:t>10.2</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Separation and General Release Agreement, dated as of August 14, 2020, with Michael D. Cordano†*</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w w:val="95"/>
              </w:rPr>
            </w:pPr>
            <w:hyperlink w:anchor="page65">
              <w:r>
                <w:rPr>
                  <w:rFonts w:ascii="Times New Roman" w:cs="Times New Roman" w:eastAsia="Times New Roman" w:hAnsi="Times New Roman"/>
                  <w:sz w:val="18"/>
                  <w:szCs w:val="18"/>
                  <w:u w:val="single" w:color="auto"/>
                  <w:color w:val="0000FF"/>
                  <w:w w:val="95"/>
                </w:rPr>
                <w:t>31.1</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29"/>
        </w:trPr>
        <w:tc>
          <w:tcPr>
            <w:tcW w:w="112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66">
              <w:r>
                <w:rPr>
                  <w:rFonts w:ascii="Times New Roman" w:cs="Times New Roman" w:eastAsia="Times New Roman" w:hAnsi="Times New Roman"/>
                  <w:sz w:val="18"/>
                  <w:szCs w:val="18"/>
                  <w:u w:val="single" w:color="auto"/>
                  <w:color w:val="0000FF"/>
                  <w:w w:val="95"/>
                </w:rPr>
                <w:t>31.2</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jc w:val="center"/>
              <w:spacing w:after="0" w:line="176" w:lineRule="exact"/>
              <w:rPr>
                <w:rFonts w:ascii="Times New Roman" w:cs="Times New Roman" w:eastAsia="Times New Roman" w:hAnsi="Times New Roman"/>
                <w:sz w:val="18"/>
                <w:szCs w:val="18"/>
                <w:u w:val="single" w:color="auto"/>
                <w:color w:val="0000FF"/>
                <w:w w:val="95"/>
              </w:rPr>
            </w:pPr>
            <w:hyperlink w:anchor="page67">
              <w:r>
                <w:rPr>
                  <w:rFonts w:ascii="Times New Roman" w:cs="Times New Roman" w:eastAsia="Times New Roman" w:hAnsi="Times New Roman"/>
                  <w:sz w:val="18"/>
                  <w:szCs w:val="18"/>
                  <w:u w:val="single" w:color="auto"/>
                  <w:color w:val="0000FF"/>
                  <w:w w:val="95"/>
                </w:rPr>
                <w:t>32.1</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76"/>
        </w:trPr>
        <w:tc>
          <w:tcPr>
            <w:tcW w:w="1120" w:type="dxa"/>
            <w:vAlign w:val="bottom"/>
          </w:tcPr>
          <w:p>
            <w:pPr>
              <w:jc w:val="center"/>
              <w:spacing w:after="0" w:line="176" w:lineRule="exact"/>
              <w:rPr>
                <w:rFonts w:ascii="Times New Roman" w:cs="Times New Roman" w:eastAsia="Times New Roman" w:hAnsi="Times New Roman"/>
                <w:sz w:val="18"/>
                <w:szCs w:val="18"/>
                <w:u w:val="single" w:color="auto"/>
                <w:color w:val="0000FF"/>
                <w:w w:val="95"/>
              </w:rPr>
            </w:pPr>
            <w:hyperlink w:anchor="page68">
              <w:r>
                <w:rPr>
                  <w:rFonts w:ascii="Times New Roman" w:cs="Times New Roman" w:eastAsia="Times New Roman" w:hAnsi="Times New Roman"/>
                  <w:sz w:val="18"/>
                  <w:szCs w:val="18"/>
                  <w:u w:val="single" w:color="auto"/>
                  <w:color w:val="0000FF"/>
                  <w:w w:val="95"/>
                </w:rPr>
                <w:t>32.2</w:t>
              </w:r>
            </w:hyperlink>
          </w:p>
        </w:tc>
        <w:tc>
          <w:tcPr>
            <w:tcW w:w="100" w:type="dxa"/>
            <w:vAlign w:val="bottom"/>
          </w:tcPr>
          <w:p>
            <w:pPr>
              <w:spacing w:after="0"/>
              <w:rPr>
                <w:sz w:val="15"/>
                <w:szCs w:val="15"/>
                <w:color w:val="auto"/>
              </w:rPr>
            </w:pPr>
          </w:p>
        </w:tc>
        <w:tc>
          <w:tcPr>
            <w:tcW w:w="9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101.CAL</w:t>
            </w: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101.LAB</w:t>
            </w: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280" w:hanging="827"/>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968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340" w:right="720" w:hanging="332"/>
        <w:spacing w:after="0" w:line="250" w:lineRule="auto"/>
        <w:tabs>
          <w:tab w:leader="none" w:pos="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185" w:lineRule="exact"/>
        <w:rPr>
          <w:sz w:val="20"/>
          <w:szCs w:val="20"/>
          <w:color w:val="auto"/>
        </w:rPr>
      </w:pPr>
    </w:p>
    <w:p>
      <w:pPr>
        <w:ind w:left="598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 Zamiska</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i w:val="1"/>
          <w:iCs w:val="1"/>
          <w:color w:val="auto"/>
        </w:rPr>
        <w:t>Vice President, Global Accounting and Chief Accounting Officer</w:t>
      </w:r>
    </w:p>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121" w:right="4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843405" cy="316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843405" cy="31686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Western Digital Corporation</w:t>
      </w:r>
    </w:p>
    <w:p>
      <w:pPr>
        <w:spacing w:after="0" w:line="5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color w:val="auto"/>
        </w:rPr>
        <w:t>5601 Great Oaks Parkway</w:t>
      </w:r>
    </w:p>
    <w:p>
      <w:pPr>
        <w:spacing w:after="0" w:line="5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color w:val="auto"/>
        </w:rPr>
        <w:t>San Jose, California 95119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Personal &amp; Confidential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C. 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redacted]</w:t>
      </w:r>
    </w:p>
    <w:p>
      <w:pPr>
        <w:spacing w:after="0" w:line="234"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Re:</w:t>
        <w:tab/>
        <w:t>Special Retention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2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Western Digital Corporation (the “Company”) values the critical nature of the work you perform as Executive Vice President, Chief Legal Officer and Secretary, and your contributions and leadership are important to the Company’s success. To encourage you to continue to devote your full attention and dedication to the success of the Company, we are pleased to offer you the following compensation adjustments and certain other compensation-related actions for the purpose of your retention with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Base Salary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annual base salary will increase to US$625,000, effective on August 12, 2019 (hereinafter, the “Effective Date”).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 Annual LTI Award Commitment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Contingent upon approval by the Compensation Committee of the Board of Directors (the “Committee”) and your continued employment through the Grant Date, we will recommend a fiscal year 2020 (FY20) LTI Award for you with a grant date value of US$3,125,000. The LTI Award grant date value will be converted to a number of stock units (rounded down to the nearest whole number) based on the closing price of a share of the Company’s common stock as of the Grant Date (or the last such closing price preceding the Grant Date if the Grant Date is not a trading day). Your FY20 LTI Award will be presented to the Committee for final approval of the grant terms at the Committee meeting scheduled for September 4, 2019, which is the planned Grant Date. The number of stock units covered by your FY20 LTI Award will be split between 50% restricted stock units (“RSUs”) and 50% performance stock units (“PSUs”), which is also subject to approval by the Committee. The RSUs and PSUs will be subject to vesting requirements and other terms and conditions as approved by the Committee.</w:t>
      </w: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Your Annual LTI Awards in future years, including the award values, form of award (mix of RSUs, PSUs or such other equity awards types), and other award terms are subject to change and will be determined at the discretion of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Retention Bonus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You will receive a Cash Retention Bonus opportunity in the aggregate amount of US$2,000,000 (“Retention Bonus”), of which US$500,000 (“Initial Retention Bonus”) will vest (except as provided in the last sentence of this paragraph) on the Effective Date and US$500,000 (“Annual Retention Bonus”) will vest on each of the next three anniversaries of the Effective Date. Each installment of the Retention Bonus that vests will be paid within 30 days following the corresponding vesting date and will be subject to deductions for applicable taxes and certain other payroll deductions. Except as provided herein, payment of the Initial Retention Bonus or any Annual Retention Bonus amounts are subject to your continued employment with the Company through the applicable vesting date. If you voluntarily terminate your employment with the Company for any reason prior to August 12, 2020, you will promptly repay the Initial Bonus to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Western Digital Severance Plans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Notwithstanding anything to contrary herein, if you become eligible to receive any severance benefits under the Western Digital Corporation Executive Severance Plan or the Western Digital Corporation Amended and Restated</w:t>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B6B6B6"/>
        </w:rPr>
        <w:t>Mr. Michael C. 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6B6B6"/>
        </w:rPr>
        <w:t>August 26,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6B6B6"/>
        </w:rPr>
        <w:t>Page 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Change of Control Severance Plan (collectively, “Severance Plans”), you will also become eligible (subject to the release requirement noted below) to receive any previously unvested portion of the Cash Retention Bonus (representing the “Accelerated Bonus Payment”) in addition to any compensation or benefits you would otherwise receive under the applicable Severance Plans. The Accelerated Bonus Payment shall be paid to you in a lump-sum payment, subject to deductions for applicable taxes and certain other payroll deductions, within sixty calendar days following the date your employment terminates, provided that you satisfy any applicable release requirement to receive severance benefits under the applicable Severance Plan. For the avoidance of doubt, if the provisions in this paragraph apply prior to the first anniversary of the Effective Date, you will vest in and have no obligation to repay the Initial Retention Bonus.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IRS Section 409A</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agreement shall be construed and interpreted to satisfy, and avoid any tax, penalty or interest under, Section 409A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60" w:val="left"/>
          <w:tab w:leader="none" w:pos="520" w:val="left"/>
          <w:tab w:leader="none" w:pos="800" w:val="left"/>
          <w:tab w:leader="none" w:pos="1060" w:val="left"/>
          <w:tab w:leader="none" w:pos="1340" w:val="left"/>
          <w:tab w:leader="none" w:pos="1600" w:val="left"/>
          <w:tab w:leader="none" w:pos="1880" w:val="left"/>
          <w:tab w:leader="none" w:pos="2140" w:val="left"/>
          <w:tab w:leader="none" w:pos="2420" w:val="left"/>
          <w:tab w:leader="none" w:pos="2680" w:val="left"/>
        </w:tabs>
        <w:rPr>
          <w:sz w:val="20"/>
          <w:szCs w:val="20"/>
          <w:color w:val="auto"/>
        </w:rPr>
      </w:pPr>
      <w:r>
        <w:rPr>
          <w:rFonts w:ascii="Times New Roman" w:cs="Times New Roman" w:eastAsia="Times New Roman" w:hAnsi="Times New Roman"/>
          <w:sz w:val="18"/>
          <w:szCs w:val="18"/>
          <w:color w:val="auto"/>
        </w:rPr>
        <w:t>*</w:t>
        <w:tab/>
        <w:t>*</w:t>
        <w:tab/>
        <w:t>*</w:t>
        <w:tab/>
        <w:t>*</w:t>
        <w:tab/>
        <w:t>*</w:t>
        <w:tab/>
        <w:t>*</w:t>
        <w:tab/>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Please let me know if you have any questions about this Special Retention Agreement. Otherwise, please sign below to acknowledge that you have read, understand and agree to the terms set forth herein. This agreement shall be effective on the date indicated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/s/Lori Sundberg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Lori S. Sundberg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&amp; Chief Human Resources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Copy to:</w:t>
      </w:r>
      <w:r>
        <w:rPr>
          <w:sz w:val="20"/>
          <w:szCs w:val="20"/>
          <w:color w:val="auto"/>
        </w:rPr>
        <w:tab/>
      </w:r>
      <w:r>
        <w:rPr>
          <w:rFonts w:ascii="Times New Roman" w:cs="Times New Roman" w:eastAsia="Times New Roman" w:hAnsi="Times New Roman"/>
          <w:sz w:val="17"/>
          <w:szCs w:val="17"/>
          <w:color w:val="auto"/>
        </w:rPr>
        <w:t>Stephen D. Milligan, Chief Executive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Ray</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8-26-19</w:t>
            </w:r>
          </w:p>
        </w:tc>
      </w:tr>
      <w:tr>
        <w:trPr>
          <w:trHeight w:val="27"/>
        </w:trPr>
        <w:tc>
          <w:tcPr>
            <w:tcW w:w="7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 C. Ray</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bl>
    <w:p>
      <w:pPr>
        <w:sectPr>
          <w:pgSz w:w="11900" w:h="16838" w:orient="portrait"/>
          <w:cols w:equalWidth="0" w:num="1">
            <w:col w:w="11180"/>
          </w:cols>
          <w:pgMar w:left="320" w:top="121" w:right="3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CONFIDENTIAL SEPARATION AND GENERAL RELEASE AGREEMENT</w:t>
      </w:r>
    </w:p>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the covenants undertaken and releases contained in this Confidential Separation and General Release Agreement (this “Agreement”), Mike Cordano (“Executive”) and Western Digital Technologies, Inc., a Delaware corporation, including its parent company and any related entities and subsidiaries (collectively referred to as “Western Digital”), agree as follows:</w:t>
      </w:r>
    </w:p>
    <w:p>
      <w:pPr>
        <w:spacing w:after="0" w:line="176" w:lineRule="exact"/>
        <w:rPr>
          <w:sz w:val="20"/>
          <w:szCs w:val="20"/>
          <w:color w:val="auto"/>
        </w:rPr>
      </w:pPr>
    </w:p>
    <w:p>
      <w:pPr>
        <w:ind w:firstLine="656"/>
        <w:spacing w:after="0" w:line="269" w:lineRule="auto"/>
        <w:tabs>
          <w:tab w:leader="none" w:pos="129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and Termination of Employment</w:t>
      </w:r>
      <w:r>
        <w:rPr>
          <w:rFonts w:ascii="Times New Roman" w:cs="Times New Roman" w:eastAsia="Times New Roman" w:hAnsi="Times New Roman"/>
          <w:sz w:val="17"/>
          <w:szCs w:val="17"/>
          <w:color w:val="auto"/>
        </w:rPr>
        <w:t>. Executive’s employment with Western Digital and its affiliated and subsidiary businesses is terminated for all purposes effective August 14, 2020 (“Separation Date”). All salary, compensation, benefits and perquisites of employment ceased as of the Separation Date. Executive represents and agrees that he submitted his final expense report, if any, prior to the Separation Date, which Western Digital shall reimburse (to the extent not previously paid) in the ordinary course of business. Within thirty (30) days following the Separation Date, Executive shall receive payment in an amount equal to (a) all final amounts owed to Executive for Executive’s regular and usual base salary (if any), and</w:t>
      </w:r>
    </w:p>
    <w:p>
      <w:pPr>
        <w:spacing w:after="0" w:line="2" w:lineRule="exact"/>
        <w:rPr>
          <w:rFonts w:ascii="Times New Roman" w:cs="Times New Roman" w:eastAsia="Times New Roman" w:hAnsi="Times New Roman"/>
          <w:sz w:val="17"/>
          <w:szCs w:val="17"/>
          <w:color w:val="auto"/>
        </w:rPr>
      </w:pPr>
    </w:p>
    <w:p>
      <w:pPr>
        <w:ind w:right="40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final amounts owed to Executive for Executive’s earned and accrued but unpaid bonuses (if any), in accordance with the terms of the applicable bonus plan (in each case to the extent not previously paid). Executive is not required to sign this Agreement in order to receive the compensation and expense reimbursement described in this Section 1. All payments due to Executive from Western Digital after the Separation Date shall be determined under this Agreement.</w:t>
      </w:r>
    </w:p>
    <w:p>
      <w:pPr>
        <w:spacing w:after="0" w:line="188"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37"/>
        <w:spacing w:after="0" w:line="261" w:lineRule="auto"/>
        <w:tabs>
          <w:tab w:leader="none" w:pos="11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(“Separation Benefits”) provided under Section 2 of this Agreement are intended to be consistent with the Western Digital Corporation Executive Severance Plan, as such plan may be amended from time to time. Provided that Executive executes and delivers this Agreement to Western Digital and does not revoke this Agreement within the seven (7) day revocation period following the date Executive signs this Agreement, Western Digital shall pay or provide, as the case may be, the following Separation Benefits:</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8"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Executive will receive a payment of </w:t>
      </w:r>
      <w:r>
        <w:rPr>
          <w:rFonts w:ascii="Times New Roman" w:cs="Times New Roman" w:eastAsia="Times New Roman" w:hAnsi="Times New Roman"/>
          <w:sz w:val="18"/>
          <w:szCs w:val="18"/>
          <w:b w:val="1"/>
          <w:bCs w:val="1"/>
          <w:color w:val="auto"/>
        </w:rPr>
        <w:t>$1,600,000</w:t>
      </w:r>
      <w:r>
        <w:rPr>
          <w:rFonts w:ascii="Times New Roman" w:cs="Times New Roman" w:eastAsia="Times New Roman" w:hAnsi="Times New Roman"/>
          <w:sz w:val="18"/>
          <w:szCs w:val="18"/>
          <w:color w:val="auto"/>
        </w:rPr>
        <w:t>, less standard withholdings and authorized deductions, representing twenty-four (24) months of pay, which payment shall be made on or within thirty (30) days following the Separation Date (“Severance Payment”).</w:t>
      </w:r>
    </w:p>
    <w:p>
      <w:pPr>
        <w:spacing w:after="0" w:line="170" w:lineRule="exact"/>
        <w:rPr>
          <w:rFonts w:ascii="Times New Roman" w:cs="Times New Roman" w:eastAsia="Times New Roman" w:hAnsi="Times New Roman"/>
          <w:sz w:val="18"/>
          <w:szCs w:val="18"/>
          <w:color w:val="auto"/>
        </w:rPr>
      </w:pPr>
    </w:p>
    <w:p>
      <w:pPr>
        <w:ind w:left="1300" w:hanging="320"/>
        <w:spacing w:after="0" w:line="254" w:lineRule="auto"/>
        <w:tabs>
          <w:tab w:leader="none" w:pos="12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Executive shall receive a cash lump sum payment of $</w:t>
      </w:r>
      <w:r>
        <w:rPr>
          <w:rFonts w:ascii="Times New Roman" w:cs="Times New Roman" w:eastAsia="Times New Roman" w:hAnsi="Times New Roman"/>
          <w:sz w:val="18"/>
          <w:szCs w:val="18"/>
          <w:b w:val="1"/>
          <w:bCs w:val="1"/>
          <w:color w:val="auto"/>
        </w:rPr>
        <w:t>36,375</w:t>
      </w:r>
      <w:r>
        <w:rPr>
          <w:rFonts w:ascii="Times New Roman" w:cs="Times New Roman" w:eastAsia="Times New Roman" w:hAnsi="Times New Roman"/>
          <w:sz w:val="18"/>
          <w:szCs w:val="18"/>
          <w:color w:val="auto"/>
        </w:rPr>
        <w:t>, less required tax withholdings and authorized deductions, which represents a payment equal to the equivalent of eighteen (18) months’ payment for health care continuation costs under the Consolidated Omnibus Budget Reconciliation Act of 1985 (“COBRA”) (“COBRA Payment”). Such payment shall be made on or within thirty (30) days following the Separation Date. Executive understands that Executive remains responsible for working with Western Digital’s outside benefits administrator to elect COBRA benefits and must timely elect coverage in order to be eligible for COBRA benefits, should Executive elect COBRA. A COBRA election form and enrollment package will be mailed to Executive’s home address approximately two weeks after the end of the month in which Executive’s Separation Date occurs. Enrollment is not automatic. Executive understands that Executive must apply within sixty (60) days after the Separation Date or the date of Executive’s notification letter, whichever is later, or Executive will forfeit Executive’s right to COBRA coverage.</w:t>
      </w:r>
    </w:p>
    <w:p>
      <w:pPr>
        <w:spacing w:after="0" w:line="192" w:lineRule="exact"/>
        <w:rPr>
          <w:rFonts w:ascii="Times New Roman" w:cs="Times New Roman" w:eastAsia="Times New Roman" w:hAnsi="Times New Roman"/>
          <w:sz w:val="18"/>
          <w:szCs w:val="18"/>
          <w:color w:val="auto"/>
        </w:rPr>
      </w:pPr>
    </w:p>
    <w:p>
      <w:pPr>
        <w:ind w:left="1300" w:right="80" w:hanging="320"/>
        <w:spacing w:after="0" w:line="258" w:lineRule="auto"/>
        <w:tabs>
          <w:tab w:leader="none" w:pos="12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Payment</w:t>
      </w:r>
      <w:r>
        <w:rPr>
          <w:rFonts w:ascii="Times New Roman" w:cs="Times New Roman" w:eastAsia="Times New Roman" w:hAnsi="Times New Roman"/>
          <w:sz w:val="18"/>
          <w:szCs w:val="18"/>
          <w:color w:val="auto"/>
        </w:rPr>
        <w:t xml:space="preserve">. Executive acknowledges and agrees that, except as set forth in this Section 2(a).C., he has been paid all incentive payments he is owed by Western Digital through the Separation Date. Although Executive has not earned the Short Term Incentive (STI) compensation pursuant to the Western Digital Corporation Executive Short Term Incentive Plan fiscal year 2021 ( FY21), the Company will pay the Executive the amount of </w:t>
      </w:r>
      <w:r>
        <w:rPr>
          <w:rFonts w:ascii="Times New Roman" w:cs="Times New Roman" w:eastAsia="Times New Roman" w:hAnsi="Times New Roman"/>
          <w:sz w:val="18"/>
          <w:szCs w:val="18"/>
          <w:b w:val="1"/>
          <w:bCs w:val="1"/>
          <w:color w:val="auto"/>
        </w:rPr>
        <w:t>$115,384.62</w:t>
      </w:r>
      <w:r>
        <w:rPr>
          <w:rFonts w:ascii="Times New Roman" w:cs="Times New Roman" w:eastAsia="Times New Roman" w:hAnsi="Times New Roman"/>
          <w:sz w:val="18"/>
          <w:szCs w:val="18"/>
          <w:color w:val="auto"/>
        </w:rPr>
        <w:t>, less applicable taxes and withholdings, which payment assumes a 100% achievement of Executive’s Target Incentive under the STI plan for FY21 prorated through the Separation Date.</w:t>
      </w:r>
    </w:p>
    <w:p>
      <w:pPr>
        <w:sectPr>
          <w:pgSz w:w="11900" w:h="16838" w:orient="portrait"/>
          <w:cols w:equalWidth="0" w:num="1">
            <w:col w:w="11240"/>
          </w:cols>
          <w:pgMar w:left="320" w:top="117" w:right="339" w:bottom="1440" w:gutter="0" w:footer="0" w:header="0"/>
        </w:sectPr>
      </w:pPr>
    </w:p>
    <w:bookmarkStart w:id="54" w:name="page55"/>
    <w:bookmarkEnd w:id="54"/>
    <w:p>
      <w:pPr>
        <w:spacing w:after="0" w:line="194" w:lineRule="exact"/>
        <w:rPr>
          <w:sz w:val="20"/>
          <w:szCs w:val="20"/>
          <w:color w:val="auto"/>
        </w:rPr>
      </w:pPr>
    </w:p>
    <w:p>
      <w:pPr>
        <w:ind w:left="320" w:right="20" w:hanging="320"/>
        <w:spacing w:after="0" w:line="253"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Executive’s then outstanding stock options, if any, shall vest and become exercisable as to any such stock options that would have vested if Executive had remained employed with Western Digital through February 14, 2021. Notwithstanding anything to the contrary herein, the exercisability of Executive’s outstanding stock options shall continue to be governed by the stock incentive plans and stock option agreements applicable to such options. To the extent that any stock option is exercisable by the Executive on the Executive’s Severance Date, it may be exercised by the Executive at any time within three months following the Executive’s Severance Date (subject to earlier termination at the end of the option term or in connection with a change in control of Western Digital as provided in the applicable option documentation). Any stock option, to the extent it is exercisable for the three-month period following the Executive’s Severance Date and not exercised during such period, shall terminate at the close of business on the last day of the three-month period. Notwithstanding anything to the contrary herein, Executive shall not be entitled to any further continued vesting under any stock option award following the Severance Date, and the Severance Date shall be deemed to be Executive’s “Severance Date” for purposes of any outstanding stock option award agreements.</w:t>
      </w:r>
    </w:p>
    <w:p>
      <w:pPr>
        <w:spacing w:after="0" w:line="191" w:lineRule="exact"/>
        <w:rPr>
          <w:rFonts w:ascii="Times New Roman" w:cs="Times New Roman" w:eastAsia="Times New Roman" w:hAnsi="Times New Roman"/>
          <w:sz w:val="18"/>
          <w:szCs w:val="18"/>
          <w:color w:val="auto"/>
        </w:rPr>
      </w:pPr>
    </w:p>
    <w:p>
      <w:pPr>
        <w:ind w:left="320" w:hanging="320"/>
        <w:spacing w:after="0" w:line="252" w:lineRule="auto"/>
        <w:tabs>
          <w:tab w:leader="none" w:pos="3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Executive’s then outstanding and unvested time-based restricted stock units granted prior to August 30, 2018, if any, shall vest and become payable as to any such units that would have vested if Executive had remained employed with Western Digital through February 14, 2021. Executive’s restricted stock units granted on August 30, 2018 that are subject to only time-based vesting requirements and are outstanding and unvested on the Separation Date shall vest and become payable on March 1, 2021 as to any such units that would have vested after the Separation Date if Executive had remained employed with Western Digital through February 14, 2021. Executive’s restricted stock units granted on September 4, 2019, that are subject to only time-based vesting requirements and are outstanding and unvested on the Separation Date shall vest on a pro rata basis and become payable on March 1, 2021 in accordance with the Notice of Grant of Restricted Stock Units and Restricted Stock Unit Award Agreement – Vice President and Above and Standard Terms and Conditions for Restricted Stock Unit Award – Vice President and Above. Executive will be subject to any applicable tax withholdings on this income. Any restricted stock unit that remains unvested as of the Separation Date (and is not to vest upon March 1, 2021 ) after giving effect to the acceleration contemplated by the preceding provisions of this Section 2(a).E shall terminate as of the Separation Date and Executive shall have no further right with respect thereto or in respect thereof. Notwithstanding anything to the contrary herein, Executive shall not be entitled to any further continued vesting under any restricted stock unit award following the Severance Date, and the Severance Date shall be deemed to be Executive’s “Severance Date” for purposes of any outstanding restricted stock unit award agreements.</w:t>
      </w:r>
    </w:p>
    <w:p>
      <w:pPr>
        <w:spacing w:after="0" w:line="195" w:lineRule="exact"/>
        <w:rPr>
          <w:rFonts w:ascii="Times New Roman" w:cs="Times New Roman" w:eastAsia="Times New Roman" w:hAnsi="Times New Roman"/>
          <w:sz w:val="18"/>
          <w:szCs w:val="18"/>
          <w:color w:val="auto"/>
        </w:rPr>
      </w:pPr>
    </w:p>
    <w:p>
      <w:pPr>
        <w:ind w:left="320" w:hanging="320"/>
        <w:spacing w:after="0" w:line="253" w:lineRule="auto"/>
        <w:tabs>
          <w:tab w:leader="none" w:pos="3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Executive’s performance stock units (“PSUs”) granted on August 30, 2018 that are outstanding and unvested on the Separation Date shall be prorated and will become vested on August 30, 2021 (the scheduled vesting date) with respect to the number of stock units credited by the Compensation and Talent Committee of the Board of Directors of Western Digital in the ordinary course (as well as any accrued dividend equivalents thereon, to the extent applicable), and prorated as referenced above, in accordance with the Notice of Grant of Performance Stock Units and Performance Stock Unit Award Agreement (for each Financial and TSR Measures) and Standard Terms and Conditions for Performance Stock Unit Award (for each Financial and TSR Measures). In addition, Executive’s PSUs granted on September 4, 2019 that are outstanding and unvested on the Separation Date shall be prorated and will become vested on September 4, 2022 (the scheduled vesting date) with respect to the number of stock units credited by the Compensation and Talent Committee of the Board of Directors of Western Digital in the ordinary course (as well as any accrued dividend equivalents thereon, to the extent applicable), and prorated as referenced above, in accordance with the Notice of Grant of Performance Stock Units and Performance Stock Unit Award Agreement (for each Financial and TSR Measures) and Standard Terms and Conditions for Performance Stock Unit Award (for each Financial and TSR Measures). PSU payments will be subject to applicable tax withholding in accordance with the</w:t>
      </w:r>
    </w:p>
    <w:p>
      <w:pPr>
        <w:sectPr>
          <w:pgSz w:w="11900" w:h="16838" w:orient="portrait"/>
          <w:cols w:equalWidth="0" w:num="1">
            <w:col w:w="10240"/>
          </w:cols>
          <w:pgMar w:left="1300" w:top="1440" w:right="359" w:bottom="1440" w:gutter="0" w:footer="0" w:header="0"/>
        </w:sectPr>
      </w:pPr>
    </w:p>
    <w:bookmarkStart w:id="55" w:name="page56"/>
    <w:bookmarkEnd w:id="55"/>
    <w:p>
      <w:pPr>
        <w:ind w:left="1300" w:right="20"/>
        <w:spacing w:after="0" w:line="289" w:lineRule="auto"/>
        <w:rPr>
          <w:sz w:val="20"/>
          <w:szCs w:val="20"/>
          <w:color w:val="auto"/>
        </w:rPr>
      </w:pPr>
      <w:r>
        <w:rPr>
          <w:rFonts w:ascii="Times New Roman" w:cs="Times New Roman" w:eastAsia="Times New Roman" w:hAnsi="Times New Roman"/>
          <w:sz w:val="17"/>
          <w:szCs w:val="17"/>
          <w:color w:val="auto"/>
        </w:rPr>
        <w:t>applicable award terms and conditions. Any PSUs that remain unvested as of the Separation Date (and are not to vest on August 30, 2021 and September 4, 2022, respectively) after giving effect to the acceleration contemplated by the preceding provisions of this Section 2(a).F shall terminate as of the Separation Date and Executive shall have no further right with respect thereto or in respect thereof.</w:t>
      </w:r>
    </w:p>
    <w:p>
      <w:pPr>
        <w:spacing w:after="0" w:line="158" w:lineRule="exact"/>
        <w:rPr>
          <w:sz w:val="20"/>
          <w:szCs w:val="20"/>
          <w:color w:val="auto"/>
        </w:rPr>
      </w:pPr>
    </w:p>
    <w:p>
      <w:pPr>
        <w:ind w:left="1300" w:right="20" w:hanging="320"/>
        <w:spacing w:after="0" w:line="258" w:lineRule="auto"/>
        <w:tabs>
          <w:tab w:leader="none" w:pos="1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Outplacement Services</w:t>
      </w:r>
      <w:r>
        <w:rPr>
          <w:rFonts w:ascii="Times New Roman" w:cs="Times New Roman" w:eastAsia="Times New Roman" w:hAnsi="Times New Roman"/>
          <w:sz w:val="18"/>
          <w:szCs w:val="18"/>
          <w:color w:val="auto"/>
        </w:rPr>
        <w:t>. Executive shall receive Tier I Executive Outplacement Services for a period of 12 months to be provided by a vendor approved by Western Digital, at Western Digital’s sole discretion, for the use of Executive only (“Outplacement Services”). These services are not transferable or assignable to any other person. Executive is not entitled to the cash value of these services, which must be commenced within 30 days of the Separation Date. If tax withholding is required with respect to the Outplacement Services, Executive will make arrangements satisfactory to Western Digital to satisfy such withholding obligations.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or in any other plan, agreement or arrangement, Executive shall not be entitled to any further additional or continued vesting as to any stock option, stock unit, RSU or other equity or equity-based award on or following the Separation Date except as expressly provided in Sections 2(a).D-G above, and the Separation Date shall be deemed to be Executive’s “Separation Date” (or any similar applicable defined term) for purposes of any outstanding stock option, stock unit, PSU, or other equity or equity-based award agreements.</w:t>
      </w:r>
    </w:p>
    <w:p>
      <w:pPr>
        <w:spacing w:after="0" w:line="207" w:lineRule="exact"/>
        <w:rPr>
          <w:sz w:val="20"/>
          <w:szCs w:val="20"/>
          <w:color w:val="auto"/>
        </w:rPr>
      </w:pPr>
    </w:p>
    <w:p>
      <w:pPr>
        <w:ind w:right="60" w:firstLine="188"/>
        <w:spacing w:after="0" w:line="258" w:lineRule="auto"/>
        <w:tabs>
          <w:tab w:leader="none" w:pos="5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Agreement, Executive acknowledges and agrees that Executive shall not accrue or be entitled to any payments or benefits beyond the Separation Date except for the Separation Benefits listed in Section 2(a) of the Agreement. Executive acknowledges that the Separation Benefits are an additional benefit beyond that to which Executive is entitled to, and given in consideration for Executive’s promises in this Agreement, and that such Separation Benefits are contingent upon Executive’s execution of and not revoking this Agreement. The Separation Benefits are inclusive of any and all of Executive’s incurred or alleged fees, expenses, and/or costs which relate in any way to Western Digital, including attorney’s fees.</w:t>
      </w:r>
    </w:p>
    <w:p>
      <w:pPr>
        <w:spacing w:after="0" w:line="210" w:lineRule="exact"/>
        <w:rPr>
          <w:rFonts w:ascii="Times New Roman" w:cs="Times New Roman" w:eastAsia="Times New Roman" w:hAnsi="Times New Roman"/>
          <w:sz w:val="18"/>
          <w:szCs w:val="18"/>
          <w:color w:val="auto"/>
        </w:rPr>
      </w:pPr>
    </w:p>
    <w:p>
      <w:pPr>
        <w:ind w:firstLine="656"/>
        <w:spacing w:after="0" w:line="261" w:lineRule="auto"/>
        <w:tabs>
          <w:tab w:leader="none" w:pos="102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Severance Payment, COBRA Payment, and the Incentive Payment provided for in Section 2(a).A-C and (if required under applicable tax law) the amounts paid or provided as the Outplacement Services, will be reported on Executive’s Form W-2 as income for Executive in the applicable year. In addition, amounts relating to the vesting or payment of stock units and PSUs, as well as amounts relating to the exercise of certain stock options, will be reported on Executive’s Form W-2 as income in the applicable year.</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By Executive</w:t>
      </w:r>
    </w:p>
    <w:p>
      <w:pPr>
        <w:spacing w:after="0" w:line="225" w:lineRule="exact"/>
        <w:rPr>
          <w:rFonts w:ascii="Times New Roman" w:cs="Times New Roman" w:eastAsia="Times New Roman" w:hAnsi="Times New Roman"/>
          <w:sz w:val="18"/>
          <w:szCs w:val="18"/>
          <w:color w:val="auto"/>
        </w:rPr>
      </w:pPr>
    </w:p>
    <w:p>
      <w:pPr>
        <w:ind w:left="1300" w:right="60" w:hanging="320"/>
        <w:spacing w:after="0" w:line="253" w:lineRule="auto"/>
        <w:tabs>
          <w:tab w:leader="none" w:pos="1299"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and agrees that, by signing this Agreement, in exchange for the Separation Benefits that Executive will receive under Section 2(a) above, Executive is waiving, releasing and discharging, and promising not to sue, Western Digital Corporation and each and all of its divisions, subsidiaries, parents, predecessors, successors, assigns, and affiliated or related corporations and entities, past and present, including but not limited to Western Digital Technologies, Inc., Western Digital (Fremont), LLC, WD Media, LLC, and HGST, Inc., as well as each and all of its and their owners, trustees, officers, directors, managers, shareholders, members, partners, administrators, fiduciaries, representatives, attorneys, assignees, successors, insurers, benefit plans, agents and employees, past and present, and each of them (collectively, “Released Parties”), from and with respect to any and all claims, wages, demands, actions, class actions, rights, liens, agreements, contracts, covenants, suits, causes of action, charges, grievances, obligations, debts, costs, expenses, penalties, attorneys’ fees, damages, judgments, orders and liabilities of any kind, known or unknown, suspected or unsuspected, and whether or not concealed or hidden, arising out of or in any way connected with Executive’s employment relationship with, or the termination of Executive’s employment with, any of the Released Parties, including but in no way limited to, any act or omission committed or omitted prior to the date of execution of this Agreement. This general release of claims includes, but is in no way limited to,</w:t>
      </w:r>
    </w:p>
    <w:p>
      <w:pPr>
        <w:sectPr>
          <w:pgSz w:w="11900" w:h="16838" w:orient="portrait"/>
          <w:cols w:equalWidth="0" w:num="1">
            <w:col w:w="11220"/>
          </w:cols>
          <w:pgMar w:left="320" w:top="1417" w:right="359" w:bottom="1440" w:gutter="0" w:footer="0" w:header="0"/>
        </w:sectPr>
      </w:pPr>
    </w:p>
    <w:bookmarkStart w:id="56" w:name="page57"/>
    <w:bookmarkEnd w:id="56"/>
    <w:p>
      <w:pPr>
        <w:ind w:left="320" w:right="80"/>
        <w:spacing w:after="0" w:line="253" w:lineRule="auto"/>
        <w:rPr>
          <w:sz w:val="20"/>
          <w:szCs w:val="20"/>
          <w:color w:val="auto"/>
        </w:rPr>
      </w:pPr>
      <w:r>
        <w:rPr>
          <w:rFonts w:ascii="Times New Roman" w:cs="Times New Roman" w:eastAsia="Times New Roman" w:hAnsi="Times New Roman"/>
          <w:sz w:val="18"/>
          <w:szCs w:val="18"/>
          <w:color w:val="auto"/>
        </w:rPr>
        <w:t xml:space="preserve">any and all wage and hour claims, claims for wrongful discharge, breach of contract, violation of public policy, tort, or violation of any statute, constitution or regulation, including but not limited to any claim under Title VII of the Civil Rights Act of 1964, the Age Discrimination in Employment Act of 1967, as amended (“ADEA”), the Employee Retirement Income Security Act of 1974 (“ERISA”), the Americans with Disabilities Act of 1990, the Older Workers Benefits Protection Act (“OWBPA”), the Fair Labor Standards Act (“FLSA”), the federal Consolidated Omnibus Budget Reconciliation Act of 1985 (“COBRA”) and Cal-COBRA, the Immigration and Nationality Act section 1324a, the federal Worker Adjustment and Retraining Notification Act (“WARN”), California WARN Labor Code sections 1400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California Fair Employment and Housing Act (“FEHA”), the Family and Medical Leave Act of 1993 (“FMLA”), the California Family Rights Act (“CFRA”), the California Labor Code and Industrial Welfare Commission Wage Orders, or any other federal, state or local laws, regulations or ordinances, and any claim for severance pay, bonus, sick leave, holiday pay, vacation pay, life insurance, health or medical insurance or any other fringe benefit, or disability, and every type of relief (legal, equitable and otherwise) available to Executive, from the beginning of time to the date Executive signs this Agreement.</w:t>
      </w:r>
    </w:p>
    <w:p>
      <w:pPr>
        <w:spacing w:after="0" w:line="192" w:lineRule="exact"/>
        <w:rPr>
          <w:sz w:val="20"/>
          <w:szCs w:val="20"/>
          <w:color w:val="auto"/>
        </w:rPr>
      </w:pPr>
    </w:p>
    <w:p>
      <w:pPr>
        <w:ind w:left="320" w:right="40" w:hanging="320"/>
        <w:spacing w:after="0" w:line="252"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release does not extend to Executive’s right to receive (i) any vested rights or benefits under the terms of any “employee benefit plan,” as defined in Section 3(3) of ERISA or any Western Digital nonqualified deferred compensation plan; (ii) Executive’s vested rights, if any, under any stock option grant or stock award pursuant to the terms of such grant agreement or applicable equity award plan; (iii) indemnification under California Labor Code § 2802 California Corporations Code §317, Western Digital’s by-laws, any indemnification agreement between Western Digital and Executive, or any other federal or state statute, law, regulation or provision that confers upon Executive a right to defense or indemnification arising out of the services he performed for Western Digital or any of the Releasees; or (iv) any other rights or claims under applicable federal, state or local law that cannot be waived or released by private agreement as a matter of law. Executive understands that nothing in the release shall preclude Executive from filing a claim for unemployment or workers compensation insurance. Executive further understands that nothing in this Release or Agreement, including the provisions addressing General Release by Executive, Litigation and Investigation Cooperation, and/or confidentiality obligations, is intended to or shall limit, prevent, impede or interfere with Executive’s participation in government investigations, testifying in proceedings brought by a government agency regarding the Company’s past or future conduct, or voluntarily communicating, without prior notice to or approval by the Company, with the government (including, but not limited to, government agencies such as the Securities and Exchange Commission, Equal Employment Opportunity Commission, and the National Labor Relations Board) about a potential violation of law or regulation. Notwithstanding the above, unless otherwise prohibited by law, by signing this Agreement, Executive expressly acknowledges and agrees to release and waive any right to claim or recover, and will not accept, any form of monetary or other damages or any other form of relief from Western Digital in connection with any charge, complaint, or lawsuit filed by Executive or by anyone else on Executive’s behalf, for any released claims.</w:t>
      </w:r>
    </w:p>
    <w:p>
      <w:pPr>
        <w:spacing w:after="0" w:line="191" w:lineRule="exact"/>
        <w:rPr>
          <w:rFonts w:ascii="Times New Roman" w:cs="Times New Roman" w:eastAsia="Times New Roman" w:hAnsi="Times New Roman"/>
          <w:sz w:val="18"/>
          <w:szCs w:val="18"/>
          <w:color w:val="auto"/>
        </w:rPr>
      </w:pPr>
    </w:p>
    <w:p>
      <w:pPr>
        <w:ind w:left="320" w:right="20" w:hanging="320"/>
        <w:spacing w:after="0" w:line="266"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general release applies to claims or rights that Executive may possess either individually or as a class member, and Executive waives and releases any right to participate in or receive money or benefits from any class action settlement or judgment after the date this Agreement is signed that relates in any way to Executive’s employment with Western Digital.</w:t>
      </w:r>
    </w:p>
    <w:p>
      <w:pPr>
        <w:spacing w:after="0" w:line="175" w:lineRule="exact"/>
        <w:rPr>
          <w:rFonts w:ascii="Times New Roman" w:cs="Times New Roman" w:eastAsia="Times New Roman" w:hAnsi="Times New Roman"/>
          <w:sz w:val="18"/>
          <w:szCs w:val="18"/>
          <w:color w:val="auto"/>
        </w:rPr>
      </w:pPr>
    </w:p>
    <w:p>
      <w:pPr>
        <w:ind w:left="320" w:hanging="320"/>
        <w:spacing w:after="0" w:line="282" w:lineRule="auto"/>
        <w:tabs>
          <w:tab w:leader="none" w:pos="3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general release is binding on Executive’s heirs, family members, dependents, beneficiaries, executors, administrators, successors and assigns.</w:t>
      </w:r>
    </w:p>
    <w:p>
      <w:pPr>
        <w:spacing w:after="0" w:line="161"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stated in this general release are intended as full and complete satisfaction of any and all claims the Executive has now or has had in the past. By signing this general release, Executive specifically represents that Executive has made reasonable effort to become fully</w:t>
      </w:r>
    </w:p>
    <w:p>
      <w:pPr>
        <w:sectPr>
          <w:pgSz w:w="11900" w:h="16838" w:orient="portrait"/>
          <w:cols w:equalWidth="0" w:num="1">
            <w:col w:w="10260"/>
          </w:cols>
          <w:pgMar w:left="1300" w:top="1417" w:right="339" w:bottom="1440" w:gutter="0" w:footer="0" w:header="0"/>
        </w:sectPr>
      </w:pPr>
    </w:p>
    <w:bookmarkStart w:id="57" w:name="page58"/>
    <w:bookmarkEnd w:id="57"/>
    <w:p>
      <w:pPr>
        <w:ind w:left="1300"/>
        <w:spacing w:after="0" w:line="261" w:lineRule="auto"/>
        <w:rPr>
          <w:sz w:val="20"/>
          <w:szCs w:val="20"/>
          <w:color w:val="auto"/>
        </w:rPr>
      </w:pPr>
      <w:r>
        <w:rPr>
          <w:rFonts w:ascii="Times New Roman" w:cs="Times New Roman" w:eastAsia="Times New Roman" w:hAnsi="Times New Roman"/>
          <w:sz w:val="18"/>
          <w:szCs w:val="18"/>
          <w:color w:val="auto"/>
        </w:rPr>
        <w:t>apprised of the nature and consequences of this general release, and that Executive understands that if any facts with respect to any matter covered by this release are found to be different from the facts Executive now believes to be true, Executive accepts and assumes that risk and agrees that this general release shall be effective notwithstanding such differences. Executive expressly agrees that this release shall extend and apply to all unknown, unsuspected and unanticipated injuries and damages.</w:t>
      </w:r>
    </w:p>
    <w:p>
      <w:pPr>
        <w:spacing w:after="0" w:line="180" w:lineRule="exact"/>
        <w:rPr>
          <w:sz w:val="20"/>
          <w:szCs w:val="20"/>
          <w:color w:val="auto"/>
        </w:rPr>
      </w:pPr>
    </w:p>
    <w:p>
      <w:pPr>
        <w:ind w:left="1300" w:right="20" w:hanging="320"/>
        <w:spacing w:after="0" w:line="253" w:lineRule="auto"/>
        <w:tabs>
          <w:tab w:leader="none" w:pos="128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that neither Medicare nor Medicaid has made any payment for medical services or items pursuant to 42 U.S.C. § 1395y and the corresponding regulations, or otherwise, relating to the Released Matter. “Released Matter” means any released accident, occurrence, injury, illness, disease, loss, claim, demand, damages, or matter that is subject to this Agreement and the releases herein. Executive acknowledges and agrees that neither Western Digital nor any of the Released Parties has any obligation or responsibility to reimburse Medicare, Medicaid, the Centers for Medicare and Medicaid Services, or any other entity or person for any past or future injury related medical expenses that have arisen or may hereafter arise out or relate in any way to the Released Matters. Executive acknowledges and agrees that it is Executive’s responsibility alone to reimburse such entities for any payments made on their behalf for such past or future medical expenses, if any, and Executive agrees to indemnify and hold harmless Western Digital and the Released Parties from any and all claims, demands, liens, subrogated interests and/or causes of action of any nature or character that have been or may in the future be asserted by Medicare and/or Medicaid and/or persons acting on behalf of Medicare and/or Medicaid concerning medical, hospital, or other expenses arising of the Released Matters, or concerning any claim based on inaccurate or inadequate information provided by Executive concerning Executive’s status as a Medicare or Medicaid beneficiary.</w:t>
      </w:r>
    </w:p>
    <w:p>
      <w:pPr>
        <w:spacing w:after="0" w:line="216" w:lineRule="exact"/>
        <w:rPr>
          <w:rFonts w:ascii="Times New Roman" w:cs="Times New Roman" w:eastAsia="Times New Roman" w:hAnsi="Times New Roman"/>
          <w:sz w:val="18"/>
          <w:szCs w:val="18"/>
          <w:color w:val="auto"/>
        </w:rPr>
      </w:pPr>
    </w:p>
    <w:p>
      <w:pPr>
        <w:ind w:left="1300" w:hanging="320"/>
        <w:spacing w:after="0" w:line="254" w:lineRule="auto"/>
        <w:tabs>
          <w:tab w:leader="none" w:pos="12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promises not to pursue any claim that Executive has settled by this release. If Executive breaks this promise, Executive agrees to pay all of Western Digital’s costs and expenses (including reasonable attorneys’ fees) related to the defense of any claims. Executive understands that nothing in this Agreement shall be deemed to preclude Executive from challenging the knowing and voluntary nature of this release before a court or the Equal Employment Opportunity Commission (“EEOC”), or from filing a charge with the EEOC, the National Labor Relations Board, or any other federal, state or local agency charged with the enforcement of any employment laws. Executive expressly acknowledges and agrees, however, that, by signing this release, Executive is waiving the right to, and will not accept, any form of monetary or other damages or any other form of relief from Western Digital based on claims asserted in such a charge or complaint.</w:t>
      </w:r>
    </w:p>
    <w:p>
      <w:pPr>
        <w:spacing w:after="0" w:line="191" w:lineRule="exact"/>
        <w:rPr>
          <w:rFonts w:ascii="Times New Roman" w:cs="Times New Roman" w:eastAsia="Times New Roman" w:hAnsi="Times New Roman"/>
          <w:sz w:val="18"/>
          <w:szCs w:val="18"/>
          <w:color w:val="auto"/>
        </w:rPr>
      </w:pPr>
    </w:p>
    <w:p>
      <w:pPr>
        <w:ind w:right="40" w:firstLine="656"/>
        <w:spacing w:after="0" w:line="256"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1542 Waiver</w:t>
      </w:r>
      <w:r>
        <w:rPr>
          <w:rFonts w:ascii="Times New Roman" w:cs="Times New Roman" w:eastAsia="Times New Roman" w:hAnsi="Times New Roman"/>
          <w:sz w:val="18"/>
          <w:szCs w:val="18"/>
          <w:color w:val="auto"/>
        </w:rPr>
        <w:t>. It is Executive’s intention in signing this Agreement that the general release of claims should be effective as a bar to each and every claim, demand and cause of action stated above. In furtherance of this intention, Executive hereby expressly waives any and all rights and benefits conferred upon Executive by the provisions of SECTION 1542 OF THE CALIFORNIA CIVIL CODE and expressly consents that this Agreement shall be given full force and effect according to each and all of its express terms and provisions, including those relating to unknown and unsuspected claims, demands and causes of action, if any, as well as those relating to any other claims, demands and causes of action referred to above. SECTION 1542 provides:</w:t>
      </w:r>
    </w:p>
    <w:p>
      <w:pPr>
        <w:spacing w:after="0" w:line="187" w:lineRule="exact"/>
        <w:rPr>
          <w:sz w:val="20"/>
          <w:szCs w:val="20"/>
          <w:color w:val="auto"/>
        </w:rPr>
      </w:pPr>
    </w:p>
    <w:p>
      <w:pPr>
        <w:ind w:left="660" w:right="88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acknowledges and understands the significance and consequence of such release and such specific waiver of SECTION 1542</w:t>
      </w:r>
    </w:p>
    <w:p>
      <w:pPr>
        <w:sectPr>
          <w:pgSz w:w="11900" w:h="16838" w:orient="portrait"/>
          <w:cols w:equalWidth="0" w:num="1">
            <w:col w:w="11240"/>
          </w:cols>
          <w:pgMar w:left="320" w:top="1417" w:right="339" w:bottom="1440" w:gutter="0" w:footer="0" w:header="0"/>
        </w:sectPr>
      </w:pPr>
    </w:p>
    <w:bookmarkStart w:id="58" w:name="page59"/>
    <w:bookmarkEnd w:id="58"/>
    <w:p>
      <w:pPr>
        <w:spacing w:after="0" w:line="194" w:lineRule="exact"/>
        <w:rPr>
          <w:sz w:val="20"/>
          <w:szCs w:val="20"/>
          <w:color w:val="auto"/>
        </w:rPr>
      </w:pPr>
    </w:p>
    <w:p>
      <w:pPr>
        <w:ind w:left="80" w:right="20" w:firstLine="657"/>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Executive acknowledges and agrees that Executive has not suffered any on-the-job injury for which Executive has not already filed a claim. Executive has not been retaliated against for reporting any allegations of wrongdoing by Western Digital or its officers, including any allegations of corporate fraud.</w:t>
      </w:r>
    </w:p>
    <w:p>
      <w:pPr>
        <w:spacing w:after="0" w:line="175" w:lineRule="exact"/>
        <w:rPr>
          <w:rFonts w:ascii="Times New Roman" w:cs="Times New Roman" w:eastAsia="Times New Roman" w:hAnsi="Times New Roman"/>
          <w:sz w:val="18"/>
          <w:szCs w:val="18"/>
          <w:color w:val="auto"/>
        </w:rPr>
      </w:pPr>
    </w:p>
    <w:p>
      <w:pPr>
        <w:ind w:left="80" w:right="60" w:firstLine="657"/>
        <w:spacing w:after="0" w:line="26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Rights Under Age Discrimination in Employment Act of 1967.</w:t>
      </w:r>
      <w:r>
        <w:rPr>
          <w:rFonts w:ascii="Times New Roman" w:cs="Times New Roman" w:eastAsia="Times New Roman" w:hAnsi="Times New Roman"/>
          <w:sz w:val="18"/>
          <w:szCs w:val="18"/>
          <w:color w:val="auto"/>
        </w:rPr>
        <w:t xml:space="preserve"> Executive expressly acknowledges and agrees that, by entering into this General Release, Employee is waiving and releasing any rights or claims that Executive may have arising under the Age Discrimination in Employment Act of 1967 (“ADEA”), as amended, which may have arisen on or before the date of execution of this General Release, and that this waiver and release is knowing and voluntary. Executive also expressly acknowledges and agrees that:</w:t>
      </w:r>
    </w:p>
    <w:p>
      <w:pPr>
        <w:spacing w:after="0" w:line="180" w:lineRule="exact"/>
        <w:rPr>
          <w:sz w:val="20"/>
          <w:szCs w:val="20"/>
          <w:color w:val="auto"/>
        </w:rPr>
      </w:pPr>
    </w:p>
    <w:p>
      <w:pPr>
        <w:ind w:left="740" w:right="500" w:hanging="3"/>
        <w:spacing w:after="0" w:line="282" w:lineRule="auto"/>
        <w:tabs>
          <w:tab w:leader="none" w:pos="9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return for this waiver and release, Executive will receive consideration, i.e., something of value, beyond that to which Executive was already entitled before entering into this General Release;</w:t>
      </w:r>
    </w:p>
    <w:p>
      <w:pPr>
        <w:spacing w:after="0" w:line="161"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hereby advised in writing by this General Release to consult with an attorney before signing this General Release;</w:t>
      </w:r>
    </w:p>
    <w:p>
      <w:pPr>
        <w:spacing w:after="0" w:line="225"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given a copy of this General Release, Executive was informed that Executive had twenty-one (21) days within which to consider it; and</w:t>
      </w:r>
    </w:p>
    <w:p>
      <w:pPr>
        <w:spacing w:after="0" w:line="225" w:lineRule="exact"/>
        <w:rPr>
          <w:rFonts w:ascii="Times New Roman" w:cs="Times New Roman" w:eastAsia="Times New Roman" w:hAnsi="Times New Roman"/>
          <w:sz w:val="18"/>
          <w:szCs w:val="18"/>
          <w:color w:val="auto"/>
        </w:rPr>
      </w:pPr>
    </w:p>
    <w:p>
      <w:pPr>
        <w:ind w:left="740" w:right="360" w:hanging="3"/>
        <w:spacing w:after="0" w:line="266" w:lineRule="auto"/>
        <w:tabs>
          <w:tab w:leader="none" w:pos="9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was informed that Executive has seven (7) days following Executive’s execution of this General Release in which to revoke its execution, in writing to Western Digital’s Executive Vice President and Chief Legal Officer, and that this General Release will not become effective or enforceable until the revocation period has expired.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Executive signs this General Release and returns it to Western Digital in less than the 21-day period identified above, Executive hereby acknowledges that Executive has freely and voluntarily chosen to waive the time period allotted for consideration of this General Release. This General Release will become effective and enforceable seven (7) days following execution by Employee, unless Executive revokes it during the seven-day period consistent with the terms of this Section. The parties agree that no change to this General Release, whether material or immaterial, will restart the running of the twenty-one (21) day period. In the event that Executive exercises Executive’s right of revocation during the seven-day revocation period, neither Western Digital nor Executive will have any obligations under this General Release. Nothing in this Paragraph prevents or precludes Executive from challenging or seeking a determination in good faith of the validity of this waiver under the ADEA, nor does it impose any condition precedent, penalties or costs from doing so, unless specifically authorized by federal law.</w:t>
      </w:r>
    </w:p>
    <w:p>
      <w:pPr>
        <w:spacing w:after="0" w:line="219" w:lineRule="exact"/>
        <w:rPr>
          <w:sz w:val="20"/>
          <w:szCs w:val="20"/>
          <w:color w:val="auto"/>
        </w:rPr>
      </w:pPr>
    </w:p>
    <w:p>
      <w:pPr>
        <w:ind w:left="80" w:right="200" w:firstLine="657"/>
        <w:spacing w:after="0" w:line="261"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Denial of Liability</w:t>
      </w:r>
      <w:r>
        <w:rPr>
          <w:rFonts w:ascii="Times New Roman" w:cs="Times New Roman" w:eastAsia="Times New Roman" w:hAnsi="Times New Roman"/>
          <w:sz w:val="18"/>
          <w:szCs w:val="18"/>
          <w:color w:val="auto"/>
        </w:rPr>
        <w:t>. This Agreement does not constitute an admission by Western Digital of any violation of federal, state or local law, ordinance or regulation or of any liability or wrongdoing whatsoever. Neither this Agreement nor anything in this Agreement shall be construed to be or shall be admissible in any proceeding as evidence of liability or wrongdoing by Western Digital. This Agreement may be introduced, however, in any proceeding to enforce the Agreement.</w:t>
      </w:r>
    </w:p>
    <w:p>
      <w:pPr>
        <w:spacing w:after="0" w:line="179" w:lineRule="exact"/>
        <w:rPr>
          <w:rFonts w:ascii="Times New Roman" w:cs="Times New Roman" w:eastAsia="Times New Roman" w:hAnsi="Times New Roman"/>
          <w:sz w:val="18"/>
          <w:szCs w:val="18"/>
          <w:color w:val="auto"/>
        </w:rPr>
      </w:pPr>
    </w:p>
    <w:p>
      <w:pPr>
        <w:ind w:right="40" w:firstLine="737"/>
        <w:spacing w:after="0" w:line="256"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agrees that the terms and conditions of this Agreement shall remain confidential as between the parties and, unless required by law, Executive shall not disclose them to any other person, other than to Executive’s legal and financial advisors or members of Executive’s immediate family, who shall also be advised of its confidentiality and who shall agree to be bound by this confidentiality agreement. Without limiting the generality of the foregoing, Executive specifically agrees not to disclose information regarding this Agreement to any current or former employee of Western Digital. Executive agrees that disclosure by Executive in violation of the foregoing shall constitute and be treated as a material breach of this Agreement.</w:t>
      </w:r>
    </w:p>
    <w:p>
      <w:pPr>
        <w:spacing w:after="0" w:line="187" w:lineRule="exact"/>
        <w:rPr>
          <w:rFonts w:ascii="Times New Roman" w:cs="Times New Roman" w:eastAsia="Times New Roman" w:hAnsi="Times New Roman"/>
          <w:sz w:val="18"/>
          <w:szCs w:val="18"/>
          <w:color w:val="auto"/>
        </w:rPr>
      </w:pPr>
    </w:p>
    <w:p>
      <w:pPr>
        <w:ind w:left="80" w:right="660" w:firstLine="657"/>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and Proprietary Information</w:t>
      </w:r>
      <w:r>
        <w:rPr>
          <w:rFonts w:ascii="Times New Roman" w:cs="Times New Roman" w:eastAsia="Times New Roman" w:hAnsi="Times New Roman"/>
          <w:sz w:val="18"/>
          <w:szCs w:val="18"/>
          <w:color w:val="auto"/>
        </w:rPr>
        <w:t>. Executive acknowledges that by reason of Executive’s position with Western Digital, Executive has been given access to confidential, trade secret, proprietary or private materials or information regarding Western Digital’s business. Executive represents that Executive has held all</w:t>
      </w:r>
    </w:p>
    <w:p>
      <w:pPr>
        <w:sectPr>
          <w:pgSz w:w="11900" w:h="16838" w:orient="portrait"/>
          <w:cols w:equalWidth="0" w:num="1">
            <w:col w:w="11240"/>
          </w:cols>
          <w:pgMar w:left="320" w:top="1440" w:right="339" w:bottom="1440" w:gutter="0" w:footer="0" w:header="0"/>
        </w:sectPr>
      </w:pPr>
    </w:p>
    <w:bookmarkStart w:id="59" w:name="page60"/>
    <w:bookmarkEnd w:id="59"/>
    <w:p>
      <w:pPr>
        <w:ind w:right="20"/>
        <w:spacing w:after="0" w:line="252" w:lineRule="auto"/>
        <w:rPr>
          <w:sz w:val="20"/>
          <w:szCs w:val="20"/>
          <w:color w:val="auto"/>
        </w:rPr>
      </w:pPr>
      <w:r>
        <w:rPr>
          <w:rFonts w:ascii="Times New Roman" w:cs="Times New Roman" w:eastAsia="Times New Roman" w:hAnsi="Times New Roman"/>
          <w:sz w:val="18"/>
          <w:szCs w:val="18"/>
          <w:color w:val="auto"/>
        </w:rPr>
        <w:t>such information confidential and will continue to do so, and that Executive will not use such information without the prior written consent of Western Digital. Executive may continue to receive and be entrusted with confidential material through the Separation Date. In addition, Executive agrees that Executive’s obligations under the Employee Invention and Confidentiality Agreement, if Executive is subject to one, or any other similar Western Digital or Released Party agreement or policy relating to confidential information, employee inventions, nonsolicitation, noncompetition, or similar matters to which Executive is now subject (“Surviving Agreements”) continue in effect per the terms of those agreements. Executive represents that Executive has returned all confidential, proprietary and trade secret information within Executive’s possession or control to Western Digital or will make best efforts to do so on or before the Separation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Executive understands that confidential trade secrets, proprietary information and confidential business information of Western Digital affects the successful conduct of Western Digital’s business and its goodwill. Executive hereby acknowledges that the sale or unauthorized use or disclosure of any confidential, trade secret, proprietary or private materials or information regarding Western Digital’s business by any means whatsoever shall constitute “Unfair Competition.” Executive agrees that Executive shall not engage in Unfair Competition at any time. Executive also understands that pursuant to the Defend Trade Secrets Act of 2016, 18 USC § 1833(b), Executive shall not be held criminally or civilly liable under any Federal or State Trade secret law for the disclosure of a trade secret that is made (a) in confidence to a Federal, State, or local government official, either directly or indirectly, or to an attorney, for the sole purpose of reporting or investigating a suspected violation of law; or (b) in a complaint or other document filed in a lawsuit or other proceeding, if such filing is made under seal.</w:t>
      </w:r>
    </w:p>
    <w:p>
      <w:pPr>
        <w:spacing w:after="0" w:line="197" w:lineRule="exact"/>
        <w:rPr>
          <w:sz w:val="20"/>
          <w:szCs w:val="20"/>
          <w:color w:val="auto"/>
        </w:rPr>
      </w:pPr>
    </w:p>
    <w:p>
      <w:pPr>
        <w:ind w:right="200" w:firstLine="657"/>
        <w:spacing w:after="0" w:line="256" w:lineRule="auto"/>
        <w:tabs>
          <w:tab w:leader="none" w:pos="12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Executive warrants and represents that Executive will return all company equipment, including, but not limited to, keys or means of access to Western Digital’s facilities or parking structures, computers, cell phones, personal data assistants, and notebooks within Executive’s possession or control, and not previously delivered to Western Digital, on or before Executive’s Separation Date. Executive will also return all information, materials, documents, memoranda, reports, files, samples, books, correspondence, lists, programs, documentation, and/or other related materials produced as a result of Executive’s employment with Western Digital (including copies) within Executive’s possession or control, and not previously delivered to Western Digital, no later than Executive’s Separation Date.</w:t>
      </w:r>
    </w:p>
    <w:p>
      <w:pPr>
        <w:spacing w:after="0" w:line="187" w:lineRule="exact"/>
        <w:rPr>
          <w:rFonts w:ascii="Times New Roman" w:cs="Times New Roman" w:eastAsia="Times New Roman" w:hAnsi="Times New Roman"/>
          <w:sz w:val="18"/>
          <w:szCs w:val="18"/>
          <w:color w:val="auto"/>
        </w:rPr>
      </w:pPr>
    </w:p>
    <w:p>
      <w:pPr>
        <w:ind w:right="80" w:firstLine="657"/>
        <w:spacing w:after="0" w:line="255" w:lineRule="auto"/>
        <w:tabs>
          <w:tab w:leader="none" w:pos="12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Executive promises and agrees that she will not, during the twelve (12) months following the Separation Date, directly or indirectly (a) solicit or recruit any individual causing them to terminate employment with Western Digital in order to become an employee, consultant or independent contractor for Executive or any other person or entity; or (b) solicit for competitive business purposes any customer of Western Digital or its affiliates (who is or became a customer during the term of Executive’s employment and whose information constitutes Western Digital’s trade secret under applicable law). Executive acknowledges that the restrictions contained in this paragraph are reasonable to protect the stability of Western Digital’s workforce and to protect the confidential, proprietary and trade secret information of Western Digital, and that Western Digital would suffer irreparable harm if Executive fails to comply with the promises in this paragraph.</w:t>
      </w:r>
    </w:p>
    <w:p>
      <w:pPr>
        <w:spacing w:after="0" w:line="188" w:lineRule="exact"/>
        <w:rPr>
          <w:rFonts w:ascii="Times New Roman" w:cs="Times New Roman" w:eastAsia="Times New Roman" w:hAnsi="Times New Roman"/>
          <w:sz w:val="18"/>
          <w:szCs w:val="18"/>
          <w:color w:val="auto"/>
        </w:rPr>
      </w:pPr>
    </w:p>
    <w:p>
      <w:pPr>
        <w:ind w:right="120" w:firstLine="657"/>
        <w:spacing w:after="0" w:line="253" w:lineRule="auto"/>
        <w:tabs>
          <w:tab w:leader="none" w:pos="12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Investigation Cooperation</w:t>
      </w:r>
      <w:r>
        <w:rPr>
          <w:rFonts w:ascii="Times New Roman" w:cs="Times New Roman" w:eastAsia="Times New Roman" w:hAnsi="Times New Roman"/>
          <w:sz w:val="18"/>
          <w:szCs w:val="18"/>
          <w:color w:val="auto"/>
        </w:rPr>
        <w:t>. Executive agrees to cooperate with Western Digital regarding any threatened, pending or subsequently filed litigation, claims, or other disputes, or in any investigation or proceeding by any governmental agency or body, involving Western Digital that relate to matters within Executive’s knowledge or responsibility during Executive’s employment with Western Digital. Executive has disclosed to Western Digital’s General Counsel all information within Executive’s knowledge as of the date of this Agreement related to any pending or threated legal matter with which Executive has had any direct or indirect involvement. Furthermore, Executive agrees to cooperate in the prosecution of any claims and lawsuits brought by Western Digital that are currently outstanding or that may in the future be brought relating to matters which occurred during or prior to the term of Executive’s employment with Western Digital. Without limiting the foregoing, Executive agrees (a) to meet with Western Digital representatives, its counsel, or other designees at mutually convenient times and places with respect to any items with the scope of this provision;</w:t>
      </w:r>
    </w:p>
    <w:p>
      <w:pPr>
        <w:jc w:val="both"/>
        <w:ind w:firstLine="9"/>
        <w:spacing w:after="0" w:line="255"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truthful testimony regarding same to any court, agency, or other adjudicatory body; and (c) to provide Western Digital with notice of contact by any adverse party or such adverse party’s representative, except as may be required by law. Western Digital will reimburse Executive for all reasonable expenses in connection with the assistance and cooperation described in this paragraph.</w:t>
      </w:r>
    </w:p>
    <w:p>
      <w:pPr>
        <w:sectPr>
          <w:pgSz w:w="11900" w:h="16838" w:orient="portrait"/>
          <w:cols w:equalWidth="0" w:num="1">
            <w:col w:w="11140"/>
          </w:cols>
          <w:pgMar w:left="400" w:top="1417" w:right="359" w:bottom="1440" w:gutter="0" w:footer="0" w:header="0"/>
        </w:sectPr>
      </w:pPr>
    </w:p>
    <w:bookmarkStart w:id="60" w:name="page61"/>
    <w:bookmarkEnd w:id="60"/>
    <w:p>
      <w:pPr>
        <w:ind w:left="-657" w:right="20" w:firstLine="657"/>
        <w:spacing w:after="0" w:line="254"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Assistance</w:t>
      </w:r>
      <w:r>
        <w:rPr>
          <w:rFonts w:ascii="Times New Roman" w:cs="Times New Roman" w:eastAsia="Times New Roman" w:hAnsi="Times New Roman"/>
          <w:sz w:val="18"/>
          <w:szCs w:val="18"/>
          <w:color w:val="auto"/>
        </w:rPr>
        <w:t>. Executive agrees to execute every lawful document that Western Digital requests her to execute (whether or not during Executive’s employment with Western Digital) in connection with the protection of Western Digital’s intellectual property rights. Such lawful documents include, but are not limited to, declarations and assignments including declarations of inventorship for filing and prosecuting patent applications on inventions, assignments to show title to such inventions and patent applications in Western Digital or Western Digital’s designee, and assignments to show title to works of authorship and applications for copyright registration. Executive agrees that Executive shall give such further assistance, including but not limited to information and testimony pursuant to Western Digital’s request (whether or not after Executive’s Separation Date) in connection with its defense, assertion, or protection of Western Digital’s intellectual property rights. Western Digital shall reimburse Executive for all reasonable out of pocket expenses incurred in providing assistance pursuant to this provision.</w:t>
      </w:r>
    </w:p>
    <w:p>
      <w:pPr>
        <w:spacing w:after="0" w:line="191" w:lineRule="exact"/>
        <w:rPr>
          <w:rFonts w:ascii="Times New Roman" w:cs="Times New Roman" w:eastAsia="Times New Roman" w:hAnsi="Times New Roman"/>
          <w:sz w:val="18"/>
          <w:szCs w:val="18"/>
          <w:color w:val="auto"/>
        </w:rPr>
      </w:pPr>
    </w:p>
    <w:p>
      <w:pPr>
        <w:ind w:left="-657" w:firstLine="657"/>
        <w:spacing w:after="0" w:line="254"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shall not (a) directly or indirectly, make or ratify any statement, public or private, oral or written, to any person that disparages, either professionally or personally, Western Digital, as well as its directors, officers, and employees, past and present, and each of them, in each such case in his or her capacity as a service provider to Western Digital, or (b) make any statement or engage in any conduct that has the purpose of materially disrupting the business of Western Digital. In the event Western Digital receives inquiries from potential employers regarding Executive, Western Digital will provide only Executive’s dates of employment, position history, and compensation. Executive agrees that Executive will direct all reference inquiries to HR department (HR Central at 866-823-8775). Nothing herein shall in any way prohibit Executive or Western Digital from disclosing such information as may be required by law, or by judicial or administrative process or order or the rules of any securities exchange or similar self-regulatory organization applicable to Executive or Western Digital.</w:t>
      </w:r>
    </w:p>
    <w:p>
      <w:pPr>
        <w:spacing w:after="0" w:line="191" w:lineRule="exact"/>
        <w:rPr>
          <w:rFonts w:ascii="Times New Roman" w:cs="Times New Roman" w:eastAsia="Times New Roman" w:hAnsi="Times New Roman"/>
          <w:sz w:val="18"/>
          <w:szCs w:val="18"/>
          <w:color w:val="auto"/>
        </w:rPr>
      </w:pPr>
    </w:p>
    <w:p>
      <w:pPr>
        <w:ind w:left="-657" w:right="40" w:firstLine="657"/>
        <w:spacing w:after="0" w:line="258"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Provision Upon Re-employment.</w:t>
      </w:r>
      <w:r>
        <w:rPr>
          <w:rFonts w:ascii="Times New Roman" w:cs="Times New Roman" w:eastAsia="Times New Roman" w:hAnsi="Times New Roman"/>
          <w:sz w:val="18"/>
          <w:szCs w:val="18"/>
          <w:color w:val="auto"/>
        </w:rPr>
        <w:t xml:space="preserve"> Executive agrees to repay Western Digital a pro rata portion of the Separation Benefits paid to Executive under Section 2 of this Agreement if Executive obtains re-employment with Western Digital, including any of its related entities, within the period of time after execution of the Agreement as set forth in Section 2 for which Western Digital contemplates paying Executive Separation Benefits. For example, if Executive is paid two weeks of Separation Benefits, but is reemployed by Western Digital one week after Executive’s Separation Date, Executive must repay one week of Separation Benefits to Western Digital.</w:t>
      </w:r>
    </w:p>
    <w:p>
      <w:pPr>
        <w:spacing w:after="0" w:line="183" w:lineRule="exact"/>
        <w:rPr>
          <w:rFonts w:ascii="Times New Roman" w:cs="Times New Roman" w:eastAsia="Times New Roman" w:hAnsi="Times New Roman"/>
          <w:sz w:val="18"/>
          <w:szCs w:val="18"/>
          <w:color w:val="auto"/>
        </w:rPr>
      </w:pPr>
    </w:p>
    <w:p>
      <w:pPr>
        <w:ind w:left="-657" w:right="40" w:firstLine="657"/>
        <w:spacing w:after="0" w:line="261"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 Regarding Non-Assignment</w:t>
      </w:r>
      <w:r>
        <w:rPr>
          <w:rFonts w:ascii="Times New Roman" w:cs="Times New Roman" w:eastAsia="Times New Roman" w:hAnsi="Times New Roman"/>
          <w:sz w:val="18"/>
          <w:szCs w:val="18"/>
          <w:color w:val="auto"/>
        </w:rPr>
        <w:t>. Executive warrants and represents that Executive has not heretofore assigned or transferred to any person not a party to this Agreement any released matter or any part or portion thereof and Executive shall defend, indemnify and hold harmless Western Digital from and against any claim (including the payment of attorneys’ fees and costs actually incurred whether or not litigation is commenced) based on or in connection with or arising out of any such assignment or transfer made, purported or claimed.</w:t>
      </w:r>
    </w:p>
    <w:p>
      <w:pPr>
        <w:spacing w:after="0" w:line="179" w:lineRule="exact"/>
        <w:rPr>
          <w:rFonts w:ascii="Times New Roman" w:cs="Times New Roman" w:eastAsia="Times New Roman" w:hAnsi="Times New Roman"/>
          <w:sz w:val="18"/>
          <w:szCs w:val="18"/>
          <w:color w:val="auto"/>
        </w:rPr>
      </w:pPr>
    </w:p>
    <w:p>
      <w:pPr>
        <w:ind w:left="-657" w:right="60" w:firstLine="657"/>
        <w:spacing w:after="0" w:line="266"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w:t>
      </w:r>
      <w:r>
        <w:rPr>
          <w:rFonts w:ascii="Times New Roman" w:cs="Times New Roman" w:eastAsia="Times New Roman" w:hAnsi="Times New Roman"/>
          <w:sz w:val="18"/>
          <w:szCs w:val="18"/>
          <w:color w:val="auto"/>
        </w:rPr>
        <w:t>. Executive and Western Digital acknowledge that any employment or contractual relationship between them shall terminate on the Separation Date, and that they have no further employment or contractual relationship except as may arise out of this Agreement and Executive’s continued obligations under the Surviving Agreements.</w:t>
      </w:r>
    </w:p>
    <w:p>
      <w:pPr>
        <w:spacing w:after="0" w:line="175" w:lineRule="exact"/>
        <w:rPr>
          <w:rFonts w:ascii="Times New Roman" w:cs="Times New Roman" w:eastAsia="Times New Roman" w:hAnsi="Times New Roman"/>
          <w:sz w:val="18"/>
          <w:szCs w:val="18"/>
          <w:color w:val="auto"/>
        </w:rPr>
      </w:pPr>
    </w:p>
    <w:p>
      <w:pPr>
        <w:ind w:left="-657" w:right="20" w:firstLine="657"/>
        <w:spacing w:after="0" w:line="254" w:lineRule="auto"/>
        <w:tabs>
          <w:tab w:leader="none" w:pos="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 Regarding Taxes</w:t>
      </w:r>
      <w:r>
        <w:rPr>
          <w:rFonts w:ascii="Times New Roman" w:cs="Times New Roman" w:eastAsia="Times New Roman" w:hAnsi="Times New Roman"/>
          <w:sz w:val="18"/>
          <w:szCs w:val="18"/>
          <w:color w:val="auto"/>
        </w:rPr>
        <w:t>. Executive agrees that Executive shall be exclusively and fully liable for the payment of any and all federal, state, and local taxes which may be due, and tax consequences, including interest and penalties, if any, as the result of the consideration received as set forth herein. Executive agrees to indemnify Western Digital for, and to hold Western Digital harmless from, any obligation, liability, taxes, penalties, costs or attorney’s fees (collectively, the “Tax Liability”) it may incur in connection with the failure to withhold any tax, social security, FICA, or any other amounts associated with the above-referenced payment, except to the extent such Tax Liability directly results from Western Digital’s gross negligence in connection with the failure to properly withhold or report any tax, social security, FICA or other amounts associated with the above-referenced payment. Executive has not relied upon any advice from Western Digital as to the taxability of any payments hereunder, whether pursuant to federal, state or local income tax statutes or otherwise. Executive acknowledges that Western Digital does not make and has not made any representations regarding the taxability of</w:t>
      </w:r>
    </w:p>
    <w:p>
      <w:pPr>
        <w:sectPr>
          <w:pgSz w:w="11900" w:h="16838" w:orient="portrait"/>
          <w:cols w:equalWidth="0" w:num="1">
            <w:col w:w="10483"/>
          </w:cols>
          <w:pgMar w:left="1057" w:top="1417" w:right="359" w:bottom="1440" w:gutter="0" w:footer="0" w:header="0"/>
        </w:sectPr>
      </w:pPr>
    </w:p>
    <w:bookmarkStart w:id="61" w:name="page62"/>
    <w:bookmarkEnd w:id="61"/>
    <w:p>
      <w:pPr>
        <w:ind w:right="140"/>
        <w:spacing w:after="0" w:line="261" w:lineRule="auto"/>
        <w:rPr>
          <w:sz w:val="20"/>
          <w:szCs w:val="20"/>
          <w:color w:val="auto"/>
        </w:rPr>
      </w:pPr>
      <w:r>
        <w:rPr>
          <w:rFonts w:ascii="Times New Roman" w:cs="Times New Roman" w:eastAsia="Times New Roman" w:hAnsi="Times New Roman"/>
          <w:sz w:val="18"/>
          <w:szCs w:val="18"/>
          <w:color w:val="auto"/>
        </w:rPr>
        <w:t>the payment to Executive, and Executive has not relied upon any representation or advice by Western Digital on that subject. It is intended that the terms of this Agreement will not result in the imposition of any tax liability pursuant to Section 409A of the Internal Revenue Code of 1986, as amended. This Agreement shall be construed and interpreted consistent with that intent so as to avoid the imputation of any additional tax, penalty or interest under Section 409A of the Internal Revenue Code yet preserve (to the nearest extent possible) the intended benefit payable to the Executive.</w:t>
      </w:r>
    </w:p>
    <w:p>
      <w:pPr>
        <w:spacing w:after="0" w:line="180" w:lineRule="exact"/>
        <w:rPr>
          <w:sz w:val="20"/>
          <w:szCs w:val="20"/>
          <w:color w:val="auto"/>
        </w:rPr>
      </w:pPr>
    </w:p>
    <w:p>
      <w:pPr>
        <w:jc w:val="both"/>
        <w:ind w:right="40" w:firstLine="657"/>
        <w:spacing w:after="0" w:line="261"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Enforceability</w:t>
      </w:r>
      <w:r>
        <w:rPr>
          <w:rFonts w:ascii="Times New Roman" w:cs="Times New Roman" w:eastAsia="Times New Roman" w:hAnsi="Times New Roman"/>
          <w:sz w:val="18"/>
          <w:szCs w:val="18"/>
          <w:color w:val="auto"/>
        </w:rPr>
        <w:t>. If any provision of this Agreement or its application is held invalid, the invalidity shall not affect other provisions or applications of the Agreement which can be given effect without the invalid provision or application and, therefore, the provisions of this Agreement are declared to be severable. The parties agree that a waiver of a breach by the other party shall not operate or be construed as a waiver by that party of any subsequent breach of like or similar kind. No waiver shall be binding unless in writing and signed by the party waiving the breach.</w:t>
      </w:r>
    </w:p>
    <w:p>
      <w:pPr>
        <w:spacing w:after="0" w:line="179" w:lineRule="exact"/>
        <w:rPr>
          <w:rFonts w:ascii="Times New Roman" w:cs="Times New Roman" w:eastAsia="Times New Roman" w:hAnsi="Times New Roman"/>
          <w:sz w:val="18"/>
          <w:szCs w:val="18"/>
          <w:color w:val="auto"/>
        </w:rPr>
      </w:pPr>
    </w:p>
    <w:p>
      <w:pPr>
        <w:ind w:firstLine="657"/>
        <w:spacing w:after="0" w:line="255"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 Clause</w:t>
      </w:r>
      <w:r>
        <w:rPr>
          <w:rFonts w:ascii="Times New Roman" w:cs="Times New Roman" w:eastAsia="Times New Roman" w:hAnsi="Times New Roman"/>
          <w:sz w:val="18"/>
          <w:szCs w:val="18"/>
          <w:color w:val="auto"/>
        </w:rPr>
        <w:t>. This Agreement, the Surviving Agreements, and the applicable equity award plans and award agreements governing outstanding equity awards (collectively, the “Integrated Agreements”) constitute and contain the entire agreement and understanding concerning Executive’s employment and the other matters addressed herein. The parties intend the Integrated Agreements to be a complete and exclusive statement of the terms of their agreement. The parties represent and acknowledge that they do not rely and have not relied upon any representation or statement not set forth in this Agreement. The Integrated Agreements supersede and replace all prior negotiations and agreements, proposed or otherwise, whether written or oral, between the parties concerning the subject matters contained herein. This is a fully integrated document. This Agreement may be modified only with a written instrument executed by both parties.</w:t>
      </w:r>
    </w:p>
    <w:p>
      <w:pPr>
        <w:spacing w:after="0" w:line="188" w:lineRule="exact"/>
        <w:rPr>
          <w:rFonts w:ascii="Times New Roman" w:cs="Times New Roman" w:eastAsia="Times New Roman" w:hAnsi="Times New Roman"/>
          <w:sz w:val="18"/>
          <w:szCs w:val="18"/>
          <w:color w:val="auto"/>
        </w:rPr>
      </w:pPr>
    </w:p>
    <w:p>
      <w:pPr>
        <w:ind w:right="80" w:firstLine="657"/>
        <w:spacing w:after="0" w:line="282"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and facsimile copies of such signed counterparts may be used in lieu of the originals for any purpose.</w:t>
      </w:r>
    </w:p>
    <w:p>
      <w:pPr>
        <w:spacing w:after="0" w:line="161" w:lineRule="exact"/>
        <w:rPr>
          <w:rFonts w:ascii="Times New Roman" w:cs="Times New Roman" w:eastAsia="Times New Roman" w:hAnsi="Times New Roman"/>
          <w:sz w:val="18"/>
          <w:szCs w:val="18"/>
          <w:color w:val="auto"/>
        </w:rPr>
      </w:pPr>
    </w:p>
    <w:p>
      <w:pPr>
        <w:ind w:right="180" w:firstLine="657"/>
        <w:spacing w:after="0" w:line="282"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of Counsel</w:t>
      </w:r>
      <w:r>
        <w:rPr>
          <w:rFonts w:ascii="Times New Roman" w:cs="Times New Roman" w:eastAsia="Times New Roman" w:hAnsi="Times New Roman"/>
          <w:sz w:val="18"/>
          <w:szCs w:val="18"/>
          <w:color w:val="auto"/>
        </w:rPr>
        <w:t>. In entering this Agreement, the parties represent that they have had the opportunity to seek the advice of counsel of their choosing prior to executing this Agreement.</w:t>
      </w:r>
    </w:p>
    <w:p>
      <w:pPr>
        <w:spacing w:after="0" w:line="161" w:lineRule="exact"/>
        <w:rPr>
          <w:rFonts w:ascii="Times New Roman" w:cs="Times New Roman" w:eastAsia="Times New Roman" w:hAnsi="Times New Roman"/>
          <w:sz w:val="18"/>
          <w:szCs w:val="18"/>
          <w:color w:val="auto"/>
        </w:rPr>
      </w:pPr>
    </w:p>
    <w:p>
      <w:pPr>
        <w:ind w:right="140" w:firstLine="657"/>
        <w:spacing w:after="0" w:line="261"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The parties agree that each side shall bear their own costs and any attorney’s fees incurred in connection with this Agreement, other than as may be set forth in Section 2 above. However, should Executive breach any of the provisions or obligations of this Agreement, all of which are deemed material for purposes of this Section 23, Western Digital shall be entitled to recover from Executive the reasonable attorney fees and costs that Western Digital incurs in connection with any legal dispute over Executive’s breach of the Agreement.</w:t>
      </w:r>
    </w:p>
    <w:p>
      <w:pPr>
        <w:spacing w:after="0" w:line="179" w:lineRule="exact"/>
        <w:rPr>
          <w:rFonts w:ascii="Times New Roman" w:cs="Times New Roman" w:eastAsia="Times New Roman" w:hAnsi="Times New Roman"/>
          <w:sz w:val="18"/>
          <w:szCs w:val="18"/>
          <w:color w:val="auto"/>
        </w:rPr>
      </w:pPr>
    </w:p>
    <w:p>
      <w:pPr>
        <w:ind w:right="280" w:firstLine="657"/>
        <w:spacing w:after="0" w:line="266"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Supplementary Documents</w:t>
      </w:r>
      <w:r>
        <w:rPr>
          <w:rFonts w:ascii="Times New Roman" w:cs="Times New Roman" w:eastAsia="Times New Roman" w:hAnsi="Times New Roman"/>
          <w:sz w:val="18"/>
          <w:szCs w:val="18"/>
          <w:color w:val="auto"/>
        </w:rPr>
        <w:t>. All parties agree to cooperate fully and to execute any and all supplementary documents and to take all additional actions that may be necessary or appropriate to give full force to the basic terms and intent of this Agreement and which are not inconsistent with its terms.</w:t>
      </w:r>
    </w:p>
    <w:p>
      <w:pPr>
        <w:spacing w:after="0" w:line="175" w:lineRule="exact"/>
        <w:rPr>
          <w:rFonts w:ascii="Times New Roman" w:cs="Times New Roman" w:eastAsia="Times New Roman" w:hAnsi="Times New Roman"/>
          <w:sz w:val="18"/>
          <w:szCs w:val="18"/>
          <w:color w:val="auto"/>
        </w:rPr>
      </w:pPr>
    </w:p>
    <w:p>
      <w:pPr>
        <w:ind w:right="20" w:firstLine="657"/>
        <w:spacing w:after="0" w:line="282"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in Drafting</w:t>
      </w:r>
      <w:r>
        <w:rPr>
          <w:rFonts w:ascii="Times New Roman" w:cs="Times New Roman" w:eastAsia="Times New Roman" w:hAnsi="Times New Roman"/>
          <w:sz w:val="18"/>
          <w:szCs w:val="18"/>
          <w:color w:val="auto"/>
        </w:rPr>
        <w:t>. Executive and Western Digital have cooperated in the drafting and preparation of this Agreement. Hence, in any construction to be made of this Agreement, the same shall not be construed against any party on the basis that the party was the drafter.</w:t>
      </w:r>
    </w:p>
    <w:p>
      <w:pPr>
        <w:spacing w:after="0" w:line="161" w:lineRule="exact"/>
        <w:rPr>
          <w:rFonts w:ascii="Times New Roman" w:cs="Times New Roman" w:eastAsia="Times New Roman" w:hAnsi="Times New Roman"/>
          <w:sz w:val="18"/>
          <w:szCs w:val="18"/>
          <w:color w:val="auto"/>
        </w:rPr>
      </w:pPr>
    </w:p>
    <w:p>
      <w:pPr>
        <w:ind w:right="600" w:firstLine="657"/>
        <w:spacing w:after="0" w:line="282"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inserted for convenience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right="820" w:firstLine="657"/>
        <w:spacing w:after="0" w:line="282"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Governing Law</w:t>
      </w:r>
      <w:r>
        <w:rPr>
          <w:rFonts w:ascii="Times New Roman" w:cs="Times New Roman" w:eastAsia="Times New Roman" w:hAnsi="Times New Roman"/>
          <w:sz w:val="18"/>
          <w:szCs w:val="18"/>
          <w:color w:val="auto"/>
        </w:rPr>
        <w:t>. This Agreement is made and entered into in the State of California and shall in all respects be interpreted, enforced and governed under the laws of said State without regard to principles of conflict of laws.</w:t>
      </w:r>
    </w:p>
    <w:p>
      <w:pPr>
        <w:sectPr>
          <w:pgSz w:w="11900" w:h="16838" w:orient="portrait"/>
          <w:cols w:equalWidth="0" w:num="1">
            <w:col w:w="11140"/>
          </w:cols>
          <w:pgMar w:left="400" w:top="1417" w:right="359" w:bottom="1440" w:gutter="0" w:footer="0" w:header="0"/>
        </w:sectPr>
      </w:pPr>
    </w:p>
    <w:bookmarkStart w:id="62" w:name="page63"/>
    <w:bookmarkEnd w:id="62"/>
    <w:p>
      <w:pPr>
        <w:ind w:left="563" w:hanging="320"/>
        <w:spacing w:after="0" w:line="258" w:lineRule="auto"/>
        <w:tabs>
          <w:tab w:leader="none" w:pos="56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Executive has exhausted the claims and appeals procedure of the Plan with respect to any claim for benefits or for breach of fiduciary duty, any dispute regarding Executive’s employment with Western Digital or termination of such employment, and any aspect of this Agreement (including but not limited to the enforceability, unconscionability, interpretation, construction, or breach of this Agreement), shall be governed by the Western Digital Dispute Resolution Agreement, in the event an enforceable one exists between Executive and Western Digital.</w:t>
      </w:r>
    </w:p>
    <w:p>
      <w:pPr>
        <w:spacing w:after="0" w:line="183" w:lineRule="exact"/>
        <w:rPr>
          <w:rFonts w:ascii="Times New Roman" w:cs="Times New Roman" w:eastAsia="Times New Roman" w:hAnsi="Times New Roman"/>
          <w:sz w:val="18"/>
          <w:szCs w:val="18"/>
          <w:color w:val="auto"/>
        </w:rPr>
      </w:pPr>
    </w:p>
    <w:p>
      <w:pPr>
        <w:ind w:left="563" w:right="60" w:hanging="320"/>
        <w:spacing w:after="0" w:line="252" w:lineRule="auto"/>
        <w:tabs>
          <w:tab w:leader="none" w:pos="5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enforceable Western Digital Dispute Resolution Agreement between Executive and Western Digital does not exist, and provided that Executive has exhausted the claims and appeals procedure previously mentioned in this paragraph with respect to any claims for benefits or for breach of fiduciary duty, the following shall apply: Any dispute regarding Executive’s employment with Western Digital or its termination, and any aspect of this Agreement (including but not limited to the enforceability, unconscionability, interpretation, construction, or breach of this Agreement, except as expressly provided otherwise herein) shall be settled by final and binding arbitration before a single arbitrator in the county in which Executive worked in accordance with the JAMS Employment Arbitration Rules and Procedures (“Rules”) as the exclusive remedy for such dispute, and judgment upon the award rendered by the arbitrator may be entered in any court having jurisdiction thereof. A copy of the Rules can be found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The arbitration proceedings do not provide for jury trials, but for a hearing before one independent, neutral arbitrator. Therefore, in agreeing to arbitrate claims, both Executive and Western Digital and its affiliates are waiving a trial or hearing before a jury. Any claim shall be brought in the parties’ individual capacity, and not as a plaintiff or class member in any purported or actual class or collective action proceeding, and accordingly Executive waives all purported and actual class and collective action claims, unless applicable law prohibits such waiver, which itself, notwithstanding the foregoing, shall be a question for a court of competent jurisdiction to resolve. In the event of (1) a California Private Attorney General Action claim; (2) a purported or actual class or collective action claim determined to be non-waivable pursuant to applicable law; or (3) any claim determined to be non-arbitrable pursuant to applicable law, such claim(s) shall be brought as a civil action and the parties shall seek such civil action to be stayed pending resolution of all arbitrable claims in arbitration.</w:t>
      </w:r>
    </w:p>
    <w:p>
      <w:pPr>
        <w:spacing w:after="0" w:line="193" w:lineRule="exact"/>
        <w:rPr>
          <w:rFonts w:ascii="Times New Roman" w:cs="Times New Roman" w:eastAsia="Times New Roman" w:hAnsi="Times New Roman"/>
          <w:sz w:val="18"/>
          <w:szCs w:val="18"/>
          <w:color w:val="auto"/>
        </w:rPr>
      </w:pPr>
    </w:p>
    <w:p>
      <w:pPr>
        <w:ind w:left="563" w:right="300" w:hanging="320"/>
        <w:spacing w:after="0" w:line="282" w:lineRule="auto"/>
        <w:tabs>
          <w:tab w:leader="none" w:pos="5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shall be viewed as a post-employment agreement, with both Executive and Western Digital splitting equally any fees of the arbitrator and JAMS.</w:t>
      </w:r>
    </w:p>
    <w:p>
      <w:pPr>
        <w:spacing w:after="0" w:line="161" w:lineRule="exact"/>
        <w:rPr>
          <w:rFonts w:ascii="Times New Roman" w:cs="Times New Roman" w:eastAsia="Times New Roman" w:hAnsi="Times New Roman"/>
          <w:sz w:val="18"/>
          <w:szCs w:val="18"/>
          <w:color w:val="auto"/>
        </w:rPr>
      </w:pPr>
    </w:p>
    <w:p>
      <w:pPr>
        <w:ind w:left="-657" w:right="160" w:firstLine="657"/>
        <w:spacing w:after="0" w:line="266" w:lineRule="auto"/>
        <w:tabs>
          <w:tab w:leader="none" w:pos="5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Either party may apply to the arbitrator for preliminary injunctive relief until the arbitration award is rendered or the controversy is otherwise resolved. Either party also may, without waiving any remedy under this paragraph, seek from any court having jurisdiction any interim or provisional relief that is necessary to protect the rights of that party, pending the establishment of the arbitral tribunal.</w:t>
      </w:r>
    </w:p>
    <w:p>
      <w:pPr>
        <w:sectPr>
          <w:pgSz w:w="11900" w:h="16838" w:orient="portrait"/>
          <w:cols w:equalWidth="0" w:num="1">
            <w:col w:w="10503"/>
          </w:cols>
          <w:pgMar w:left="1057" w:top="1417"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read and understand the consequences of this Agreement and voluntarily sign it. The undersigned declare under penalty of perjury under the laws of the State of California that the foregoing is true and correct.</w:t>
      </w:r>
    </w:p>
    <w:p>
      <w:pPr>
        <w:spacing w:after="0" w:line="239" w:lineRule="exact"/>
        <w:rPr>
          <w:sz w:val="20"/>
          <w:szCs w:val="20"/>
          <w:color w:val="auto"/>
        </w:rPr>
      </w:pPr>
    </w:p>
    <w:p>
      <w:pPr>
        <w:ind w:left="440"/>
        <w:spacing w:after="0"/>
        <w:tabs>
          <w:tab w:leader="none" w:pos="1820" w:val="left"/>
          <w:tab w:leader="none" w:pos="2360" w:val="left"/>
          <w:tab w:leader="none" w:pos="3120" w:val="left"/>
          <w:tab w:leader="none" w:pos="3820" w:val="left"/>
        </w:tabs>
        <w:rPr>
          <w:sz w:val="20"/>
          <w:szCs w:val="20"/>
          <w:color w:val="auto"/>
        </w:rPr>
      </w:pPr>
      <w:r>
        <w:rPr>
          <w:rFonts w:ascii="Times New Roman" w:cs="Times New Roman" w:eastAsia="Times New Roman" w:hAnsi="Times New Roman"/>
          <w:sz w:val="18"/>
          <w:szCs w:val="18"/>
          <w:color w:val="auto"/>
        </w:rPr>
        <w:t>EXECUTED this</w:t>
        <w:tab/>
        <w:t>14</w:t>
      </w:r>
      <w:r>
        <w:rPr>
          <w:rFonts w:ascii="Times New Roman" w:cs="Times New Roman" w:eastAsia="Times New Roman" w:hAnsi="Times New Roman"/>
          <w:sz w:val="23"/>
          <w:szCs w:val="23"/>
          <w:color w:val="auto"/>
          <w:vertAlign w:val="superscript"/>
        </w:rPr>
        <w:t>th</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August</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0</wp:posOffset>
            </wp:positionV>
            <wp:extent cx="53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0</wp:posOffset>
            </wp:positionV>
            <wp:extent cx="334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1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"EXECUTIVE"</w:t>
      </w:r>
    </w:p>
    <w:p>
      <w:pPr>
        <w:spacing w:after="0" w:line="63" w:lineRule="exact"/>
        <w:rPr>
          <w:sz w:val="20"/>
          <w:szCs w:val="20"/>
          <w:color w:val="auto"/>
        </w:rPr>
      </w:pPr>
    </w:p>
    <w:p>
      <w:pPr>
        <w:ind w:left="3420"/>
        <w:spacing w:after="0"/>
        <w:tabs>
          <w:tab w:leader="none" w:pos="458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Mike Cordano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34290</wp:posOffset>
            </wp:positionV>
            <wp:extent cx="2468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7" w:lineRule="exact"/>
        <w:rPr>
          <w:sz w:val="20"/>
          <w:szCs w:val="20"/>
          <w:color w:val="auto"/>
        </w:rPr>
      </w:pPr>
    </w:p>
    <w:p>
      <w:pPr>
        <w:ind w:left="3420"/>
        <w:spacing w:after="0"/>
        <w:tabs>
          <w:tab w:leader="none" w:pos="45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/s/Michael D. Cordano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34290</wp:posOffset>
            </wp:positionV>
            <wp:extent cx="24688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88" w:lineRule="exact"/>
        <w:rPr>
          <w:sz w:val="20"/>
          <w:szCs w:val="20"/>
          <w:color w:val="auto"/>
        </w:rPr>
      </w:pPr>
    </w:p>
    <w:p>
      <w:pPr>
        <w:ind w:left="440"/>
        <w:spacing w:after="0"/>
        <w:tabs>
          <w:tab w:leader="none" w:pos="1820" w:val="left"/>
          <w:tab w:leader="none" w:pos="2360" w:val="left"/>
          <w:tab w:leader="none" w:pos="3120" w:val="left"/>
          <w:tab w:leader="none" w:pos="3820" w:val="left"/>
        </w:tabs>
        <w:rPr>
          <w:sz w:val="20"/>
          <w:szCs w:val="20"/>
          <w:color w:val="auto"/>
        </w:rPr>
      </w:pPr>
      <w:r>
        <w:rPr>
          <w:rFonts w:ascii="Times New Roman" w:cs="Times New Roman" w:eastAsia="Times New Roman" w:hAnsi="Times New Roman"/>
          <w:sz w:val="18"/>
          <w:szCs w:val="18"/>
          <w:color w:val="auto"/>
        </w:rPr>
        <w:t>EXECUTED this</w:t>
        <w:tab/>
        <w:t>14</w:t>
      </w:r>
      <w:r>
        <w:rPr>
          <w:rFonts w:ascii="Times New Roman" w:cs="Times New Roman" w:eastAsia="Times New Roman" w:hAnsi="Times New Roman"/>
          <w:sz w:val="23"/>
          <w:szCs w:val="23"/>
          <w:color w:val="auto"/>
          <w:vertAlign w:val="superscript"/>
        </w:rPr>
        <w:t>th</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August</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0</wp:posOffset>
            </wp:positionV>
            <wp:extent cx="539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0</wp:posOffset>
            </wp:positionV>
            <wp:extent cx="334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12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"WESTERN</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DIGITAL"</w:t>
      </w:r>
    </w:p>
    <w:p>
      <w:pPr>
        <w:spacing w:after="0" w:line="45"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18"/>
          <w:szCs w:val="18"/>
          <w:color w:val="auto"/>
        </w:rPr>
        <w:t>Print Name:</w:t>
        <w:tab/>
        <w:t>Lori Sundberg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34290</wp:posOffset>
            </wp:positionV>
            <wp:extent cx="25031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Human Resources Officer, 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34290</wp:posOffset>
            </wp:positionV>
            <wp:extent cx="25031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/s/Lori Sundberg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34290</wp:posOffset>
            </wp:positionV>
            <wp:extent cx="2503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ectPr>
          <w:pgSz w:w="11900" w:h="16838" w:orient="portrait"/>
          <w:cols w:equalWidth="0" w:num="1">
            <w:col w:w="10320"/>
          </w:cols>
          <w:pgMar w:left="400" w:top="1417" w:right="11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K. Eulau, certify that:</w:t>
      </w:r>
    </w:p>
    <w:p>
      <w:pPr>
        <w:spacing w:after="0" w:line="104" w:lineRule="exact"/>
        <w:rPr>
          <w:sz w:val="20"/>
          <w:szCs w:val="20"/>
          <w:color w:val="auto"/>
        </w:rPr>
      </w:pPr>
    </w:p>
    <w:p>
      <w:pPr>
        <w:ind w:left="520" w:hanging="188"/>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Robert K. Eulau</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ectPr>
          <w:pgSz w:w="11900" w:h="16838" w:orient="portrait"/>
          <w:cols w:equalWidth="0" w:num="1">
            <w:col w:w="11240"/>
          </w:cols>
          <w:pgMar w:left="320" w:top="887" w:right="339" w:bottom="1440" w:gutter="0" w:footer="0" w:header="0"/>
        </w:sectPr>
      </w:pPr>
    </w:p>
    <w:bookmarkStart w:id="66" w:name="page67"/>
    <w:bookmarkEnd w:id="6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40" w:firstLine="332"/>
        <w:spacing w:after="0" w:line="282" w:lineRule="auto"/>
        <w:tabs>
          <w:tab w:leader="none" w:pos="5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October 2, 2020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ectPr>
          <w:pgSz w:w="11900" w:h="16838" w:orient="portrait"/>
          <w:cols w:equalWidth="0" w:num="1">
            <w:col w:w="11240"/>
          </w:cols>
          <w:pgMar w:left="320" w:top="887" w:right="339"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340" w:firstLine="332"/>
        <w:spacing w:after="0" w:line="282" w:lineRule="auto"/>
        <w:tabs>
          <w:tab w:leader="none" w:pos="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October 2, 2020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Robert K. Eulau</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1)"/>
      <w:numFmt w:val="lowerRoman"/>
      <w:start w:val="4"/>
    </w:lvl>
  </w:abstractNum>
  <w:abstractNum w:abstractNumId="9">
    <w:nsid w:val="333AB105"/>
    <w:multiLevelType w:val="hybridMultilevel"/>
    <w:lvl w:ilvl="0">
      <w:lvlJc w:val="left"/>
      <w:lvlText w:val="†"/>
      <w:numFmt w:val="bullet"/>
      <w:start w:val="1"/>
    </w:lvl>
    <w:lvl w:ilvl="1">
      <w:lvlJc w:val="left"/>
      <w:lvlText w:val="%2"/>
      <w:numFmt w:val="decimal"/>
      <w:start w:val="104"/>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2">
    <w:nsid w:val="2D1D5AE9"/>
    <w:multiLevelType w:val="hybridMultilevel"/>
    <w:lvl w:ilvl="0">
      <w:lvlJc w:val="left"/>
      <w:lvlText w:val="(%1)"/>
      <w:numFmt w:val="lowerLetter"/>
      <w:start w:val="2"/>
    </w:lvl>
    <w:lvl w:ilvl="1">
      <w:lvlJc w:val="left"/>
      <w:lvlText w:val="%2"/>
      <w:numFmt w:val="decimal"/>
      <w:start w:val="1"/>
    </w:lvl>
    <w:lvl w:ilvl="2">
      <w:lvlJc w:val="left"/>
      <w:lvlText w:val="%3."/>
      <w:numFmt w:val="decimal"/>
      <w:start w:val="2"/>
    </w:lvl>
  </w:abstractNum>
  <w:abstractNum w:abstractNumId="13">
    <w:nsid w:val="6763845E"/>
    <w:multiLevelType w:val="hybridMultilevel"/>
    <w:lvl w:ilvl="0">
      <w:lvlJc w:val="left"/>
      <w:lvlText w:val="(%1)"/>
      <w:numFmt w:val="lowerLetter"/>
      <w:start w:val="1"/>
    </w:lvl>
    <w:lvl w:ilvl="1">
      <w:lvlJc w:val="left"/>
      <w:lvlText w:val="%2."/>
      <w:numFmt w:val="upperLetter"/>
      <w:start w:val="1"/>
    </w:lvl>
  </w:abstractNum>
  <w:abstractNum w:abstractNumId="14">
    <w:nsid w:val="75A2A8D4"/>
    <w:multiLevelType w:val="hybridMultilevel"/>
    <w:lvl w:ilvl="0">
      <w:lvlJc w:val="left"/>
      <w:lvlText w:val="%1."/>
      <w:numFmt w:val="upperLetter"/>
      <w:start w:val="4"/>
    </w:lvl>
  </w:abstractNum>
  <w:abstractNum w:abstractNumId="15">
    <w:nsid w:val="8EDBDAB"/>
    <w:multiLevelType w:val="hybridMultilevel"/>
    <w:lvl w:ilvl="0">
      <w:lvlJc w:val="left"/>
      <w:lvlText w:val="%1."/>
      <w:numFmt w:val="upperLetter"/>
      <w:start w:val="7"/>
    </w:lvl>
  </w:abstractNum>
  <w:abstractNum w:abstractNumId="16">
    <w:nsid w:val="79838CB2"/>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3"/>
    </w:lvl>
    <w:lvl w:ilvl="3">
      <w:lvlJc w:val="left"/>
      <w:lvlText w:val="%4."/>
      <w:numFmt w:val="upperLetter"/>
      <w:start w:val="1"/>
    </w:lvl>
  </w:abstractNum>
  <w:abstractNum w:abstractNumId="17">
    <w:nsid w:val="4353D0CD"/>
    <w:multiLevelType w:val="hybridMultilevel"/>
    <w:lvl w:ilvl="0">
      <w:lvlJc w:val="left"/>
      <w:lvlText w:val="%1."/>
      <w:numFmt w:val="upperLetter"/>
      <w:start w:val="2"/>
    </w:lvl>
  </w:abstractNum>
  <w:abstractNum w:abstractNumId="18">
    <w:nsid w:val="B03E0C6"/>
    <w:multiLevelType w:val="hybridMultilevel"/>
    <w:lvl w:ilvl="0">
      <w:lvlJc w:val="left"/>
      <w:lvlText w:val="%1"/>
      <w:numFmt w:val="decimal"/>
      <w:start w:val="1"/>
    </w:lvl>
    <w:lvl w:ilvl="1">
      <w:lvlJc w:val="left"/>
      <w:lvlText w:val="%2."/>
      <w:numFmt w:val="upperLetter"/>
      <w:start w:val="6"/>
    </w:lvl>
  </w:abstractNum>
  <w:abstractNum w:abstractNumId="19">
    <w:nsid w:val="189A769B"/>
    <w:multiLevelType w:val="hybridMultilevel"/>
    <w:lvl w:ilvl="0">
      <w:lvlJc w:val="left"/>
      <w:lvlText w:val="%1."/>
      <w:numFmt w:val="decimal"/>
      <w:start w:val="4"/>
    </w:lvl>
    <w:lvl w:ilvl="1">
      <w:lvlJc w:val="left"/>
      <w:lvlText w:val="%2"/>
      <w:numFmt w:val="upperLetter"/>
      <w:start w:val="1"/>
    </w:lvl>
  </w:abstractNum>
  <w:abstractNum w:abstractNumId="20">
    <w:nsid w:val="54E49EB4"/>
    <w:multiLevelType w:val="hybridMultilevel"/>
    <w:lvl w:ilvl="0">
      <w:lvlJc w:val="left"/>
      <w:lvlText w:val="%1."/>
      <w:numFmt w:val="decimal"/>
      <w:start w:val="5"/>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7"/>
    </w:lvl>
  </w:abstractNum>
  <w:abstractNum w:abstractNumId="23">
    <w:nsid w:val="836C40E"/>
    <w:multiLevelType w:val="hybridMultilevel"/>
    <w:lvl w:ilvl="0">
      <w:lvlJc w:val="left"/>
      <w:lvlText w:val="%1"/>
      <w:numFmt w:val="lowerLetter"/>
      <w:start w:val="1"/>
    </w:lvl>
    <w:lvl w:ilvl="1">
      <w:lvlJc w:val="left"/>
      <w:lvlText w:val="%2."/>
      <w:numFmt w:val="decimal"/>
      <w:start w:val="10"/>
    </w:lvl>
  </w:abstractNum>
  <w:abstractNum w:abstractNumId="24">
    <w:nsid w:val="2901D82"/>
    <w:multiLevelType w:val="hybridMultilevel"/>
    <w:lvl w:ilvl="0">
      <w:lvlJc w:val="left"/>
      <w:lvlText w:val="(%1)"/>
      <w:numFmt w:val="lowerLetter"/>
      <w:start w:val="2"/>
    </w:lvl>
    <w:lvl w:ilvl="1">
      <w:lvlJc w:val="left"/>
      <w:lvlText w:val="%2"/>
      <w:numFmt w:val="decimal"/>
      <w:start w:val="1"/>
    </w:lvl>
  </w:abstractNum>
  <w:abstractNum w:abstractNumId="25">
    <w:nsid w:val="3A95F874"/>
    <w:multiLevelType w:val="hybridMultilevel"/>
    <w:lvl w:ilvl="0">
      <w:lvlJc w:val="left"/>
      <w:lvlText w:val="%1."/>
      <w:numFmt w:val="decimal"/>
      <w:start w:val="13"/>
    </w:lvl>
  </w:abstractNum>
  <w:abstractNum w:abstractNumId="26">
    <w:nsid w:val="8138641"/>
    <w:multiLevelType w:val="hybridMultilevel"/>
    <w:lvl w:ilvl="0">
      <w:lvlJc w:val="left"/>
      <w:lvlText w:val="%1."/>
      <w:numFmt w:val="decimal"/>
      <w:start w:val="19"/>
    </w:lvl>
  </w:abstractNum>
  <w:abstractNum w:abstractNumId="27">
    <w:nsid w:val="1E7FF521"/>
    <w:multiLevelType w:val="hybridMultilevel"/>
    <w:lvl w:ilvl="0">
      <w:lvlJc w:val="left"/>
      <w:lvlText w:val="%1"/>
      <w:numFmt w:val="decimal"/>
      <w:start w:val="1"/>
    </w:lvl>
    <w:lvl w:ilvl="1">
      <w:lvlJc w:val="left"/>
      <w:lvlText w:val="%2."/>
      <w:numFmt w:val="upperLetter"/>
      <w:start w:val="1"/>
    </w:lvl>
  </w:abstractNum>
  <w:abstractNum w:abstractNumId="28">
    <w:nsid w:val="7C3DBD3D"/>
    <w:multiLevelType w:val="hybridMultilevel"/>
    <w:lvl w:ilvl="0">
      <w:lvlJc w:val="left"/>
      <w:lvlText w:val="%1."/>
      <w:numFmt w:val="decimal"/>
      <w:start w:val="28"/>
    </w:lvl>
    <w:lvl w:ilvl="1">
      <w:lvlJc w:val="left"/>
      <w:lvlText w:val="%2"/>
      <w:numFmt w:val="upp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69" Type="http://schemas.openxmlformats.org/officeDocument/2006/relationships/hyperlink" Target="http://www.sec.gov/Archives/edgar/data/106040/000095013706001502/a17011exv3w1.htm" TargetMode="External"/><Relationship Id="rId70"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2020-11-06T15:48:24Z</dcterms:created>
  <dcterms:modified xsi:type="dcterms:W3CDTF">2020-11-06T15:48:24Z</dcterms:modified>
</cp:coreProperties>
</file>