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December 28, 2018</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175260</wp:posOffset>
            </wp:positionV>
            <wp:extent cx="2967355"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6200" w:type="dxa"/>
            <w:vAlign w:val="bottom"/>
          </w:tcPr>
          <w:p>
            <w:pPr>
              <w:jc w:val="center"/>
              <w:ind w:right="4149"/>
              <w:spacing w:after="0"/>
              <w:rPr>
                <w:sz w:val="20"/>
                <w:szCs w:val="20"/>
                <w:color w:val="auto"/>
              </w:rPr>
            </w:pPr>
            <w:r>
              <w:rPr>
                <w:rFonts w:ascii="Arial" w:cs="Arial" w:eastAsia="Arial" w:hAnsi="Arial"/>
                <w:sz w:val="16"/>
                <w:szCs w:val="16"/>
                <w:b w:val="1"/>
                <w:bCs w:val="1"/>
                <w:color w:val="auto"/>
                <w:w w:val="93"/>
              </w:rPr>
              <w:t>Delaware</w:t>
            </w:r>
          </w:p>
        </w:tc>
        <w:tc>
          <w:tcPr>
            <w:tcW w:w="960" w:type="dxa"/>
            <w:vAlign w:val="bottom"/>
          </w:tcPr>
          <w:p>
            <w:pPr>
              <w:jc w:val="right"/>
              <w:ind w:right="1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1"/>
              </w:rPr>
              <w:t>(State or other jurisdiction of</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2"/>
              </w:rPr>
              <w:t>incorporation or organization)</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6200" w:type="dxa"/>
            <w:vAlign w:val="bottom"/>
          </w:tcPr>
          <w:p>
            <w:pPr>
              <w:jc w:val="center"/>
              <w:ind w:right="4149"/>
              <w:spacing w:after="0"/>
              <w:rPr>
                <w:sz w:val="20"/>
                <w:szCs w:val="20"/>
                <w:color w:val="auto"/>
              </w:rPr>
            </w:pPr>
            <w:r>
              <w:rPr>
                <w:rFonts w:ascii="Arial" w:cs="Arial" w:eastAsia="Arial" w:hAnsi="Arial"/>
                <w:sz w:val="14"/>
                <w:szCs w:val="14"/>
                <w:b w:val="1"/>
                <w:bCs w:val="1"/>
                <w:color w:val="auto"/>
                <w:w w:val="95"/>
              </w:rPr>
              <w:t>5601 Great Oaks Parkway</w:t>
            </w: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86"/>
        </w:trPr>
        <w:tc>
          <w:tcPr>
            <w:tcW w:w="6200" w:type="dxa"/>
            <w:vAlign w:val="bottom"/>
          </w:tcPr>
          <w:p>
            <w:pPr>
              <w:jc w:val="center"/>
              <w:ind w:right="4169"/>
              <w:spacing w:after="0"/>
              <w:rPr>
                <w:sz w:val="20"/>
                <w:szCs w:val="20"/>
                <w:color w:val="auto"/>
              </w:rPr>
            </w:pPr>
            <w:r>
              <w:rPr>
                <w:rFonts w:ascii="Arial" w:cs="Arial" w:eastAsia="Arial" w:hAnsi="Arial"/>
                <w:sz w:val="14"/>
                <w:szCs w:val="14"/>
                <w:b w:val="1"/>
                <w:bCs w:val="1"/>
                <w:color w:val="auto"/>
                <w:w w:val="92"/>
              </w:rPr>
              <w:t>San Jose, California</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r>
        <w:trPr>
          <w:trHeight w:val="375"/>
        </w:trPr>
        <w:tc>
          <w:tcPr>
            <w:tcW w:w="6200" w:type="dxa"/>
            <w:vAlign w:val="bottom"/>
          </w:tcPr>
          <w:p>
            <w:pPr>
              <w:ind w:left="1500"/>
              <w:spacing w:after="0"/>
              <w:rPr>
                <w:sz w:val="20"/>
                <w:szCs w:val="20"/>
                <w:color w:val="auto"/>
              </w:rPr>
            </w:pPr>
            <w:r>
              <w:rPr>
                <w:rFonts w:ascii="Arial" w:cs="Arial" w:eastAsia="Arial" w:hAnsi="Arial"/>
                <w:sz w:val="16"/>
                <w:szCs w:val="16"/>
                <w:b w:val="1"/>
                <w:bCs w:val="1"/>
                <w:color w:val="auto"/>
                <w:w w:val="91"/>
              </w:rPr>
              <w:t>Registrant’s telephone number, including area code: (408) 717-6000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158115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3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74" w:right="259" w:bottom="1440" w:gutter="0" w:footer="0" w:header="0"/>
        </w:sectPr>
      </w:pPr>
    </w:p>
    <w:p>
      <w:pPr>
        <w:spacing w:after="0" w:line="120" w:lineRule="exact"/>
        <w:rPr>
          <w:sz w:val="24"/>
          <w:szCs w:val="24"/>
          <w:color w:val="auto"/>
        </w:rPr>
      </w:pPr>
    </w:p>
    <w:p>
      <w:pPr>
        <w:jc w:val="center"/>
        <w:ind w:left="60"/>
        <w:spacing w:after="0"/>
        <w:rPr>
          <w:sz w:val="20"/>
          <w:szCs w:val="20"/>
          <w:color w:val="auto"/>
        </w:rPr>
      </w:pPr>
      <w:r>
        <w:rPr>
          <w:rFonts w:ascii="Arial" w:cs="Arial" w:eastAsia="Arial" w:hAnsi="Arial"/>
          <w:sz w:val="13"/>
          <w:szCs w:val="13"/>
          <w:color w:val="auto"/>
        </w:rPr>
        <w:t>Large accelerated filer</w:t>
      </w:r>
    </w:p>
    <w:p>
      <w:pPr>
        <w:spacing w:after="0" w:line="19" w:lineRule="exact"/>
        <w:rPr>
          <w:sz w:val="24"/>
          <w:szCs w:val="24"/>
          <w:color w:val="auto"/>
        </w:rPr>
      </w:pPr>
    </w:p>
    <w:p>
      <w:pPr>
        <w:jc w:val="cente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19" w:lineRule="exact"/>
        <w:rPr>
          <w:sz w:val="24"/>
          <w:szCs w:val="24"/>
          <w:color w:val="auto"/>
        </w:rPr>
      </w:pPr>
    </w:p>
    <w:p>
      <w:pPr>
        <w:jc w:val="center"/>
        <w:ind w:right="4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60"/>
        <w:spacing w:after="0"/>
        <w:rPr>
          <w:sz w:val="20"/>
          <w:szCs w:val="20"/>
          <w:color w:val="auto"/>
        </w:rPr>
      </w:pPr>
      <w:r>
        <w:rPr>
          <w:rFonts w:ascii="Arial" w:cs="Arial" w:eastAsia="Arial" w:hAnsi="Arial"/>
          <w:sz w:val="13"/>
          <w:szCs w:val="13"/>
          <w:color w:val="auto"/>
        </w:rPr>
        <w:t>Non-accelerated filer</w:t>
      </w:r>
    </w:p>
    <w:p>
      <w:pPr>
        <w:spacing w:after="0" w:line="19" w:lineRule="exact"/>
        <w:rPr>
          <w:sz w:val="24"/>
          <w:szCs w:val="24"/>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Smaller reporting company</w:t>
      </w:r>
    </w:p>
    <w:p>
      <w:pPr>
        <w:spacing w:after="0" w:line="19"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Emerging growth company</w:t>
      </w:r>
    </w:p>
    <w:p>
      <w:pPr>
        <w:spacing w:after="0" w:line="19" w:lineRule="exact"/>
        <w:rPr>
          <w:sz w:val="24"/>
          <w:szCs w:val="24"/>
          <w:color w:val="auto"/>
        </w:rPr>
      </w:pPr>
    </w:p>
    <w:p>
      <w:pPr>
        <w:jc w:val="center"/>
        <w:ind w:right="3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2240" w:space="720"/>
            <w:col w:w="1420" w:space="720"/>
            <w:col w:w="1380" w:space="720"/>
            <w:col w:w="1580" w:space="720"/>
            <w:col w:w="1900"/>
          </w:cols>
          <w:pgMar w:left="240" w:top="274" w:right="259" w:bottom="1440" w:gutter="0" w:footer="0" w:header="0"/>
          <w:type w:val="continuous"/>
        </w:sectPr>
      </w:pPr>
    </w:p>
    <w:p>
      <w:pPr>
        <w:spacing w:after="0" w:line="356"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the close of business on January 29, 2019, 290,850,938 shares of common stock, par value $0.01 per share, were outstanding.</w:t>
      </w:r>
    </w:p>
    <w:p>
      <w:pPr>
        <w:sectPr>
          <w:pgSz w:w="11900" w:h="16838" w:orient="portrait"/>
          <w:cols w:equalWidth="0" w:num="1">
            <w:col w:w="11400"/>
          </w:cols>
          <w:pgMar w:left="240" w:top="274"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PART I. FINANCIAL INFORMATION</w:t>
            </w: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9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Condensed Consolidated Balance Sheets — As of December 28, 2018 and June 29, 2018</w:t>
            </w:r>
          </w:p>
        </w:tc>
        <w:tc>
          <w:tcPr>
            <w:tcW w:w="160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Condensed Consolidated Statements of Operations — Three and Six Months Ended December 28, 2018 and</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29, 2017</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w w:val="91"/>
              </w:rPr>
              <w:t>Condensed Consolidated Statements of Comprehensive Income (Loss) — Three and Six Months Ended December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28, 2018 and December 29, 2017</w:t>
            </w:r>
          </w:p>
        </w:tc>
        <w:tc>
          <w:tcPr>
            <w:tcW w:w="160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Condensed Consolidated Statements of Cash Flows — Six Months Ended December 28, 2018 and December 29,</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2017</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w w:val="97"/>
              </w:rPr>
              <w:t>Condensed Consolidated Statements of Shareholders' Equity — Six Months Ended December 28, 2018 and</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December 29, 2017</w:t>
            </w:r>
          </w:p>
        </w:tc>
        <w:tc>
          <w:tcPr>
            <w:tcW w:w="1600" w:type="dxa"/>
            <w:vAlign w:val="bottom"/>
          </w:tcPr>
          <w:p>
            <w:pPr>
              <w:jc w:val="center"/>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10">
              <w:r>
                <w:rPr>
                  <w:rFonts w:ascii="Arial" w:cs="Arial" w:eastAsia="Arial" w:hAnsi="Arial"/>
                  <w:sz w:val="18"/>
                  <w:szCs w:val="18"/>
                  <w:color w:val="auto"/>
                  <w:w w:val="89"/>
                </w:rPr>
                <w:t>10</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61</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1600" w:type="dxa"/>
            <w:vAlign w:val="bottom"/>
          </w:tcPr>
          <w:p>
            <w:pPr>
              <w:jc w:val="center"/>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63</w:t>
              </w:r>
            </w:hyperlink>
          </w:p>
        </w:tc>
        <w:tc>
          <w:tcPr>
            <w:tcW w:w="0" w:type="dxa"/>
            <w:vAlign w:val="bottom"/>
          </w:tcPr>
          <w:p>
            <w:pPr>
              <w:spacing w:after="0"/>
              <w:rPr>
                <w:sz w:val="1"/>
                <w:szCs w:val="1"/>
                <w:color w:val="auto"/>
              </w:rPr>
            </w:pPr>
          </w:p>
        </w:tc>
      </w:tr>
      <w:tr>
        <w:trPr>
          <w:trHeight w:val="594"/>
        </w:trPr>
        <w:tc>
          <w:tcPr>
            <w:tcW w:w="880" w:type="dxa"/>
            <w:vAlign w:val="bottom"/>
          </w:tcPr>
          <w:p>
            <w:pPr>
              <w:spacing w:after="0"/>
              <w:rPr>
                <w:sz w:val="24"/>
                <w:szCs w:val="24"/>
                <w:color w:val="auto"/>
              </w:rPr>
            </w:pPr>
          </w:p>
        </w:tc>
        <w:tc>
          <w:tcPr>
            <w:tcW w:w="894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64">
              <w:r>
                <w:rPr>
                  <w:rFonts w:ascii="Arial" w:cs="Arial" w:eastAsia="Arial" w:hAnsi="Arial"/>
                  <w:sz w:val="18"/>
                  <w:szCs w:val="18"/>
                  <w:color w:val="auto"/>
                  <w:w w:val="89"/>
                </w:rPr>
                <w:t>64</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600" w:type="dxa"/>
            <w:vAlign w:val="bottom"/>
          </w:tcPr>
          <w:p>
            <w:pPr>
              <w:jc w:val="center"/>
              <w:spacing w:after="0"/>
              <w:rPr>
                <w:rFonts w:ascii="Arial" w:cs="Arial" w:eastAsia="Arial" w:hAnsi="Arial"/>
                <w:sz w:val="18"/>
                <w:szCs w:val="18"/>
                <w:color w:val="auto"/>
                <w:w w:val="89"/>
              </w:rPr>
            </w:pPr>
            <w:hyperlink w:anchor="page64">
              <w:r>
                <w:rPr>
                  <w:rFonts w:ascii="Arial" w:cs="Arial" w:eastAsia="Arial" w:hAnsi="Arial"/>
                  <w:sz w:val="18"/>
                  <w:szCs w:val="18"/>
                  <w:color w:val="auto"/>
                  <w:w w:val="89"/>
                </w:rPr>
                <w:t>64</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87">
              <w:r>
                <w:rPr>
                  <w:rFonts w:ascii="Arial" w:cs="Arial" w:eastAsia="Arial" w:hAnsi="Arial"/>
                  <w:sz w:val="18"/>
                  <w:szCs w:val="18"/>
                  <w:color w:val="auto"/>
                  <w:w w:val="89"/>
                </w:rPr>
                <w:t>87</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600" w:type="dxa"/>
            <w:vAlign w:val="bottom"/>
          </w:tcPr>
          <w:p>
            <w:pPr>
              <w:jc w:val="center"/>
              <w:spacing w:after="0"/>
              <w:rPr>
                <w:rFonts w:ascii="Arial" w:cs="Arial" w:eastAsia="Arial" w:hAnsi="Arial"/>
                <w:sz w:val="18"/>
                <w:szCs w:val="18"/>
                <w:color w:val="auto"/>
                <w:w w:val="89"/>
              </w:rPr>
            </w:pPr>
            <w:hyperlink w:anchor="page87">
              <w:r>
                <w:rPr>
                  <w:rFonts w:ascii="Arial" w:cs="Arial" w:eastAsia="Arial" w:hAnsi="Arial"/>
                  <w:sz w:val="18"/>
                  <w:szCs w:val="18"/>
                  <w:color w:val="auto"/>
                  <w:w w:val="89"/>
                </w:rPr>
                <w:t>87</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87">
              <w:r>
                <w:rPr>
                  <w:rFonts w:ascii="Arial" w:cs="Arial" w:eastAsia="Arial" w:hAnsi="Arial"/>
                  <w:sz w:val="18"/>
                  <w:szCs w:val="18"/>
                  <w:color w:val="auto"/>
                  <w:w w:val="89"/>
                </w:rPr>
                <w:t>87</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spacing w:after="0"/>
              <w:rPr>
                <w:rFonts w:ascii="Arial" w:cs="Arial" w:eastAsia="Arial" w:hAnsi="Arial"/>
                <w:sz w:val="18"/>
                <w:szCs w:val="18"/>
                <w:color w:val="auto"/>
                <w:w w:val="89"/>
              </w:rPr>
            </w:pPr>
            <w:hyperlink w:anchor="page87">
              <w:r>
                <w:rPr>
                  <w:rFonts w:ascii="Arial" w:cs="Arial" w:eastAsia="Arial" w:hAnsi="Arial"/>
                  <w:sz w:val="18"/>
                  <w:szCs w:val="18"/>
                  <w:color w:val="auto"/>
                  <w:w w:val="89"/>
                </w:rPr>
                <w:t>87</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600" w:type="dxa"/>
            <w:vAlign w:val="bottom"/>
            <w:shd w:val="clear" w:color="auto" w:fill="CCEEFF"/>
          </w:tcPr>
          <w:p>
            <w:pPr>
              <w:jc w:val="center"/>
              <w:spacing w:after="0"/>
              <w:rPr>
                <w:rFonts w:ascii="Arial" w:cs="Arial" w:eastAsia="Arial" w:hAnsi="Arial"/>
                <w:sz w:val="18"/>
                <w:szCs w:val="18"/>
                <w:color w:val="auto"/>
                <w:w w:val="89"/>
              </w:rPr>
            </w:pPr>
            <w:hyperlink w:anchor="page87">
              <w:r>
                <w:rPr>
                  <w:rFonts w:ascii="Arial" w:cs="Arial" w:eastAsia="Arial" w:hAnsi="Arial"/>
                  <w:sz w:val="18"/>
                  <w:szCs w:val="18"/>
                  <w:color w:val="auto"/>
                  <w:w w:val="89"/>
                </w:rPr>
                <w:t>87</w:t>
              </w:r>
            </w:hyperlink>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8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jc w:val="both"/>
        <w:ind w:right="500" w:firstLine="324"/>
        <w:spacing w:after="0" w:line="221" w:lineRule="exact"/>
        <w:rPr>
          <w:sz w:val="20"/>
          <w:szCs w:val="20"/>
          <w:color w:val="auto"/>
        </w:rPr>
      </w:pPr>
      <w:r>
        <w:rPr>
          <w:rFonts w:ascii="Arial" w:cs="Arial" w:eastAsia="Arial" w:hAnsi="Arial"/>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Arial" w:cs="Arial" w:eastAsia="Arial" w:hAnsi="Arial"/>
          <w:sz w:val="18"/>
          <w:szCs w:val="18"/>
          <w:i w:val="1"/>
          <w:iCs w:val="1"/>
          <w:color w:val="auto"/>
        </w:rPr>
        <w:t>www.wdc.com</w:t>
      </w:r>
      <w:r>
        <w:rPr>
          <w:rFonts w:ascii="Arial" w:cs="Arial" w:eastAsia="Arial" w:hAnsi="Arial"/>
          <w:sz w:val="18"/>
          <w:szCs w:val="18"/>
          <w:color w:val="auto"/>
        </w:rPr>
        <w:t>. The information on our website is not incorporated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2"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Western Digital, WD, SanDisk, Tegile, and Upthere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expectations regarding our Flash Ventures joint venture with Toshiba Memory Corporation, the flash industry and our flash wafer output plans;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cost and expense reduction actions;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 and share repurchase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product development and technology plans;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our future results of operations;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the impact of the Tax Cuts and Jobs Act enacted on December 22, 2017 on the Company;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beliefs regarding the sufficiency of our available liquidity to meet our working capital, our debt and debt covenants, our dividend plans and our capital expenditure needs.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December 28,</w:t>
      </w:r>
      <w:r>
        <w:rPr>
          <w:sz w:val="20"/>
          <w:szCs w:val="20"/>
          <w:color w:val="auto"/>
        </w:rPr>
        <w:tab/>
      </w:r>
      <w:r>
        <w:rPr>
          <w:rFonts w:ascii="Arial" w:cs="Arial" w:eastAsia="Arial" w:hAnsi="Arial"/>
          <w:sz w:val="12"/>
          <w:szCs w:val="12"/>
          <w:b w:val="1"/>
          <w:bCs w:val="1"/>
          <w:color w:val="auto"/>
        </w:rPr>
        <w:t>June 29,</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7, 9, 11 and 14)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380"/>
        <w:spacing w:after="0" w:line="293" w:lineRule="auto"/>
        <w:rPr>
          <w:sz w:val="20"/>
          <w:szCs w:val="20"/>
          <w:color w:val="auto"/>
        </w:rPr>
      </w:pPr>
      <w:r>
        <w:rPr>
          <w:rFonts w:ascii="Arial" w:cs="Arial" w:eastAsia="Arial" w:hAnsi="Arial"/>
          <w:sz w:val="16"/>
          <w:szCs w:val="16"/>
          <w:color w:val="auto"/>
        </w:rPr>
        <w:t>Common stock, $0.01 par value; authorized — 450 shares; issued — 312 shares; outstanding — 291 shares and 296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21 shares and 16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4,013</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1,715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2,197</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3,427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587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9,742</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10,638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3,077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3,095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2,318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2,105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10,074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10,075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2,148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2,680</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580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642</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27,939</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29,235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1,925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2,265</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310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1,526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345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244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4,350</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4,456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10,370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10,993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2,307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2,255</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17,027</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17,704</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4,062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4,254</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8,532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8,757</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(1,650)</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-3340100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27,939</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29,235</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260" w:type="dxa"/>
            <w:vAlign w:val="bottom"/>
          </w:tcPr>
          <w:p>
            <w:pPr>
              <w:jc w:val="right"/>
              <w:ind w:right="240"/>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5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10,517</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3,189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3,323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6,591</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3,926</w:t>
            </w: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1,221</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745</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2,066</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1,860</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Interest and other income (expense):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Total interest and other expense, net</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1,626</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(0.48)</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295</w:t>
            </w: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Cash dividends declared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1.00</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5160" w:type="dxa"/>
        <w:tblCellMar>
          <w:top w:w="0" w:type="dxa"/>
          <w:left w:w="0" w:type="dxa"/>
          <w:bottom w:w="0" w:type="dxa"/>
          <w:right w:w="0" w:type="dxa"/>
        </w:tblCellMar>
      </w:tblPr>
      <w:tr>
        <w:trPr>
          <w:trHeight w:val="192"/>
        </w:trPr>
        <w:tc>
          <w:tcPr>
            <w:tcW w:w="31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0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154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46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2"/>
              </w:rPr>
              <w:t>December 29,</w:t>
            </w:r>
          </w:p>
        </w:tc>
      </w:tr>
      <w:tr>
        <w:trPr>
          <w:trHeight w:val="186"/>
        </w:trPr>
        <w:tc>
          <w:tcPr>
            <w:tcW w:w="15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5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5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4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pension gain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unrealized gain on derivative contracts and available-for-sale securities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other comprehensive income,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40" w:right="440"/>
        <w:spacing w:after="0" w:line="288" w:lineRule="auto"/>
        <w:rPr>
          <w:sz w:val="20"/>
          <w:szCs w:val="20"/>
          <w:color w:val="auto"/>
        </w:rPr>
      </w:pPr>
      <w:r>
        <w:rPr>
          <w:rFonts w:ascii="Arial" w:cs="Arial" w:eastAsia="Arial" w:hAnsi="Arial"/>
          <w:sz w:val="16"/>
          <w:szCs w:val="16"/>
          <w:color w:val="auto"/>
        </w:rPr>
        <w:t>Income tax benefit (expense) related to items of other comprehensive income, before tax</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5"/>
              </w:rPr>
              <w:t>(487)</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7"/>
                <w:szCs w:val="17"/>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54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31</w:t>
            </w:r>
          </w:p>
        </w:tc>
        <w:tc>
          <w:tcPr>
            <w:tcW w:w="5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39</w:t>
            </w:r>
          </w:p>
        </w:tc>
        <w:tc>
          <w:tcPr>
            <w:tcW w:w="5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459"/>
        </w:trPr>
        <w:tc>
          <w:tcPr>
            <w:tcW w:w="54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-441325</wp:posOffset>
            </wp:positionV>
            <wp:extent cx="951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5520" w:space="720"/>
            <w:col w:w="51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5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51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26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1,068</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 to related parties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and liabilities, net</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Acquisitions, net of cash acquired</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sale of investments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Strategic investments and other, net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r>
      <w:tr>
        <w:trPr>
          <w:trHeight w:val="25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Repayment of revolving credit facility</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shareholders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Settlement of debt hedge contracts</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debt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debt</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2,963</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(1,438)</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(1,391)</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00" w:type="dxa"/>
            <w:vAlign w:val="bottom"/>
          </w:tcPr>
          <w:p>
            <w:pPr>
              <w:spacing w:after="0"/>
              <w:rPr>
                <w:sz w:val="21"/>
                <w:szCs w:val="21"/>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6,354</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6,272</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42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422"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29, 2018</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4,254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8,757</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Adoption of New Accounting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Standards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28, 2018</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11,375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Actuarial pension gain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Net unrealized gain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contracts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28, 2018</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10,912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4"/>
                <w:szCs w:val="4"/>
                <w:color w:val="auto"/>
              </w:rPr>
            </w:pPr>
          </w:p>
        </w:tc>
        <w:tc>
          <w:tcPr>
            <w:tcW w:w="1020" w:type="dxa"/>
            <w:vAlign w:val="bottom"/>
            <w:gridSpan w:val="2"/>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136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65"/>
        </w:trPr>
        <w:tc>
          <w:tcPr>
            <w:tcW w:w="230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2017</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8,633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11,418</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Adoption of New Accounting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Standards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Net unrealized gain on derivative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80"/>
              <w:spacing w:after="0" w:line="149" w:lineRule="exact"/>
              <w:rPr>
                <w:sz w:val="20"/>
                <w:szCs w:val="20"/>
                <w:color w:val="auto"/>
              </w:rPr>
            </w:pPr>
            <w:r>
              <w:rPr>
                <w:rFonts w:ascii="Arial" w:cs="Arial" w:eastAsia="Arial" w:hAnsi="Arial"/>
                <w:sz w:val="14"/>
                <w:szCs w:val="14"/>
                <w:color w:val="auto"/>
              </w:rPr>
              <w:t>contracts and available-for-sale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securities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29, 2017</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12,059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64"/>
        </w:trPr>
        <w:tc>
          <w:tcPr>
            <w:tcW w:w="230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to shareholders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7"/>
        </w:trPr>
        <w:tc>
          <w:tcPr>
            <w:tcW w:w="230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unrealized gain on derivative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contracts and available-for-sale</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29, 2017</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8,250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11,272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ind w:left="280" w:right="272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industry and the infrastructure that enables the proliferation of data in virtually every other industry. The Company’s broad portfolio of technology and products address the following key markets: Client Devices; Data Center Devices and Solutions; and Client Solutions. The Company also generates license and royalty revenue related to its intellectual property (“IP”), which is included in each of these three categories.</w:t>
      </w:r>
    </w:p>
    <w:p>
      <w:pPr>
        <w:spacing w:after="0" w:line="188"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 xml:space="preserve">The accounting policies followed by the Company are set forth in Part II, Item 8, Note 1, </w:t>
      </w:r>
      <w:r>
        <w:rPr>
          <w:rFonts w:ascii="Arial" w:cs="Arial" w:eastAsia="Arial" w:hAnsi="Arial"/>
          <w:sz w:val="17"/>
          <w:szCs w:val="17"/>
          <w:i w:val="1"/>
          <w:iCs w:val="1"/>
          <w:color w:val="auto"/>
        </w:rPr>
        <w:t>Organization and Basis of Presentation,</w:t>
      </w:r>
      <w:r>
        <w:rPr>
          <w:rFonts w:ascii="Arial" w:cs="Arial" w:eastAsia="Arial" w:hAnsi="Arial"/>
          <w:sz w:val="17"/>
          <w:szCs w:val="17"/>
          <w:color w:val="auto"/>
        </w:rPr>
        <w:t xml:space="preserve">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29, 2018.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29, 2018. The results of operations for interim periods are not necessarily indicative of results to be expected for the full year.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Company’s fiscal year ends on the Friday nearest to June 30 and typically consists of 52 weeks. Fiscal years 2019, which ends on June 28, 2019, and 2018, which ended on June 29, 2018, are each comprised of 52 weeks, with all quarters presented consisting of 13 weeks. Fiscal year 2020, which ends on July 3, 2020, will be comprised of 53 weeks, with the first quarter consisting of 14 weeks and the remaining quarters consisting of 13 weeks each.</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August 29, 2018, the Financial Accounting Standards Board (“FASB”) issued Accounting Standards Update (“ASU”) No. 2018-15, “Customer’s Accounting for Implementation Costs Incurred in a Cloud Computing Arrangement That Is a Service Contract” (“ASU 2018-15”), to reduce diversity in practice in accounting for the costs of implementing cloud computing arrangements that are service contracts. ASU 2018-15 allows entities to apply the guidance in the FASB Accounting Standards Codification (“ASC”) 350-40 to determine which implementation costs are eligible to be capitalized as assets in a cloud computing arrangement that is considered a service contract. The Company adopted this standard on a prospective basis effective June 30, 2018, the beginning of fiscal year 2019, as allowed by the standard. The adoption of this standard and the costs capitalized for the six months ended December 28, 2018 were not material to the Company’s Condensed Consolidated Financial Statements.</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(“ASU 2018-02”). ASU 2018-02 allows a reclassification from accumulated other comprehensive income to retained earnings for stranded tax effects resulting from the Tax Cuts and Jobs Act enacted on December 22, 2017 (the “2017 Act”). Consequently, the amendments eliminate the stranded tax effects resulting from the 2017 Act and will improve the usefulness of information reported to financial statement users. Because the amendments only relate to the reclassification of the income tax effects of the 2017 Act, the underlying guidance that requires that the effect of a change in tax laws or rates be included in income from continuing operations is not affected. For tax effects that are unrelated to the 2017 Act, the Company’s policy to release these from Accumulated other comprehensive loss on an individual item basis rather than a portfolio basis remains unchanged. The Company early adopted this standard effective June 30, 2018 and elected to reclassify stranded tax effects resulting from the 2017 Act from Accumulated other comprehensive loss to Retained earnings. The adoption of this standard did not have a material impact on the Company’s Condensed Consolidated Financial Statements.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(“ASU 2017-12”). ASU 2017-12 simplifies hedge accounting through changes to both designation and measurement requirements. For hedges that qualify as highly effective, the new standard eliminates the requirement to separately measure and record hedge ineffectiveness with the entire change in fair value of designated hedge reported in the results of operations in the same line item as the hedged item. The Company early adopted this standard effective June 30, 2018, using the modified retrospective approach. The adoption of this standard did not have a material impact on the Company’s Condensed Consolidated Financial Statements.</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 2017-09”). ASU 2017-09 provides clarification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Company adopted this standard on a prospective basis effective June 30, 2018. The adoption of this standard did not have a material impact on the Company’s Condensed Consolidated Financial Statements.</w:t>
      </w:r>
    </w:p>
    <w:p>
      <w:pPr>
        <w:spacing w:after="0" w:line="1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March 2017, the FASB issued ASU No. 2017-07, “Compensation-Retirement Benefits (Topic 715): Improving the Presentation of Net Periodic Pension Cost and Net Periodic Postretirement Benefit Cost” (“ASU 2017-07”). ASU 2017-07 requires that the Company report the service cost component in the same line item or items as other compensation costs arising from services rendered by the pertinent employees during the period. In addition, the other components of net benefit cost are now presented in Other income (expense), net in the Condensed Consolidated Statements of Operations. The Company adopted this standard effective June 30, 2018. The adoption of this standard did not have a material impact on the Company’s Condensed Consolidated Financial Statements.</w:t>
      </w:r>
    </w:p>
    <w:p>
      <w:pPr>
        <w:spacing w:after="0" w:line="193"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(“ASU 2017-01”). ASU 2017-01 narrows the definition of a “business.” This standard provides guidance to assist entities with evaluating when a set of transferred assets and activities is a business. The Company adopted this standard effective June 30, 2018, and will apply it prospectively to transactions occurring thereafter. The adoption of this standard did not have a material impact on the Company’s Condensed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October 2016, the FASB issued ASU No. 2016-16, “Income Taxes (Topic 740): Intra-Entity Transfers of Assets Other Than Inventory” (“ASU 2016-16”). ASU 2016-16 removes the prohibition in the FASB ASC Topic 740 against the immediate recognition of the current and deferred income tax effects of intra-entity transfers of assets other than inventory. The new standard is intended to reduce the complexity and diversity in practice related to the tax consequences of certain types of intra-entity asset transfers, particularly those involving IP. The Company adopted this standard effective June 30, 2018. The adoption of this standard did not have a material impact on the Company’s Condensed Consolidated Financial Statements.</w:t>
      </w:r>
    </w:p>
    <w:p>
      <w:pPr>
        <w:spacing w:after="0" w:line="158"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In January 2016, the FASB issued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Marketable equity securities previously classified as available-for-sale equity investments are now measured and recorded at fair value with changes in fair value recorded within Other income (expense), net in the Condensed Consolidated Statements of Operations rather than as a component of Other comprehensive income as in prior years. In addition, the FASB clarified guidance related to the valuation allowance assessment when recognizing deferred tax assets resulting from unrealized losses on available-for-sale debt securities. The Company adopted this standard effective June 30, 2018. The adoption of this standard did not have a material impact on the Company’s Condensed Consolidated Financial Statements.</w:t>
      </w:r>
    </w:p>
    <w:p>
      <w:pPr>
        <w:spacing w:after="0" w:line="17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In May 2014, the FASB issued ASU No. 2014-09, “Revenue from Contracts with Customers (Topic 606),” which superseded the requirements in ASC 605 “Revenue Recognition” (Topic 605). Topic 606 outlines a comprehensive five-step revenue recognition model based on the principle that an entity should recognize revenue when control of the promised goods or services is transferred to customers at an amount that reflects the consideration to which the Company expects to be entitled in exchange for those goods or services. Topic 606 also requires more detailed disclosures to enable users of financial statements to understand the nature, amount, timing, and uncertainty of revenue and cash flows arising from contracts with customers. The Company adopted Topic 606 effective June 30, 2018, using the modified retrospective method to all contracts that were not completed contracts as of the beginning of the fiscal year. Results for reporting periods beginning with fiscal year 2019 are presented under Topic 606, while prior period information presented on the financial statements or elsewhere in this Quarterly Report on Form 10-Q is reported under the Company’s historic accounting policies under Topic 605 in effect for that period and is not adjusted to reflect the retrospective effect of the adoption of Topic 606. The cumulative effect of adopting Topic 606 was a post-tax increase to the opening retained earnings of $56 million as of June 30, 2018, which was primarily related to our license and royalty revenue arrangements. These arrangements had no remaining performance obligations but were previously recognized under Topic 605 when they were reported to the Company by its licensees, which was generally one quarter in arrears from the licensees’ sales of the licensed products. Adoption of the standard did not have a material impact on the Company’s financial position, results of operations, and cash flows, as of or for the three and six months ended December 28, 2018, and the Company expects that the impact of the adoption of the new standard will not be material to its results of operations prospectively. See Note 3, </w:t>
      </w:r>
      <w:r>
        <w:rPr>
          <w:rFonts w:ascii="Arial" w:cs="Arial" w:eastAsia="Arial" w:hAnsi="Arial"/>
          <w:sz w:val="17"/>
          <w:szCs w:val="17"/>
          <w:i w:val="1"/>
          <w:iCs w:val="1"/>
          <w:color w:val="auto"/>
        </w:rPr>
        <w:t>Revenues</w:t>
      </w:r>
      <w:r>
        <w:rPr>
          <w:rFonts w:ascii="Arial" w:cs="Arial" w:eastAsia="Arial" w:hAnsi="Arial"/>
          <w:sz w:val="17"/>
          <w:szCs w:val="17"/>
          <w:color w:val="auto"/>
        </w:rPr>
        <w:t>, for additional disclosures related to this standard.</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October 2018, the FASB issued ASU No. 2018-16, “Derivatives and Hedging (Topic 815): Inclusion of the Secured Overnight Financing Rate (SOFR) Overnight Index Swap (OIS) Rate as a Benchmark Interest Rate for Hedge Accounting Purposes” (“ASU 2018-16”). ASU 2018-16 allows for the use of the OIS rate based on the SOFR as a U.S. benchmark interest rate for hedge accounting purposes under Topic 815, Derivatives and Hedging. For public entities who have adopted ASU 2017-12, the amendments are effective for fiscal years, and interim periods within those fiscal years, beginning after December 15, 2018, which for the Company is the first quarter of fiscal 2020. The Company is currently evaluating the impact this update will have on its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(“ASU 2016-13”). ASU 2016-13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current U.S. GAAP with a methodology that reflects current expected credit losses and requires consideration of a broader range of reasonable and supportable information to inform credit loss estimates. The amendments are effective for fiscal years, and interim periods within those fiscal years, beginning after December 15, 2019, which for the Company is the first quarter of fiscal 2021. The Company is currently evaluating the impact this update will have on its Consolidated Financial Statements.</w:t>
      </w:r>
    </w:p>
    <w:p>
      <w:pPr>
        <w:spacing w:after="0" w:line="178"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February 2016, the FASB issued ASU No. 2016-02, “Leases (Topic 842)” (“ASU 2016-02”). ASU 2016-02 supersedes ASC 840 “Leases”. The amendments in this update require, among other things, that lessees recognize the following for all leases (unless a policy election is made by class of underlying asset to exclude short-term leases) at the commencement date: (1) a lease liability, which is a lessee’s obligation to make lease payments arising from a lease, measured on a discounted basis; and (2) a right-of-use asset, which is an asset that represents the lessee’s right to use, or the direct use of, a specified asset for the lease term. The FASB issued ASU 2018-11 on July 30, 2018, which allows entities to apply the provisions of ASC 842 at the effective date without adjusting comparative periods. The standard is effective for interim and annual reporting periods beginning after December 15, 2018, with early adoption permitted. The Company’s cross-functional project management team continues to identify and evaluate the impact of the amended guidance on the Company's Consolidated Financial Statements and related disclosures, business processes, internal controls, and information systems. The Company has identified its leases and selected a third-party lease accounting software solution. The Company is in the process of implementing its lease accounting software solution and changes to its processes and internal controls to address the new lease standard. The Company’s implementation efforts are progressing as planned. The Company expects to adopt this standard in the first quarter of fiscal 2020 and elect the transition method provided in ASU 2018-11 to apply Topic 842 as of the date of adoption without adjusting comparative periods. The Company continues to evaluate the impact ASU 2016-02 will have on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offers a broad range of data storage products that include Client Devices, Data Center Devices and Solutions, and Client Solutions. Client Devices consist of hard disk drives (“HDDs”) and solid state drives (“SSDs”) for computing devices; flash-based embedded storage products; and flash-based memory wafers. Data Center Devices and Solutions consist of high-capacity enterprise HDDs and high-performance enterprise SSDs, data center software and system solutions. Client Solutions consist of HDDs and SSDs embedded into external storage products and removable flash-based products. The Company also generates license and royalty revenues related to its IP patent licenses which are not material.</w:t>
      </w:r>
    </w:p>
    <w:p>
      <w:pPr>
        <w:spacing w:after="0" w:line="17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constrained based on the Company’s history with similar transactions and that uncertainties are resolved in a fairly short period of time.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Substantially all of the Company’s revenue is from the sale of tangible products for which the performance obligations are satisfied at a point in time, generally upon delivery. The Company’s services revenue mainly includes post contract customer support, warranty as a service and maintenance contracts. The performance obligations for the Company’s services are generally satisfied ratably over the service period based on the nature of the service provided and contract terms. Similarly, revenue from patent licensing arrangements is recognized based on whether the arrangement provides the customer a right to use or right to access the IP. Revenue for a right to use arrangement is recognized at the time the control of the license is transferred to the customer. Revenue for a right to access arrangement is recognized over the contract period using the time lapse method. For the sales-based royalty arrangements, the Company estimates and recognizes revenue in the period in which customers’ licensable sales occur.</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customer payment terms are typically less than three months from the date control over the product or service is transferred to the customer. The Company uses the practical expedient and does not recognize a significant financing component for payment considerations of less than one year. The financing components of contracts with payment terms were not material.</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provides distributors and retailers (collectively referred to as “resellers”) with limited price protection for inventories held by resellers at the time of published list price reductions and/or a right of return. The Company also provides resellers and original equipment manufacturers (“OEMs”) with other sales incentive programs. The Company uses judgment in its assessment of variable consideration in contracts to be included in the transaction price. The Company uses the expected value method to arrive at the amount of variable consideration. The Company believes the estimate of variable consideration is not constrained and that the expected value method is the appropriate estimate of the amount of variable consideration based on the fact that the Company has a large number of contracts with similar characteristics. The Company’s methodology for the estimates is based on several factors, including anticipated price decreases during the reseller holding period, resellers’ sell-through and inventory levels, estimated amounts to be reimbursed to qualifying customers, historical pricing information, historical and anticipated returns information and customer claim processing. The Company also has programs under which it reimburses qualified distributors and retailers for certain marketing expenditures, which are typically recorded as a reduction of the transaction price and, therefore, of revenue.</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An immaterial amount of the Company’s revenue arrangements include more than one performance obligation, which are typically comprised of tangible products, software and support services for multiple distinct licenses. For these multiple-element arrangements,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The Company allocates the transaction price to the performance obligations of each distinct product or service, or distinct bundle, based on their relative standalone selling prices. Where a separate standalone selling price is not available, the transaction price is based on the Company’s best estimate of the selling price. The Company uses one or a combination of more than one of the following methods to estimate the standalone selling price: the adjusted market assessment approach, the expected cost plus a margin approach, or another suitable method based on the facts and circumstances.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Contract assets represent the Company’s rights to consideration where performance obligations are completed but the customer payments are not due until another performance obligation is satisfied. The Company did not have any contract assets as of either December 28, 2018 or the date of adoption of Topic 606.</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Prior to the adoption of the new revenue standard, the Company’s policy was to expense all contract acquisition costs as incurred. Other direct incremental costs to obtain contracts that have an expected benefit of greater than one year are amortized over the period of expected cash flows from the related contracts, and the amortization expense is recorded as a reduction to revenue. Total capitalized contract costs and the related amortization as of and for the three and six months ended December 28, 2018 were not material.</w:t>
      </w:r>
    </w:p>
    <w:p>
      <w:pPr>
        <w:spacing w:after="0" w:line="16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Contract liabilities relate to customers’ payments in advance of performance under the contract and primarily relate to remaining performance obligations under support and maintenance contracts. As of December 28, 2018 and the date of adoption of Topic 606, contract liabilities were $53 million and $120 million, respectively, and were reflected in Accrued expenses. Changes in the contract liability balance during the six months ended December 28, 2018 include $80 million of revenue recognized during the period of which the substantial majority relates to the balance that was deferred at June 29, 2018, partially offset by payments received and billings in advance of satisfying performance obligations.</w:t>
      </w:r>
    </w:p>
    <w:p>
      <w:pPr>
        <w:spacing w:after="0" w:line="17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IP license arrangements, which typically range longer than one year. Remaining performance obligations are mainly attributed to right-to-access patent license arrangements and customer support and service contracts which will be recognized over the remaining contract period. The transaction price allocated to the remaining performance obligations as of December 28, 2018 was $220 million, which is mainly attributable to the functional IP license and service arrangements. The Company expects to recognize this amount as revenue as follows: $40 million during the remainder of fiscal 2019, $60 million in fiscal 2020, $46 million in fiscal 2021 and $74 million thereafter.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disaggregated revenue information is as follows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16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29, 2017</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December 29, 2017</w:t>
            </w:r>
          </w:p>
        </w:tc>
      </w:tr>
      <w:tr>
        <w:trPr>
          <w:trHeight w:val="190"/>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5"/>
          </w:tcPr>
          <w:p>
            <w:pPr>
              <w:ind w:left="50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by End Market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Client Devices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2,214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2,647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4,864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5,323</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Data Center Devices &amp;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2,803</w:t>
            </w: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Client Solutions</w:t>
            </w: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2,391</w:t>
            </w:r>
          </w:p>
        </w:tc>
      </w:tr>
      <w:tr>
        <w:trPr>
          <w:trHeight w:val="33"/>
        </w:trPr>
        <w:tc>
          <w:tcPr>
            <w:tcW w:w="1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10,517</w:t>
            </w:r>
          </w:p>
        </w:tc>
      </w:tr>
      <w:tr>
        <w:trPr>
          <w:trHeight w:val="20"/>
        </w:trPr>
        <w:tc>
          <w:tcPr>
            <w:tcW w:w="1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4"/>
        </w:trPr>
        <w:tc>
          <w:tcPr>
            <w:tcW w:w="1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by Form Factor</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HDD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2,694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4,554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5,304</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Flash-based</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5,213</w:t>
            </w: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4,233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5,336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9,261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10,517</w:t>
            </w:r>
          </w:p>
        </w:tc>
      </w:tr>
      <w:tr>
        <w:trPr>
          <w:trHeight w:val="73"/>
        </w:trPr>
        <w:tc>
          <w:tcPr>
            <w:tcW w:w="1620" w:type="dxa"/>
            <w:vAlign w:val="bottom"/>
            <w:tcBorders>
              <w:bottom w:val="single" w:sz="8" w:color="CCEEFF"/>
            </w:tcBorders>
          </w:tcPr>
          <w:p>
            <w:pPr>
              <w:spacing w:after="0"/>
              <w:rPr>
                <w:sz w:val="6"/>
                <w:szCs w:val="6"/>
                <w:color w:val="auto"/>
              </w:rPr>
            </w:pPr>
          </w:p>
        </w:tc>
        <w:tc>
          <w:tcPr>
            <w:tcW w:w="34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78"/>
        </w:trPr>
        <w:tc>
          <w:tcPr>
            <w:tcW w:w="162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24"/>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Revenue by Geography (%)</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Europe, Middle East and Africa</w:t>
            </w: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18</w:t>
            </w:r>
          </w:p>
        </w:tc>
      </w:tr>
      <w:tr>
        <w:trPr>
          <w:trHeight w:val="33"/>
        </w:trPr>
        <w:tc>
          <w:tcPr>
            <w:tcW w:w="1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56</w:t>
            </w:r>
          </w:p>
        </w:tc>
      </w:tr>
      <w:tr>
        <w:trPr>
          <w:trHeight w:val="135"/>
        </w:trPr>
        <w:tc>
          <w:tcPr>
            <w:tcW w:w="162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r>
    </w:tbl>
    <w:p>
      <w:pPr>
        <w:spacing w:after="0" w:line="107" w:lineRule="exact"/>
        <w:rPr>
          <w:sz w:val="20"/>
          <w:szCs w:val="20"/>
          <w:color w:val="auto"/>
        </w:rPr>
      </w:pPr>
    </w:p>
    <w:p>
      <w:pPr>
        <w:ind w:left="340" w:right="16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Prior year information is presented in accordance with the accounting guidance in effect during that period and has not been updated for Topic 606. The impact of the adoption of Topic 606 was not material.</w:t>
      </w:r>
    </w:p>
    <w:p>
      <w:pPr>
        <w:spacing w:after="0" w:line="20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Company’s top 10 customers accounted for 47% of its net revenue for both the three and six months ended December 28, 2018, and 42% and 41% of its net revenue for the three and six months ended December 29, 2017, respectively. For the three and six months ended December 28, 2018 and December 29, 2017, no single customer accounted for 10% or more of the Company’s net revenue.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Supplemental Financial Statement Data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From time to time, in connection with factoring agreements, the Company sells trade accounts receivable without recourse to third party purchasers in exchange for cash. During the six months ended December 28, 2018, the Company sold trade accounts receivable and received cash proceeds of $370 million. The discounts on the trade accounts receivable sold during the period were not material and were recorded within Other income (expense), net in the Condensed Consolidated Financial Statements. During the six months ended December 29, 2017, the Company did not sell any trade accounts receivable.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Raw materials and component parts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1,048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1,018</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2,944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306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Buildings and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7,493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7,209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Furniture and fixtures</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gross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10,517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10,186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(7,091)</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3,095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7"/>
              </w:rPr>
              <w:t>Carrying Amount</w:t>
            </w:r>
          </w:p>
        </w:tc>
      </w:tr>
      <w:tr>
        <w:trPr>
          <w:trHeight w:val="190"/>
        </w:trPr>
        <w:tc>
          <w:tcPr>
            <w:tcW w:w="9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03"/>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9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29,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10,075</w:t>
            </w:r>
          </w:p>
        </w:tc>
      </w:tr>
      <w:tr>
        <w:trPr>
          <w:trHeight w:val="224"/>
        </w:trPr>
        <w:tc>
          <w:tcPr>
            <w:tcW w:w="994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28,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10,074</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Company tests for impairment, at a minimum, on an annual basis or earlier where certain events or changes in circumstances indicate that goodwill may more likely than not be impaired. The Company has experienced declines in the market price of its stock, resulting in the Company’s market capitalization decreasing below book value for the last seven trading days of the second quarter of fiscal 2019. The Company’s market capitalization based upon its stock price has fluctuated above and below book value subsequent to the end of the quarter. The fair value of the Company using a market capitalization approach based on the Company’s share price would include a control premium based on recent transactions that have occurred in the technology industry. This indicative fair value exceeded the Company’s book value; therefore, management does not believe it is more likely than not that goodwill was impaired as of December 28, 2018.</w:t>
      </w:r>
    </w:p>
    <w:p>
      <w:pPr>
        <w:spacing w:after="0" w:line="18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If there are further decreases in the Company’s stock price for a sustained period or other unfavorable factors, the Company may be required to perform a goodwill impairment assessment, which may result in a recognition of goodwill impairment that could be material to the Consolidated Financial Statements.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80</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2,148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2,680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162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29,</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December 29, 2017</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80" w:type="dxa"/>
            <w:vAlign w:val="bottom"/>
            <w:gridSpan w:val="5"/>
          </w:tcPr>
          <w:p>
            <w:pPr>
              <w:ind w:left="56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the warranty accrual is classified in Accrued expenses and the long-term portion is classified in Other liabilities as noted below:</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168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portion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warranty accrual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318</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liabilities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Non-current net tax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1,315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940</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other non-current liabilities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2,255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Actuarial Pension</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29,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Income tax benefit related to items of other comprehensive loss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current-period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Balance at December 28,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During the three and six months ended December 28, 2018 and December 29, 2017, the amounts reclassified out of AOCI related to derivative contracts were not material and substantially all were charged to Cost of revenue in the Condensed Consolidated Statements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 and Investments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The Company’s total cash, cash equivalents and available-for-sale securities was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4"/>
                <w:szCs w:val="24"/>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5,005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Short-term available-for-sale securities (included within Other current assets)</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23</w:t>
            </w: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available-for-sale securities (included within 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w:t>
            </w:r>
          </w:p>
        </w:tc>
      </w:tr>
      <w:tr>
        <w:trPr>
          <w:trHeight w:val="24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Total cash, cash equivalents and available-for-sale securities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4,130</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5,121</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2018 and June 29, 2018,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December 28,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1,744</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1,747</w:t>
            </w: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available-for-sale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1,752</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1,905</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29,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available-for-sale securities: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short-term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available-for-sale securities: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5160" w:type="dxa"/>
            <w:vAlign w:val="bottom"/>
          </w:tcPr>
          <w:p>
            <w:pPr>
              <w:ind w:left="720"/>
              <w:spacing w:after="0"/>
              <w:rPr>
                <w:sz w:val="20"/>
                <w:szCs w:val="20"/>
                <w:color w:val="auto"/>
              </w:rPr>
            </w:pPr>
            <w:r>
              <w:rPr>
                <w:rFonts w:ascii="Arial" w:cs="Arial" w:eastAsia="Arial" w:hAnsi="Arial"/>
                <w:sz w:val="16"/>
                <w:szCs w:val="16"/>
                <w:color w:val="auto"/>
              </w:rPr>
              <w:t>Total long-term available-for-sale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three and six months ended December 28, 2018, the Company had no transfers of financial assets and liabilities between levels.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cost basis of the Company’s investments classified as available-for-sale securities, individually and in the aggregate, approximated its fair value as of December 28, 2018 and June 29, 2018.</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Securities Without a Readily Determinable Fair Value (“RDFV”)</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From time to time, the Company enters into certain strategic investments for the promotion of business and strategic objectives. The equity securities of these privately-held companies do not have a RDFV. Under ASU 2016-01, these equity securities are now measured and recorded using the measurement alternative, which is cost minus impairment, if any, plus or minus changes resulting from qualifying observable price changes. In addition, the existing impairment model has been replaced with a new one-step qualitative impairment model. Adjustments resulting from impairments and qualifying observable price changes are recorded in Other income (expense), net in the Condensed Consolidated Statements of Operations. As of December 28, 2018 and June 30, 2018, these investments were not material.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carrying value of the Company’s revolving credit facility approximates its fair value given the revolving nature of the balance and the variable market interest rate. 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second quarter of 2019 and the fourth quarter of 2018,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w w:val="95"/>
              </w:rPr>
              <w:t>December 28, 2018</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29, 2018</w:t>
            </w:r>
          </w:p>
        </w:tc>
        <w:tc>
          <w:tcPr>
            <w:tcW w:w="100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1620" w:type="dxa"/>
            <w:vAlign w:val="bottom"/>
            <w:gridSpan w:val="3"/>
          </w:tcPr>
          <w:p>
            <w:pPr>
              <w:ind w:left="460"/>
              <w:spacing w:after="0" w:line="153" w:lineRule="exact"/>
              <w:rPr>
                <w:sz w:val="20"/>
                <w:szCs w:val="20"/>
                <w:color w:val="auto"/>
              </w:rPr>
            </w:pPr>
            <w:r>
              <w:rPr>
                <w:rFonts w:ascii="Arial" w:cs="Arial" w:eastAsia="Arial" w:hAnsi="Arial"/>
                <w:sz w:val="14"/>
                <w:szCs w:val="14"/>
                <w:b w:val="1"/>
                <w:bCs w:val="1"/>
                <w:color w:val="auto"/>
              </w:rPr>
              <w:t>Carrying</w:t>
            </w:r>
          </w:p>
        </w:tc>
        <w:tc>
          <w:tcPr>
            <w:tcW w:w="96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rPr>
              <w:t>Fair</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r>
      <w:tr>
        <w:trPr>
          <w:trHeight w:val="190"/>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4,920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4,722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4,982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5,013</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2,333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1.50% convertible notes due 2024</w:t>
            </w:r>
          </w:p>
        </w:tc>
        <w:tc>
          <w:tcPr>
            <w:tcW w:w="9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1,114</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4.750% senior unsecured notes due 2026</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1,994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2,238</w:t>
            </w:r>
          </w:p>
        </w:tc>
      </w:tr>
      <w:tr>
        <w:trPr>
          <w:trHeight w:val="244"/>
        </w:trPr>
        <w:tc>
          <w:tcPr>
            <w:tcW w:w="5160" w:type="dxa"/>
            <w:vAlign w:val="bottom"/>
          </w:tcPr>
          <w:p>
            <w:pPr>
              <w:ind w:left="18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10,614</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9,971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10,672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10,851</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As of December 28, 2018, the Company had outstanding foreign exchange forward contracts that were designated as either cash flow hedges or non-designated hedges. Substantially all of the contract maturity dates of these foreign exchange forward contracts do not exceed 12 months. In addition, the Company had outstanding interest rate swaps that were designated as cash flow hedges. The Company did not have any foreign exchange forward contracts with credit-risk-related contingent features. As of December 28, 2018, the amount of existing net gains related to cash flow hedges recorded in AOCI was not material and the majority is expected to be reclassified to earnings over the next twelve months.</w:t>
      </w:r>
    </w:p>
    <w:p>
      <w:pPr>
        <w:spacing w:after="0" w:line="17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Changes in fair values of the non-designated foreign exchange contracts are recognized in Other income (expense), net and are largely offset by corresponding changes in the fair values of the foreign currency denominated monetary assets and liabilities. For each of the three and six months ended December 28, 2018 and December 29, 2017, total net realized and unrealized transaction and foreign exchange contract currency gains and losses were not material to the Company’s Condensed Consolidated Financial Statements.</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for additional disclosures related to the fair value of the Company’s foreign exchange forward contracts.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December 28, 2018 and June 29, 2018,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7520" w:type="dxa"/>
            <w:vAlign w:val="bottom"/>
          </w:tcPr>
          <w:p>
            <w:pPr>
              <w:jc w:val="center"/>
              <w:ind w:right="7070"/>
              <w:spacing w:after="0"/>
              <w:rPr>
                <w:sz w:val="20"/>
                <w:szCs w:val="20"/>
                <w:color w:val="auto"/>
              </w:rPr>
            </w:pPr>
            <w:r>
              <w:rPr>
                <w:rFonts w:ascii="Arial" w:cs="Arial" w:eastAsia="Arial" w:hAnsi="Arial"/>
                <w:sz w:val="18"/>
                <w:szCs w:val="18"/>
                <w:b w:val="1"/>
                <w:bCs w:val="1"/>
                <w:color w:val="auto"/>
                <w:w w:val="89"/>
              </w:rPr>
              <w:t>Debt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Debt consisted of the following as of December 28, 2018 and June 29, 2018:</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04"/>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8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0.50% convertible senior notes due 2020</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Revolving credit facility maturing 2023</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500</w:t>
            </w: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A-1 maturing 2023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4,991</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Variable interest rate U.S. Term Loan B-4 maturing 2023</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2,437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2,449</w:t>
            </w:r>
          </w:p>
        </w:tc>
      </w:tr>
      <w:tr>
        <w:trPr>
          <w:trHeight w:val="33"/>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1.50% convertible notes due 2024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1,100</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4.750% senior unsecured notes due 2026</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2,300</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debt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11,375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Issuance costs and debt discounts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88"/>
              </w:rPr>
              <w:t>Subtotal</w:t>
            </w:r>
          </w:p>
        </w:tc>
        <w:tc>
          <w:tcPr>
            <w:tcW w:w="7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11,172</w:t>
            </w: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Less current portion of long-term debt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jc w:val="center"/>
              <w:ind w:right="6250"/>
              <w:spacing w:after="0"/>
              <w:rPr>
                <w:sz w:val="20"/>
                <w:szCs w:val="20"/>
                <w:color w:val="auto"/>
              </w:rPr>
            </w:pPr>
            <w:r>
              <w:rPr>
                <w:rFonts w:ascii="Arial" w:cs="Arial" w:eastAsia="Arial" w:hAnsi="Arial"/>
                <w:sz w:val="16"/>
                <w:szCs w:val="16"/>
                <w:color w:val="auto"/>
                <w:w w:val="92"/>
              </w:rPr>
              <w:t>Long-term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10,993</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In November 2018, the Company repaid the previously outstanding borrowings under its revolving credit facility. At December 28, 2018, the Company’s borrowing capacity under the revolving credit facility was $2.25 billion.</w:t>
      </w:r>
    </w:p>
    <w:p>
      <w:pPr>
        <w:spacing w:after="0" w:line="170"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credit agreement governing the Company’s revolving credit facility and term loans (as amended, the “Credit Agreement”) requires the Company to comply with certain financial covenants with respect to the revolving credit facility and Term Loan A-1, consisting of a Leverage Ratio and an Interest Coverage Ratio (each as defined below). These covenants are based upon a trailing twelve-month consolidated adjusted EBITDA as defined in the Credit Agreement (“Adjusted EBITDA”). Adjusted EBITDA is defined as net income (loss) plus interest expense, income tax expense (benefit) and depreciation and amortization as well as other contractual adjustments as provided for in the Credit Agreement.</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Pursuant to the Credit Agreement, the Company is required to maintain a maximum ratio of total funded debt to trailing twelve-month Adjusted EBITDA (“Leverage Ratio”) at the end of each quarter of 4.25 to 1.00 through the quarter ending October 4, 2019, 4.00 to 1.00 through the quarter ending October 2, 2020, and 3.75 to 1.00 thereafter. In addition, the Company is required to maintain a minimum ratio of Adjusted EBITDA to interest expense (“Interest Coverage Ratio”), both calculated on a trailing twelve-month basis, at the end of each quarter of 3.50 to 1.00. As of December 28, 2018, the Company was in compliance with all financial covenants under the Credit Agreement.</w:t>
      </w:r>
    </w:p>
    <w:p>
      <w:pPr>
        <w:spacing w:after="0" w:line="18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Credit Agreement also requires the Company and its subsidiaries to comply with customary covenants that include,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certain modifications of organizational documents and certain debt agreements. In addition, the indentures governing the Company’s 2026 Senior Unsecured Notes and the 2024 Convertible Notes contain restrictive covenants that limit the Company’s and its subsidiaries’ ability to, among other things, consolidate, merge or sell all or substantially all of their assets; create liens; and incur, assume or guarantee additional indebtedness.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220" w:type="dxa"/>
            <w:vAlign w:val="bottom"/>
          </w:tcPr>
          <w:p>
            <w:pPr>
              <w:spacing w:after="0"/>
              <w:rPr>
                <w:sz w:val="20"/>
                <w:szCs w:val="20"/>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200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Plan as recognized on the Company’s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December 28,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11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w w:val="98"/>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80" w:type="dxa"/>
            <w:vAlign w:val="bottom"/>
            <w:tcBorders>
              <w:bottom w:val="single" w:sz="8" w:color="CCEEFF"/>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8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59</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8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were not material for the three and six months ended December 28,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 Company’s business ventures with Toshiba Memory Corporation (“TMC”) consist of three separate legal entities: Flash Partners Ltd. (“Flash Partners”), Flash Alliance Ltd. (“Flash Alliance”), and Flash Forward Ltd. (“Flash Forward”), collectively referred to as “Flash Ventures”.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notes receivable from, and equity investments in, Flash Ventures as of December 28, 2018 and June 29,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191</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116</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2,105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During the three and six months ended December 28, 2018, the Company made net payments to Flash Ventures of $1.12 billion and $1.86 billion, respectively, for purchased flash-based memory wafers and net loans and investments.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There were no impairments in the three and six months ended December 28, 2018 or December 29, 2017.</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 of December 28, 2018 and June 29, 2018, the Company had accounts payable balances due to Flash Ventures of $310 million and $259 million, respectively.</w:t>
      </w:r>
    </w:p>
    <w:p>
      <w:pPr>
        <w:spacing w:after="0" w:line="170"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December 28, 2018, is presented below. Investments in Flash Ventures are denominated in Japanese yen, and the maximum estimable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62"/>
              <w:spacing w:after="0"/>
              <w:rPr>
                <w:sz w:val="20"/>
                <w:szCs w:val="20"/>
                <w:color w:val="auto"/>
              </w:rPr>
            </w:pPr>
            <w:r>
              <w:rPr>
                <w:rFonts w:ascii="Arial" w:cs="Arial" w:eastAsia="Arial" w:hAnsi="Arial"/>
                <w:sz w:val="14"/>
                <w:szCs w:val="14"/>
                <w:b w:val="1"/>
                <w:bCs w:val="1"/>
                <w:color w:val="auto"/>
                <w:w w:val="98"/>
              </w:rPr>
              <w:t>December 28,</w:t>
            </w:r>
          </w:p>
        </w:tc>
      </w:t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r>
      <w:tr>
        <w:trPr>
          <w:trHeight w:val="283"/>
        </w:trPr>
        <w:tc>
          <w:tcPr>
            <w:tcW w:w="9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1,720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2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598</w:t>
            </w:r>
          </w:p>
        </w:tc>
      </w:tr>
      <w:tr>
        <w:trPr>
          <w:trHeight w:val="33"/>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1,313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 and prepayments</w:t>
            </w:r>
          </w:p>
        </w:tc>
        <w:tc>
          <w:tcPr>
            <w:tcW w:w="22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243</w:t>
            </w:r>
          </w:p>
        </w:tc>
      </w:tr>
      <w:tr>
        <w:trPr>
          <w:trHeight w:val="33"/>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3,874</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jc w:val="both"/>
        <w:ind w:right="40" w:firstLine="324"/>
        <w:spacing w:after="0" w:line="297" w:lineRule="auto"/>
        <w:rPr>
          <w:sz w:val="20"/>
          <w:szCs w:val="20"/>
          <w:color w:val="auto"/>
        </w:rPr>
      </w:pPr>
      <w:r>
        <w:rPr>
          <w:rFonts w:ascii="Arial" w:cs="Arial" w:eastAsia="Arial" w:hAnsi="Arial"/>
          <w:sz w:val="16"/>
          <w:szCs w:val="16"/>
          <w:color w:val="auto"/>
        </w:rPr>
        <w:t>The Company is committed to purchase its provided three-month forecast of Flash Ventures’ flash-based wafer supply,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1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Flash Ventures has historically operated near 100% of its manufacturing capacity. As a result of reduced demand for flash-based products, the Company temporarily reduced its utilization of its share of Flash Ventures’ manufacturing capacity to an abnormally low level to more closely align the Company’s flash-based wafer supply with the projected demand. The Company incurred costs of $49 million associated with the reduction in utilization which was recorded as a charge to cost of revenue in the three months ended December 28, 2018.</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December 28,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6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145</w:t>
            </w:r>
          </w:p>
        </w:tc>
        <w:tc>
          <w:tcPr>
            <w:tcW w:w="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1,313</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December 28, 2018 in U.S. dollars, based upon the Japanese yen to U.S. dollar exchange rate as of December 28,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Remaining six months of 2019</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and TMC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December 28, 2018, no amounts have been accrued in the Condensed Consolidated Financial Statements with respect to these indemnification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Unis Venture</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November 2015, the Company entered into an agreement with Unisplendour Corporation Limited and Unissoft (Wuxi) Group Co. Ltd. (“Unis”) to form a joint venture, referred to as the “Unis Venture”, to market and sell the Company’s products in China and to develop data storage systems for the Chinese market in the future. The Unis Venture became operational during 2017. The Unis Venture is 49% owned by the Company and 51% owned by Unis. The Company accounts for its investment in the Unis Venture under the equity method of accounting. Revenue on products distributed by the Unis Venture is recognized upon sell through to third-party customers. For the three and six months ended December 28, 2018 and December 29, 2017, the Company recognized less than 1% of its consolidated revenue on products distributed by the Unis Venture. The outstanding accounts receivable due from and investment in the Unis Venture were not material to the Condensed Consolidated Financial Statements as of December 28, 2018 or June 29, 2018.</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Agreements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purchase agreements with various component suppliers that carry fixed volumes and pricing, which obligates the Company to make certain future purchases, contingent on certain conditions of performance, quality and technology of the vendor’s components. As of December 28, 2018, the Company had the following minimum long-term purchase commitments: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Long-term purchase</w:t>
            </w:r>
          </w:p>
        </w:tc>
      </w:tr>
      <w:tr>
        <w:trPr>
          <w:trHeight w:val="192"/>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commitments</w:t>
            </w:r>
          </w:p>
        </w:tc>
      </w:tr>
      <w:tr>
        <w:trPr>
          <w:trHeight w:val="250"/>
        </w:trPr>
        <w:tc>
          <w:tcPr>
            <w:tcW w:w="9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i w:val="1"/>
                <w:iCs w:val="1"/>
                <w:color w:val="auto"/>
                <w:w w:val="98"/>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Remaining six months of 2019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34</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193</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208</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w:t>
            </w:r>
          </w:p>
        </w:tc>
      </w:tr>
      <w:tr>
        <w:trPr>
          <w:trHeight w:val="237"/>
        </w:trPr>
        <w:tc>
          <w:tcPr>
            <w:tcW w:w="9720" w:type="dxa"/>
            <w:vAlign w:val="bottom"/>
          </w:tcPr>
          <w:p>
            <w:pPr>
              <w:ind w:left="180"/>
              <w:spacing w:after="0"/>
              <w:rPr>
                <w:sz w:val="20"/>
                <w:szCs w:val="20"/>
                <w:color w:val="auto"/>
              </w:rPr>
            </w:pPr>
            <w:r>
              <w:rPr>
                <w:rFonts w:ascii="Arial" w:cs="Arial" w:eastAsia="Arial" w:hAnsi="Arial"/>
                <w:sz w:val="16"/>
                <w:szCs w:val="16"/>
                <w:color w:val="auto"/>
              </w:rPr>
              <w:t>2023 and thereafter</w:t>
            </w:r>
          </w:p>
        </w:tc>
        <w:tc>
          <w:tcPr>
            <w:tcW w:w="16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250</w:t>
            </w:r>
          </w:p>
        </w:tc>
      </w:tr>
      <w:tr>
        <w:trPr>
          <w:trHeight w:val="33"/>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912</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140" w:type="dxa"/>
            <w:vAlign w:val="bottom"/>
          </w:tcPr>
          <w:p>
            <w:pPr>
              <w:jc w:val="center"/>
              <w:ind w:left="224"/>
              <w:spacing w:after="0" w:line="153" w:lineRule="exact"/>
              <w:rPr>
                <w:sz w:val="20"/>
                <w:szCs w:val="20"/>
                <w:color w:val="auto"/>
              </w:rPr>
            </w:pPr>
            <w:r>
              <w:rPr>
                <w:rFonts w:ascii="Arial" w:cs="Arial" w:eastAsia="Arial" w:hAnsi="Arial"/>
                <w:sz w:val="14"/>
                <w:szCs w:val="14"/>
                <w:b w:val="1"/>
                <w:bCs w:val="1"/>
                <w:color w:val="auto"/>
                <w:w w:val="92"/>
              </w:rPr>
              <w:t>December 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223"/>
              <w:spacing w:after="0" w:line="153" w:lineRule="exact"/>
              <w:rPr>
                <w:sz w:val="20"/>
                <w:szCs w:val="20"/>
                <w:color w:val="auto"/>
              </w:rPr>
            </w:pPr>
            <w:r>
              <w:rPr>
                <w:rFonts w:ascii="Arial" w:cs="Arial" w:eastAsia="Arial" w:hAnsi="Arial"/>
                <w:sz w:val="14"/>
                <w:szCs w:val="14"/>
                <w:b w:val="1"/>
                <w:bCs w:val="1"/>
                <w:color w:val="auto"/>
                <w:w w:val="92"/>
              </w:rPr>
              <w:t>December 29,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December 29, 2017</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4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263"/>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140" w:type="dxa"/>
            <w:vAlign w:val="bottom"/>
            <w:tcBorders>
              <w:bottom w:val="single" w:sz="8" w:color="CCEEFF"/>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114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160" w:type="dxa"/>
            <w:vAlign w:val="bottom"/>
          </w:tcPr>
          <w:p>
            <w:pPr>
              <w:jc w:val="center"/>
              <w:ind w:right="4179"/>
              <w:spacing w:after="0"/>
              <w:rPr>
                <w:sz w:val="20"/>
                <w:szCs w:val="20"/>
                <w:color w:val="auto"/>
              </w:rPr>
            </w:pPr>
            <w:r>
              <w:rPr>
                <w:rFonts w:ascii="Arial" w:cs="Arial" w:eastAsia="Arial" w:hAnsi="Arial"/>
                <w:sz w:val="16"/>
                <w:szCs w:val="16"/>
                <w:color w:val="auto"/>
                <w:w w:val="91"/>
              </w:rPr>
              <w:t>Subtotal</w:t>
            </w: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4"/>
        </w:trPr>
        <w:tc>
          <w:tcPr>
            <w:tcW w:w="5160" w:type="dxa"/>
            <w:vAlign w:val="bottom"/>
          </w:tcPr>
          <w:p>
            <w:pPr>
              <w:jc w:val="center"/>
              <w:ind w:right="4199"/>
              <w:spacing w:after="0"/>
              <w:rPr>
                <w:sz w:val="20"/>
                <w:szCs w:val="20"/>
                <w:color w:val="auto"/>
              </w:rPr>
            </w:pPr>
            <w:r>
              <w:rPr>
                <w:rFonts w:ascii="Arial" w:cs="Arial" w:eastAsia="Arial" w:hAnsi="Arial"/>
                <w:sz w:val="16"/>
                <w:szCs w:val="16"/>
                <w:color w:val="auto"/>
                <w:w w:val="89"/>
              </w:rPr>
              <w:t>Total</w:t>
            </w:r>
          </w:p>
        </w:tc>
        <w:tc>
          <w:tcPr>
            <w:tcW w:w="1140" w:type="dxa"/>
            <w:vAlign w:val="bottom"/>
            <w:tcBorders>
              <w:top w:val="single" w:sz="8" w:color="auto"/>
              <w:bottom w:val="single" w:sz="8" w:color="auto"/>
            </w:tcBorders>
          </w:tcPr>
          <w:p>
            <w:pPr>
              <w:jc w:val="right"/>
              <w:ind w:right="964"/>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963"/>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140" w:type="dxa"/>
            <w:vAlign w:val="bottom"/>
          </w:tcPr>
          <w:p>
            <w:pPr>
              <w:jc w:val="center"/>
              <w:ind w:left="224"/>
              <w:spacing w:after="0" w:line="153" w:lineRule="exact"/>
              <w:rPr>
                <w:sz w:val="20"/>
                <w:szCs w:val="20"/>
                <w:color w:val="auto"/>
              </w:rPr>
            </w:pPr>
            <w:r>
              <w:rPr>
                <w:rFonts w:ascii="Arial" w:cs="Arial" w:eastAsia="Arial" w:hAnsi="Arial"/>
                <w:sz w:val="14"/>
                <w:szCs w:val="14"/>
                <w:b w:val="1"/>
                <w:bCs w:val="1"/>
                <w:color w:val="auto"/>
                <w:w w:val="92"/>
              </w:rPr>
              <w:t>December 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223"/>
              <w:spacing w:after="0" w:line="153" w:lineRule="exact"/>
              <w:rPr>
                <w:sz w:val="20"/>
                <w:szCs w:val="20"/>
                <w:color w:val="auto"/>
              </w:rPr>
            </w:pPr>
            <w:r>
              <w:rPr>
                <w:rFonts w:ascii="Arial" w:cs="Arial" w:eastAsia="Arial" w:hAnsi="Arial"/>
                <w:sz w:val="14"/>
                <w:szCs w:val="14"/>
                <w:b w:val="1"/>
                <w:bCs w:val="1"/>
                <w:color w:val="auto"/>
                <w:w w:val="92"/>
              </w:rPr>
              <w:t>December 29,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December 29, 2017</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4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263"/>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140" w:type="dxa"/>
            <w:vAlign w:val="bottom"/>
            <w:tcBorders>
              <w:bottom w:val="single" w:sz="8" w:color="CCEEFF"/>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14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7"/>
        </w:trPr>
        <w:tc>
          <w:tcPr>
            <w:tcW w:w="5160" w:type="dxa"/>
            <w:vAlign w:val="bottom"/>
          </w:tcPr>
          <w:p>
            <w:pPr>
              <w:jc w:val="center"/>
              <w:ind w:right="4179"/>
              <w:spacing w:after="0"/>
              <w:rPr>
                <w:sz w:val="20"/>
                <w:szCs w:val="20"/>
                <w:color w:val="auto"/>
              </w:rPr>
            </w:pPr>
            <w:r>
              <w:rPr>
                <w:rFonts w:ascii="Arial" w:cs="Arial" w:eastAsia="Arial" w:hAnsi="Arial"/>
                <w:sz w:val="16"/>
                <w:szCs w:val="16"/>
                <w:color w:val="auto"/>
                <w:w w:val="91"/>
              </w:rPr>
              <w:t>Subtotal</w:t>
            </w: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4"/>
        </w:trPr>
        <w:tc>
          <w:tcPr>
            <w:tcW w:w="5160" w:type="dxa"/>
            <w:vAlign w:val="bottom"/>
          </w:tcPr>
          <w:p>
            <w:pPr>
              <w:jc w:val="center"/>
              <w:ind w:right="4199"/>
              <w:spacing w:after="0"/>
              <w:rPr>
                <w:sz w:val="20"/>
                <w:szCs w:val="20"/>
                <w:color w:val="auto"/>
              </w:rPr>
            </w:pPr>
            <w:r>
              <w:rPr>
                <w:rFonts w:ascii="Arial" w:cs="Arial" w:eastAsia="Arial" w:hAnsi="Arial"/>
                <w:sz w:val="16"/>
                <w:szCs w:val="16"/>
                <w:color w:val="auto"/>
                <w:w w:val="89"/>
              </w:rPr>
              <w:t>Total</w:t>
            </w:r>
          </w:p>
        </w:tc>
        <w:tc>
          <w:tcPr>
            <w:tcW w:w="1140" w:type="dxa"/>
            <w:vAlign w:val="bottom"/>
            <w:tcBorders>
              <w:top w:val="single" w:sz="8" w:color="auto"/>
              <w:bottom w:val="single" w:sz="8" w:color="auto"/>
            </w:tcBorders>
          </w:tcPr>
          <w:p>
            <w:pPr>
              <w:jc w:val="right"/>
              <w:ind w:right="964"/>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963"/>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Compensation cost related to unvested stock options, restricted stock unit awards (“RSUs”), performance-based restricted stock unit awards (“PSUs”), and rights to purchase shares of common stock under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December 28,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1.4</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657</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2.5</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71</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1.9</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4700" w:hanging="5612"/>
        <w:spacing w:after="0" w:line="716" w:lineRule="auto"/>
        <w:tabs>
          <w:tab w:leader="none" w:pos="32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Weighted average service period assumes the performance metrics are met for the PSUs.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-935355</wp:posOffset>
            </wp:positionV>
            <wp:extent cx="1020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29, 2018</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37.64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79.73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Options outstanding at December 28, 2018</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64.73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3.3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December 28, 2018</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69.86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RSUs and PSUs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0"/>
        </w:trPr>
        <w:tc>
          <w:tcPr>
            <w:tcW w:w="7200" w:type="dxa"/>
            <w:vAlign w:val="bottom"/>
          </w:tcPr>
          <w:p>
            <w:pPr>
              <w:spacing w:after="0"/>
              <w:rPr>
                <w:sz w:val="16"/>
                <w:szCs w:val="16"/>
                <w:color w:val="auto"/>
              </w:rPr>
            </w:pPr>
          </w:p>
        </w:tc>
        <w:tc>
          <w:tcPr>
            <w:tcW w:w="128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5"/>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June 29, 2018</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59.42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56.05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December 28, 2018</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Company’s Board of Directors previously authorized $5.00 billion for the repurchase of the Company’s common stock. On July 25, 2018, the Company’s Board of Directors authorized a new $5.00 billion share repurchase program that is effective through July 25, 2023, replacing all prior programs. For the three months ended December 28, 2018, the Company did not make any stock repurchases. For the six months ended December 28, 2018, the Company repurchased 0.8 million shares for a total cost of $61 million under the previous authorization and 7.6 million shares for a total cost of $502 million under the new authorization. Therefore, the Company’s stock repurchases under all stock repurchase authorizations in effect for the six months ended December 28, 2018 totaled $563 million. The remaining amount available to be repurchased under the Company’s current stock repurchase program as of December 28, 2018 was $4.50 billion. Repurchases under the stock repurchase program may be made in the open market or in privately negotiated transactions and may be made under a Rule 10b5-1 plan. The Company expects stock repurchases to be funded principally by operating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Since the first quarter of 2013, the Company has issued a quarterly cash dividend. During the six months ended December 28, 2018, the Company declared aggregate cash dividends of $1.00 per share on its outstanding common stock totaling $290 million, of which $146 million was paid on January 14,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Income Tax Expense</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2017 Act, enacted on December 22, 2017, includes a broad range of tax reform proposals affecting businesses, including a reduction in the U.S. federal corporate tax rate from 35% to 21%, a one-time mandatory deemed repatriation tax on earnings of certain foreign subsidiaries that were previously tax deferred and the creation of new taxes on certain foreign earnings.</w:t>
      </w:r>
    </w:p>
    <w:p>
      <w:pPr>
        <w:spacing w:after="0" w:line="18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When initially accounting for the tax effects of the enactment of the 2017 Act, the Company applied the applicable SEC guidance and made a reasonable estimate of the effects on the Company’s existing deferred tax balances and the one-time mandatory deemed repatriation tax required by the 2017 Act. As the Company finalized the accounting for the tax effects of the enactment of the 2017 Act during the one-year measurement period permitted by applicable SEC guidance, the Company reflected adjustments to the recorded provisional amounts. As of December 28, 2018, the Company completed its accounting for the tax effects of the enactment of the 2017 Act. Although the U.S. Treasury and the Internal Revenue Service (“IRS”) have issued tax guidance on certain provisions of the 2017 Act since the enactment date, the Company anticipates the issuance of additional regulatory and interpretive guidance. Although the Company was able to apply a reasonable interpretation of the law along with any available guidance in finalizing its accounting for the tax effects of the 2017 Act, such additional regulatory or interpretive guidance would constitute new information which may require further refinements to its estimates in future periods.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significant provisions of the 2017 Act that impacted the Company is provided below.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Re-measurement of deferred taxes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recorded a provisional income tax benefit of $65 million for the year ended June 29, 2018, which related to the re-measurements of the Company’s deferred tax balances and is based primarily on the rates at which the deferred tax assets and liabilities are expected to reverse in the current and future fiscal years, which are generally 29% and 22%, respectively. The Company has now finalized the accounting for the tax effects related to the re-measurements of the Company’s deferred tax balances with no material change for the six months ended December 28, 2018. The Company has not yet finalized the filing of its U.S. federal income tax return for the year ended June 29, 2018, which may affect the re-measurement of the Company’s deferred tax balances.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connection with the transition from a global to a territorial U.S. tax system, companies are required to pay a mandatory deemed repatriation tax. For the year ended June 29, 2018, the Company recorded a provisional amount for the mandatory deemed repatriation tax liability of $1.57 billion for foreign subsidiaries. The calculation of the mandatory deemed repatriation tax liability is based upon post-1986 earnings and profits. In addition, the mandatory deemed repatriation tax is based on the amount of foreign earnings held in cash and other specified assets, which are taxed at 15.5% and 8%, respectively, and is payable over an 8-year period.</w:t>
      </w:r>
    </w:p>
    <w:p>
      <w:pPr>
        <w:spacing w:after="0" w:line="1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of December 28, 2018, the Company has finalized the accounting for the tax effects of the mandatory deemed repatriation tax during the one-year measurement period permitted by applicable SEC guidance. During the three months ended September 28, 2018, the Company reduced its mandatory deemed repatriation tax liability by $302 million, of which $250 million was for the utilization of recorded deferred tax assets related to existing tax attributes. The utilization of the deferred tax assets is a reclassification that did not have an impact on the Company’s income tax provision for the three months ended September 28, 2018. The remaining $52 million reduction to the mandatory deemed repatriation tax primarily relates to the Company’s decision to no longer carry forward its 2018 operating loss and, instead, apply it against the mandatory deemed repatriation tax. The $52 million benefit results from utilizing the existing fiscal year 2018 operating losses at a 28% tax rate on the Company’s 2018 tax return as compared to the carryforward tax rate of 21%.</w:t>
      </w:r>
    </w:p>
    <w:p>
      <w:pPr>
        <w:spacing w:after="0" w:line="167"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During the three months ended December 28, 2018, the Company also finalized its post-1986 earnings and profits along with the amount of earnings held in cash and other specified assets and increased its mandatory deemed repatriation tax liability by $95 million. The Company’s estimate of the mandatory deemed repatriation tax liability after these refinements is $1.36 billion, excluding a $135 million increase in its liability for unrecognized tax benefits.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On January 15, 2019, the IRS issued final regulations with respect to the mandatory deemed repatriation tax liability. The Company believes this guidance constitutes a subsequent event and will account for the impact of these regulations in the period in which they were issued. These regulations may impact certain positions previously taken with respect to amounts recorded in the Company’s Consolidated Financial Statements. The Company may adjust such amounts to reflect the final regulations in its Condensed Consolidated Financial Statements for the period ending March 28, 2019.</w:t>
      </w:r>
    </w:p>
    <w:p>
      <w:pPr>
        <w:spacing w:after="0" w:line="154"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During the one-year measurement period, the Company evaluated the expected manner of recovery to determine whether or not to continue to assert indefinite reinvestment on a part or all the foreign undistributed earnings. This required the Company to re-evaluate its existing short and long-term capital allocation policies in light of the 2017 Act and calculate the tax cost that is incremental to the deemed repatriation tax of repatriating cash to the U.S. The provisional tax expense recorded by the Company as of June 28, 2018 was based upon an assumption that all of its foreign undistributed earnings are indefinitely reinvested.</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December 28, 2018, the Company finalized the accounting for the tax effects of the mandatory deemed repatriation tax on its indefinite reinvestment assertion. The Company now intends to repatriate all of its foreign undistributed earnings. Accordingly, during the six months ended December 28, 2018, the Company recorded a foreign income tax expense of $242 million related to foreign withholding taxes partially offset by foreign tax credits of $82 million. In addition, a state income tax expense of $54 million was recorded, partially offset by a decrease to the Company’s valuation allowance of $45 million. Amounts related to federal taxes other than the repatriation tax were not material. The Company’s decision to change its indefinite reinvestment assertion is based on interpretative guidance issued by the IRS to date related to the ordering and the taxation of a repatriation of the Company’s foreign undistributed earnings.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Deferred taxes on foreign earnings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a result of the shift to a territorial system for U.S. taxation, the new minimum tax on certain foreign earnings (“global intangible low-tax income”) provision of the 2017 Act imposes a tax on foreign earnings and profits in excess of a deemed return on tangible assets of foreign subsidiaries. This provision is effective for tax years beginning on or after January 1, 2018, which for the Company is the fiscal year that began on June 30, 2018 (fiscal year 2019). During the one-year measurement period permitted by applicable SEC guidance, the Company evaluated its accounting policy regarding whether to make an election to account for the effects of this provision either as a component of future income tax expense in the period in which the tax arises or as a component of deferred taxes on the related investments. Accordingly, no deferred tax assets and liabilities were established for timing differences between foreign U.S. GAAP income and U.S. taxable income that would be expected to reverse under the new minimum tax in future years for the year ended June 28, 2018.</w:t>
      </w:r>
    </w:p>
    <w:p>
      <w:pPr>
        <w:spacing w:after="0" w:line="16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After further consideration during the six months ended December 28, 2018, the Company has made the election to account for the effects of the global intangible low-tax income provision as a component of future income tax expense in the period in which the tax arises. As the Company had previously accounted for the tax as a period cost in its income tax provision for the three months ended September 28, 2018, there was no change in the Company’s accounting as a result of this election.</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the Company’s income tax expense and the effective tax rate, which includes the discrete effects of the finalization of the accounting for the tax effects of the enactment of the 2017 Act as discussed above: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0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320" w:type="dxa"/>
            <w:vAlign w:val="bottom"/>
          </w:tcPr>
          <w:p>
            <w:pPr>
              <w:spacing w:after="0"/>
              <w:rPr>
                <w:sz w:val="13"/>
                <w:szCs w:val="13"/>
                <w:color w:val="auto"/>
              </w:rPr>
            </w:pPr>
          </w:p>
        </w:tc>
        <w:tc>
          <w:tcPr>
            <w:tcW w:w="126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w w:val="90"/>
              </w:rPr>
              <w:t>December 28,</w:t>
            </w:r>
          </w:p>
        </w:tc>
        <w:tc>
          <w:tcPr>
            <w:tcW w:w="260" w:type="dxa"/>
            <w:vAlign w:val="bottom"/>
          </w:tcPr>
          <w:p>
            <w:pPr>
              <w:spacing w:after="0"/>
              <w:rPr>
                <w:sz w:val="13"/>
                <w:szCs w:val="13"/>
                <w:color w:val="auto"/>
              </w:rPr>
            </w:pPr>
          </w:p>
        </w:tc>
        <w:tc>
          <w:tcPr>
            <w:tcW w:w="1300" w:type="dxa"/>
            <w:vAlign w:val="bottom"/>
          </w:tcPr>
          <w:p>
            <w:pPr>
              <w:jc w:val="right"/>
              <w:ind w:right="283"/>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2017</w:t>
            </w:r>
          </w:p>
        </w:tc>
      </w:t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6"/>
        </w:trPr>
        <w:tc>
          <w:tcPr>
            <w:tcW w:w="5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81</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664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1,484</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3"/>
              <w:spacing w:after="0"/>
              <w:rPr>
                <w:sz w:val="20"/>
                <w:szCs w:val="20"/>
                <w:color w:val="auto"/>
              </w:rPr>
            </w:pPr>
            <w:r>
              <w:rPr>
                <w:rFonts w:ascii="Arial" w:cs="Arial" w:eastAsia="Arial" w:hAnsi="Arial"/>
                <w:sz w:val="16"/>
                <w:szCs w:val="16"/>
                <w:color w:val="auto"/>
              </w:rPr>
              <w:t>568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43"/>
              <w:spacing w:after="0"/>
              <w:rPr>
                <w:sz w:val="20"/>
                <w:szCs w:val="20"/>
                <w:color w:val="auto"/>
              </w:rPr>
            </w:pPr>
            <w:r>
              <w:rPr>
                <w:rFonts w:ascii="Arial" w:cs="Arial" w:eastAsia="Arial" w:hAnsi="Arial"/>
                <w:sz w:val="16"/>
                <w:szCs w:val="16"/>
                <w:color w:val="auto"/>
              </w:rPr>
              <w:t>640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1,626</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701%</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96%</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primary driver of the difference between the effective tax rate for the three and six months ended December 28, 2018 and the U.S. Federal statutory rate of 21% is the discrete effect of the finalization of the accounting for the tax effects of the enactment of the 2017 Act. For the three months ended December 28, 2018, these discrete effects consist of $230 million related to the mandatory deemed repatriation tax and $134 million related to the Company’s decision to change its indefinite reinvestment assertion. For the six months ended December 28, 2018, these discrete effects consist of $178 million related to the mandatory deemed repatriation tax and $144 million related to the Company’s decision to change its indefinite reinvestment assertion. For both periods, the remaining difference is attributable primarily to the changes in the relative mix of our U.S. earnings compared to foreign earnings.</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primary drivers for the difference between the effective tax rate for the three and six months ended December 29, 2017 and the U.S. Federal statutory rate of 28% are related to the net charge of $1.66 billion for the one-time mandatory deemed repatriation tax, offset in part by an income tax benefit related to the re-measurement of deferred taxes as required by the 2017 Act. Excluding these items, the effective tax rate for the three and six months ended December 29, 2017 would be approximately 4%. The primary drivers for the remaining difference between the effective tax rate for the three and six months ended December 29, 2017 and the U.S. Federal statutory rate of 28% are tax credits generated for 2017, and tax holidays in Malaysia, Philippines, Singapore and Thailand that expire at various dates during fiscal years 2018 through 2030 and windfall tax benefits related to vesting and exercises of stock-based awards. The windfall tax benefits are a result of the adoption of ASU 2016-09, which requires the Company to now recognize $5 million and $27 million of windfall tax benefits related to vesting and exercises of stock-based awards as a component of its income tax expense for the three and six months ended December 29, 2017, respectively.</w:t>
      </w:r>
    </w:p>
    <w:p>
      <w:pPr>
        <w:spacing w:after="0" w:line="182"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During the six months ended December 28, 2018, the Company recorded an increase of $139 million in its liability for unrecognized tax benefits (excluding accrued interest and penalties). As of December 28, 2018, the Company’s liability for unrecognized tax benefits (excluding accrued interest and penalties) was approximately $690 million. Accrued interest and penalties related to unrecognized tax benefits as of December 28, 2018 was $116 million.</w:t>
      </w:r>
    </w:p>
    <w:p>
      <w:pPr>
        <w:spacing w:after="0" w:line="147"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2008 through 2012 and proposed certain adjustments. As previously disclosed, the Company received Revenue Agent Reports from the IRS for fiscal years 2008 through 2009, proposing adjustments relating to transfer pricing with the Company’s foreign subsidiaries and intercompany payable balances. The Company disagrees with the proposed adjustments and in September 2015, filed a protest with the IRS Appeals Office and received the IRS rebuttal in July 2016. The Company and the IRS Appeals Office did not reach a settlement on the disputed matters. On June 28, 2018, the IRS issued a statutory notice of deficiency with respect to the disputed matters for fiscal years 2008 through 2009, seeking to increase the Company’s U.S. taxable income by an amount that would result in additional federal tax through fiscal year 2009 totaling approximately $516 million, subject to interest. The Company filed a petition with the U.S. Tax Court in September 2018. On December 10, 2018, the IRS issued a statutory notice of deficiency with respect to fiscal years 2010 through 2012, seeking to increase the Company’s U.S. taxable income by an amount that would result in additional federal tax for fiscal years 2010 through 2012 totaling approximately $549 million, subject to interest. Approximately $535 million of the total additional federal tax relates to proposed adjustments for transfer pricing with the Company’s foreign subsidiaries, intercompany payable balances and the utilization of certain tax attributes. The Company plans to file a petition with the U.S. Tax Court by March 2019. The Company believes that its tax positions are properly supported and will vigorously contest the position taken by the IRS.</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December 28, 2018,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Pr>
          <w:p>
            <w:pPr>
              <w:spacing w:after="0"/>
              <w:rPr>
                <w:sz w:val="13"/>
                <w:szCs w:val="13"/>
                <w:color w:val="auto"/>
              </w:rPr>
            </w:pPr>
          </w:p>
        </w:tc>
        <w:tc>
          <w:tcPr>
            <w:tcW w:w="13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December 29, 2017</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Income (loss) per common share</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The Company computes basic income (loss) per common share using net income (loss) and the weighted average number of common shares outstanding during the period. Diluted income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 For the six months ended December 28, 2018, the Company excluded 8 million common shares subject to outstanding equity awards from the calculation of diluted shares because their impact would have been anti-dilutive based on the Company’s average stock price during the period. For the three months ended December 28, 2018 and the three and six months ended December 29, 2017, the Company reported a net loss, and all outstanding equity awards have been excluded from such periods because including them would be anti-dilutive. See Note 10, </w:t>
      </w:r>
      <w:r>
        <w:rPr>
          <w:rFonts w:ascii="Arial" w:cs="Arial" w:eastAsia="Arial" w:hAnsi="Arial"/>
          <w:sz w:val="17"/>
          <w:szCs w:val="17"/>
          <w:i w:val="1"/>
          <w:iCs w:val="1"/>
          <w:color w:val="auto"/>
        </w:rPr>
        <w:t>Shareholders’ Equity</w:t>
      </w:r>
      <w:r>
        <w:rPr>
          <w:rFonts w:ascii="Arial" w:cs="Arial" w:eastAsia="Arial" w:hAnsi="Arial"/>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28,</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Pr>
          <w:p>
            <w:pPr>
              <w:spacing w:after="0"/>
              <w:rPr>
                <w:sz w:val="13"/>
                <w:szCs w:val="13"/>
                <w:color w:val="auto"/>
              </w:rPr>
            </w:pPr>
          </w:p>
        </w:tc>
        <w:tc>
          <w:tcPr>
            <w:tcW w:w="13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December 29, 2017</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gridSpan w:val="3"/>
          </w:tcPr>
          <w:p>
            <w:pPr>
              <w:jc w:val="right"/>
              <w:ind w:right="262"/>
              <w:spacing w:after="0"/>
              <w:rPr>
                <w:sz w:val="20"/>
                <w:szCs w:val="20"/>
                <w:color w:val="auto"/>
              </w:rPr>
            </w:pPr>
            <w:r>
              <w:rPr>
                <w:rFonts w:ascii="Arial" w:cs="Arial" w:eastAsia="Arial" w:hAnsi="Arial"/>
                <w:sz w:val="14"/>
                <w:szCs w:val="14"/>
                <w:i w:val="1"/>
                <w:iCs w:val="1"/>
                <w:color w:val="auto"/>
                <w:w w:val="98"/>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180" w:type="dxa"/>
            <w:vAlign w:val="bottom"/>
          </w:tcPr>
          <w:p>
            <w:pPr>
              <w:jc w:val="right"/>
              <w:ind w:right="1004"/>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600" w:type="dxa"/>
            <w:vAlign w:val="bottom"/>
          </w:tcPr>
          <w:p>
            <w:pPr>
              <w:jc w:val="right"/>
              <w:ind w:right="422"/>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Facilities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180" w:type="dxa"/>
            <w:vAlign w:val="bottom"/>
          </w:tcPr>
          <w:p>
            <w:pPr>
              <w:spacing w:after="0"/>
              <w:rPr>
                <w:sz w:val="20"/>
                <w:szCs w:val="20"/>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18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Closure of Foreign Manufacturing Facilities</w:t>
      </w:r>
    </w:p>
    <w:p>
      <w:pPr>
        <w:spacing w:after="0" w:line="22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July 2018, the Company announced the closing of its HDD manufacturing facility in Kuala Lumpur, Malaysia, in order to reduce its manufacturing costs and consolidate HDD operations into Thailand. The Company now currently expects the closure to be substantially completed by the fourth quarter of fiscal 2019 and to result in total pre-tax charges of approximately $110 million. These charges are expected to consist of approximately $70 million in employee termination benefits and $40 million in asset-related, contract termination and other charges, of which $56 million were recognized in the year ended June 29, 2018. During the six months ended December 28, 2018, the Company recognized an additional $3 million in employee termination benefits and $8 million in asset-related, contract termination and other charges.</w:t>
      </w:r>
    </w:p>
    <w:p>
      <w:pPr>
        <w:spacing w:after="0" w:line="1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an analysis of the components of the restructuring charges, payments and adjustments made against the reserve during the six months ended December 28,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Employee</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Termination Benefits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Accrual balance at December 28, 2018</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 periodically incurs charges as part of the integration process of recent acquisitions and to realign its operations with anticipated market demand. The following table presents an analysis of the components of the activity against the reserve during the six months ended December 28, 2018:</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Employee</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Termination Benefits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29, 2018</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Charges</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Accrual balance at December 28, 2018</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Solely for purposes of this note, “WD” refers to Western Digital Corporation or one or more of its subsidiaries excluding HGST prior to the closing of the Company’s acquisition of HGST on March 8, 2012 (the “HGST Closing Date”) and SanDisk prior to the Company’s acquisition of SanDisk on May 12, 2016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Antitrust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March 2011, a complaint was filed against SanDisk, SD-3C LLC, Panasonic Corporation, Panasonic Corporation of North America, Toshiba Corporation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In November 2015, the defendants filed a motion to dismiss the plaintiffs’ federal law claims. In October 2016, the District Court granted the defendants’ motion with leave to amend and the defendants filed a motion to dismiss the plaintiffs’ remaining claims. In July 2018, ten of the thirteen named plaintiffs voluntarily dismissed their claims against the defendants. In December 2018, the remaining three plaintiffs stipulated to dismiss their claims against the defendants.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Beginning in March 2015, SanDisk and two of its officers, Sanjay Mehrotra and Judy Bruner, were named in three putative class action lawsuits filed with the U.S. District Court for the Northern District of California. Two complaints are brought on behalf of a purported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In September 2018, the District Court granted the Institutional Investor Group’s motion to certify a class of all persons and entities who purchased or otherwise acquired SanDisk’s publicly traded common stock between October 2014 and April 2015, excluding those who purchased or otherwise acquired SanDisk’s publicly traded common stock during the class period but who sold their stock prior to the first corrective disclosure in March 2015. The Institutional Investor Group alleges artificial inflation in the price of SanDisk’s publicly traded common stock of $9.04 per share from October 16, 2014 through March 25, 2015, $2.26 per share on March 26, 2015, and $1.35 per share from March 27, 2015 through April 15, 2015. The Company believes the allegations to be without merit and intends to defend itself vigorously in this matter.</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that it sold in Germany between January 2008 and December 2010. The judgment specified levy amounts on certain products sold from January 2008 through December 2010 and directed WD Germany to disclose applicable sales data to ZPÜ. The exact amount of the judgment had not been determined. ZPÜ and WD Germany filed appeals with the German Federal Court of Justice in February 2015. In March 2017, the German Federal Court of Justice rendered a judgment affirming ZPÜ’s claim concerning the disclosure of WD Germany’s sales data regarding HDDs sold between January 2008 and December 2010. The German Federal Court of Justice also set aside the Higher Court’s decision on the levy amounts and referred the case back to the Higher Court for further fact finding and decision on the levy amounts.</w:t>
      </w:r>
    </w:p>
    <w:p>
      <w:pPr>
        <w:spacing w:after="0" w:line="18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or around June 22, 2018, Bitkom, an industry association, and ZPÜ entered into an agreement for regulating the obligation to pay compensation under copyright law in Germany for hard drives for the period beginning January 1, 2008. On or around June 29, 2018, the Company elected to join the agreement. Pursuant to the agreement, all court proceedings have been terminated. The entry into this agreement did not have a material impact on the Company’s financial condition, results of operations or cash flows.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w:t>
      </w:r>
    </w:p>
    <w:p>
      <w:pPr>
        <w:spacing w:after="0" w:line="2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For disclosures regarding statutory notices of deficiency issued by the IRS on June 28, 2018 and December 10, 2018, and a petition filed by the Company with the U.S. Tax Court in September 2018, see Note 11, </w:t>
      </w:r>
      <w:r>
        <w:rPr>
          <w:rFonts w:ascii="Arial" w:cs="Arial" w:eastAsia="Arial" w:hAnsi="Arial"/>
          <w:sz w:val="18"/>
          <w:szCs w:val="18"/>
          <w:i w:val="1"/>
          <w:iCs w:val="1"/>
          <w:color w:val="auto"/>
        </w:rPr>
        <w:t>Income Tax Expense.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Company’s senior unsecured notes due 2026 (the “2026 Senior Unsecured Notes”) are fully and unconditionally guaranteed, jointly and severally, on a senior unsecured basis, subject to certain customary guarantor release conditions, by certain 100% owned material domestic subsidiaries of the Company (or the “Guarantor Subsidiaries”). The guarantee by a Guarantor Subsidiary will be released in the event of (i) the release of a Guarantor Subsidiary from its guarantee of indebtedness under the credit agreement or other indebtedness that would have required the Guarantor Subsidiary to guarantee the 2026 Senior Unsecured Notes, (ii) the sale, issuance or other disposition of capital stock of a Guarantor Subsidiary such that it is no longer a restricted subsidiary under the indenture governing the 2026 Senior Unsecured Notes, (iii) the sale of all or substantially all of a Guarantor Subsidiary’s assets, (iv) the Company’s exercise of its defeasance options under the indenture governing the 2026 Senior Unsecured Notes, (v) the dissolution or liquidation of a Guarantor Subsidiary or (vi) the sale of all the equity interest in a Guarantor Subsidiary. The Company’s other domestic subsidiaries and its foreign subsidiaries (collectively, the “Non-Guarantor Subsidiaries”) do not guarantee the 2026 Senior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28,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4,013</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8,420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9,742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(39,054)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23,633</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27,939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1,998</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5,266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(9,700)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12,721</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7,043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7,359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17,027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21,273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10,912</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23,633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28,316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25,373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(49,383)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27,939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7,467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10,638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10,075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23,935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28,922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27,115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(50,737)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29,235</w:t>
            </w:r>
          </w:p>
        </w:tc>
        <w:tc>
          <w:tcPr>
            <w:tcW w:w="0" w:type="dxa"/>
            <w:vAlign w:val="bottom"/>
          </w:tcPr>
          <w:p>
            <w:pPr>
              <w:spacing w:after="0"/>
              <w:rPr>
                <w:sz w:val="1"/>
                <w:szCs w:val="1"/>
                <w:color w:val="auto"/>
              </w:rPr>
            </w:pPr>
          </w:p>
        </w:tc>
      </w:tr>
      <w:tr>
        <w:trPr>
          <w:trHeight w:val="73"/>
        </w:trPr>
        <w:tc>
          <w:tcPr>
            <w:tcW w:w="366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gridSpan w:val="3"/>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4960" w:type="dxa"/>
            <w:vAlign w:val="bottom"/>
            <w:gridSpan w:val="11"/>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4,648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5,729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12,404</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20,998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23,935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28,922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27,115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(50,737)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29,235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3,189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December 28, 2018</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0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9,261</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5,947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8,039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6,553</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5,336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29, 2017</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6,456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6,591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1,655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Net unrealized gain, on derivative contracts and available-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28,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Net unrealized gain, on derivative contracts and available-</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for-sale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0"/>
        </w:trPr>
        <w:tc>
          <w:tcPr>
            <w:tcW w:w="4120" w:type="dxa"/>
            <w:vAlign w:val="bottom"/>
          </w:tcPr>
          <w:p>
            <w:pPr>
              <w:ind w:left="280"/>
              <w:spacing w:after="0"/>
              <w:rPr>
                <w:sz w:val="20"/>
                <w:szCs w:val="20"/>
                <w:color w:val="auto"/>
              </w:rPr>
            </w:pPr>
            <w:r>
              <w:rPr>
                <w:rFonts w:ascii="Arial" w:cs="Arial" w:eastAsia="Arial" w:hAnsi="Arial"/>
                <w:sz w:val="16"/>
                <w:szCs w:val="16"/>
                <w:color w:val="auto"/>
                <w:w w:val="93"/>
              </w:rPr>
              <w:t>Net unrealized gain on derivative contracts and available-</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280"/>
              <w:spacing w:after="0"/>
              <w:rPr>
                <w:sz w:val="20"/>
                <w:szCs w:val="20"/>
                <w:color w:val="auto"/>
              </w:rPr>
            </w:pPr>
            <w:r>
              <w:rPr>
                <w:rFonts w:ascii="Arial" w:cs="Arial" w:eastAsia="Arial" w:hAnsi="Arial"/>
                <w:sz w:val="16"/>
                <w:szCs w:val="16"/>
                <w:color w:val="auto"/>
              </w:rPr>
              <w:t>for-sale securities</w:t>
            </w:r>
          </w:p>
        </w:tc>
        <w:tc>
          <w:tcPr>
            <w:tcW w:w="94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before tax</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Total comprehensive income (loss)</w:t>
            </w: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29,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Net unrealized gain on derivative contracts and available-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for-sale securities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28, 2018</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revolving credit facility</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1,163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December 29, 2017</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Settlement of debt hedge contracts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Intercompany loan to consolidated affiliates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5,063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6,272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29, 2018. See also “Forward-Looking Statements” immediately prior to Part I, Item 1 in this Quarterly Report on Form 10-Q.</w:t>
      </w:r>
    </w:p>
    <w:p>
      <w:pPr>
        <w:spacing w:after="0" w:line="20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industry and the infrastructure that enables the proliferation of data in virtually every other industry. Our broad portfolio of technology and products address the following key markets: Client Devices; Data Center Devices and Solutions; and Client Solutions. We also generate license and royalty revenue related to our intellectual property (“IP”), which is included in each of these three categories.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flash industry is characterized by cyclicality as it responds to variations in customers’ demand for products and manages production capacity to meet that demand. The favorable demand environment for flash-based products during the last several quarters has begun to normalize as technology conversions are maturing and manufacturing yields are improving, thus increasing flash supply relative to demand. As a result, average selling price per gigabyte of flash-based products has declined.</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Through our strategic partnership with Toshiba Memory Corporation (“TMC”) referred to as “Flash Ventures”, we and TMC operate flash-based memory wafer manufacturing facilities in Yokkaichi, Japan. We are obligated to purchase half of Flash Ventures’ flash-based memory wafer supply or pay for half of Flash Ventures’ fixed costs regardless of the output we choose to purchase. We are also obligated to fund 49.9% to 50% of Flash Ventures’ capital investments to the extent that Flash Ventures’ operating cash flow is insufficient to fund these investments.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Flash Ventures has historically operated near 100% of its manufacturing capacity. As a result of the reduced demand for flash-based products, we have temporarily reduced our utilization of our share of Flash Ventures’ manufacturing capacity to an abnormally low level to more closely align our flash-based wafer supply with the projected demand. We do not expect this action to result in any incremental cash payments; however, as a result of this temporary reduction to abnormally low production levels, we incurred costs of $49 million associated with the reduction in utilization, which was recorded as a charge to cost of revenue in the three months ended December 28, 2018. Including the $49 million recorded through December 28, 2018, we expect total underutilization charges to be recorded in cost of revenue in the range of $250 million to $300 million with the substantial majority expected to be recognized by the end of the fiscal year. We may adjust our plans based on market conditions, which could impact the timing and amount of any charges.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and Expense Reduction Actions</w:t>
      </w:r>
    </w:p>
    <w:p>
      <w:pPr>
        <w:spacing w:after="0" w:line="225"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We are taking actions to better align our cost and expense structure to near-term business conditions, including accelerating the closure of our HDD manufacturing facility in Kuala Lumpur, Malaysia, rationalizing other HDD manufacturing costs and other measures to reduce our cost of revenue and operating expenses.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Second Quarter and First Half Overview</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16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December 29, 2017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 Change</w:t>
            </w:r>
          </w:p>
        </w:tc>
      </w:tr>
      <w:tr>
        <w:trPr>
          <w:trHeight w:val="190"/>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i w:val="1"/>
                <w:iCs w:val="1"/>
                <w:color w:val="auto"/>
                <w:w w:val="94"/>
              </w:rPr>
              <w:t>(in millions, except percentages)</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4,233</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5,336</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(1,103)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3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3,189</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75.3</w:t>
            </w: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3,323</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62.3</w:t>
            </w:r>
          </w:p>
        </w:tc>
        <w:tc>
          <w:tcPr>
            <w:tcW w:w="280" w:type="dxa"/>
            <w:vAlign w:val="bottom"/>
          </w:tcPr>
          <w:p>
            <w:pPr>
              <w:spacing w:after="0"/>
              <w:rPr>
                <w:sz w:val="20"/>
                <w:szCs w:val="20"/>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(134)</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(4.0)</w:t>
            </w: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1,044</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24.7</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2,013</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37.7</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(969)</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(48.1)</w:t>
            </w:r>
          </w:p>
        </w:tc>
      </w:tr>
      <w:tr>
        <w:trPr>
          <w:trHeight w:val="20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629</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11.8</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(90)</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(14.3)</w:t>
            </w: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309</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381</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20"/>
                <w:szCs w:val="20"/>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(72)</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(18.9)</w:t>
            </w: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0.9</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(28)</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(58.3)</w:t>
            </w:r>
          </w:p>
        </w:tc>
      </w:tr>
      <w:tr>
        <w:trPr>
          <w:trHeight w:val="217"/>
        </w:trPr>
        <w:tc>
          <w:tcPr>
            <w:tcW w:w="544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868</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20.5</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1,058</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18"/>
                <w:szCs w:val="18"/>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(190)</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(18.0)</w:t>
            </w: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955</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17.9</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(779)</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(81.6)</w:t>
            </w:r>
          </w:p>
        </w:tc>
      </w:tr>
      <w:tr>
        <w:trPr>
          <w:trHeight w:val="22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16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7.1</w:t>
            </w: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(118)</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(197)</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79</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(40.1)</w:t>
            </w: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w:t>
            </w:r>
          </w:p>
        </w:tc>
      </w:tr>
      <w:tr>
        <w:trPr>
          <w:trHeight w:val="217"/>
        </w:trPr>
        <w:tc>
          <w:tcPr>
            <w:tcW w:w="544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(2.2)</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86</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(47.5)</w:t>
            </w: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774</w:t>
            </w:r>
          </w:p>
        </w:tc>
        <w:tc>
          <w:tcPr>
            <w:tcW w:w="10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14.5</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(693)</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(89.5)</w:t>
            </w:r>
          </w:p>
        </w:tc>
      </w:tr>
      <w:tr>
        <w:trPr>
          <w:trHeight w:val="23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568</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1,597</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29.9</w:t>
            </w:r>
          </w:p>
        </w:tc>
        <w:tc>
          <w:tcPr>
            <w:tcW w:w="280" w:type="dxa"/>
            <w:vAlign w:val="bottom"/>
          </w:tcPr>
          <w:p>
            <w:pPr>
              <w:spacing w:after="0"/>
              <w:rPr>
                <w:sz w:val="20"/>
                <w:szCs w:val="20"/>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(1,029)</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(64.4)</w:t>
            </w: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w:t>
            </w:r>
          </w:p>
        </w:tc>
        <w:tc>
          <w:tcPr>
            <w:tcW w:w="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336</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(40.8)</w:t>
            </w:r>
          </w:p>
        </w:tc>
      </w:tr>
      <w:tr>
        <w:trPr>
          <w:trHeight w:val="20"/>
        </w:trPr>
        <w:tc>
          <w:tcPr>
            <w:tcW w:w="16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spacing w:after="0" w:line="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1680" w:type="dxa"/>
            <w:vAlign w:val="bottom"/>
            <w:gridSpan w:val="3"/>
          </w:tcPr>
          <w:p>
            <w:pPr>
              <w:jc w:val="center"/>
              <w:ind w:right="119"/>
              <w:spacing w:after="0" w:line="153" w:lineRule="exact"/>
              <w:rPr>
                <w:sz w:val="20"/>
                <w:szCs w:val="20"/>
                <w:color w:val="auto"/>
              </w:rPr>
            </w:pPr>
            <w:r>
              <w:rPr>
                <w:rFonts w:ascii="Arial" w:cs="Arial" w:eastAsia="Arial" w:hAnsi="Arial"/>
                <w:sz w:val="14"/>
                <w:szCs w:val="14"/>
                <w:b w:val="1"/>
                <w:bCs w:val="1"/>
                <w:color w:val="auto"/>
                <w:w w:val="92"/>
              </w:rPr>
              <w:t>December 29,</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i w:val="1"/>
                <w:iCs w:val="1"/>
                <w:color w:val="auto"/>
                <w:w w:val="94"/>
              </w:rPr>
              <w:t>(in millions, except percentages)</w:t>
            </w: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9,261</w:t>
            </w: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100.0 %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10,517</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3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(1,256)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6,553</w:t>
            </w: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70.8</w:t>
            </w:r>
          </w:p>
        </w:tc>
        <w:tc>
          <w:tcPr>
            <w:tcW w:w="14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6,591</w:t>
            </w:r>
          </w:p>
        </w:tc>
        <w:tc>
          <w:tcPr>
            <w:tcW w:w="34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62.7</w:t>
            </w:r>
          </w:p>
        </w:tc>
        <w:tc>
          <w:tcPr>
            <w:tcW w:w="300" w:type="dxa"/>
            <w:vAlign w:val="bottom"/>
          </w:tcPr>
          <w:p>
            <w:pPr>
              <w:spacing w:after="0"/>
              <w:rPr>
                <w:sz w:val="20"/>
                <w:szCs w:val="20"/>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(38)</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2,708</w:t>
            </w:r>
          </w:p>
        </w:tc>
        <w:tc>
          <w:tcPr>
            <w:tcW w:w="12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3,926</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37.3</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(1,218)</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1,115</w:t>
            </w:r>
          </w:p>
        </w:tc>
        <w:tc>
          <w:tcPr>
            <w:tcW w:w="12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12.0</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1,221</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11.6</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(106)</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745</w:t>
            </w:r>
          </w:p>
        </w:tc>
        <w:tc>
          <w:tcPr>
            <w:tcW w:w="34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20"/>
                <w:szCs w:val="20"/>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(80)</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0.7</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(34)</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7"/>
        </w:trPr>
        <w:tc>
          <w:tcPr>
            <w:tcW w:w="544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9"/>
              </w:rPr>
              <w:t>1,846</w:t>
            </w: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19.9</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2,066</w:t>
            </w:r>
          </w:p>
        </w:tc>
        <w:tc>
          <w:tcPr>
            <w:tcW w:w="34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19.6</w:t>
            </w:r>
          </w:p>
        </w:tc>
        <w:tc>
          <w:tcPr>
            <w:tcW w:w="300" w:type="dxa"/>
            <w:vAlign w:val="bottom"/>
          </w:tcPr>
          <w:p>
            <w:pPr>
              <w:spacing w:after="0"/>
              <w:rPr>
                <w:sz w:val="18"/>
                <w:szCs w:val="18"/>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(220)</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w:t>
            </w:r>
          </w:p>
        </w:tc>
        <w:tc>
          <w:tcPr>
            <w:tcW w:w="12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9.3</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1,860</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17.7</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(998)</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24"/>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0.3</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(234)</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(402)</w:t>
            </w:r>
          </w:p>
        </w:tc>
        <w:tc>
          <w:tcPr>
            <w:tcW w:w="340" w:type="dxa"/>
            <w:vAlign w:val="bottom"/>
          </w:tcPr>
          <w:p>
            <w:pPr>
              <w:spacing w:after="0"/>
              <w:rPr>
                <w:sz w:val="20"/>
                <w:szCs w:val="20"/>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168</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10</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7"/>
        </w:trPr>
        <w:tc>
          <w:tcPr>
            <w:tcW w:w="544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(2.1)</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34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8"/>
                <w:szCs w:val="18"/>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178</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664</w:t>
            </w:r>
          </w:p>
        </w:tc>
        <w:tc>
          <w:tcPr>
            <w:tcW w:w="12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7.2</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1,484</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14.1</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(820)</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37"/>
        </w:trPr>
        <w:tc>
          <w:tcPr>
            <w:tcW w:w="544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640</w:t>
            </w: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1,626</w:t>
            </w:r>
          </w:p>
        </w:tc>
        <w:tc>
          <w:tcPr>
            <w:tcW w:w="34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15.5</w:t>
            </w:r>
          </w:p>
        </w:tc>
        <w:tc>
          <w:tcPr>
            <w:tcW w:w="300" w:type="dxa"/>
            <w:vAlign w:val="bottom"/>
          </w:tcPr>
          <w:p>
            <w:pPr>
              <w:spacing w:after="0"/>
              <w:rPr>
                <w:sz w:val="20"/>
                <w:szCs w:val="20"/>
                <w:color w:val="auto"/>
              </w:rPr>
            </w:pP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(986)</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2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166</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1"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sets forth, for the periods presented, summary information regarding our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29, 2017</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28, 2018</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December 29, 2017</w:t>
            </w:r>
          </w:p>
        </w:tc>
      </w:t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5"/>
          </w:tcPr>
          <w:p>
            <w:pPr>
              <w:ind w:left="50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66"/>
        </w:trPr>
        <w:tc>
          <w:tcPr>
            <w:tcW w:w="5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End Market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Client Devices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2,214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2,647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4,864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5,323</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Data Center Devices &amp;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2,803</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Client Solutions</w:t>
            </w: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2,391</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10,517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by Geography (%)</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Europe, Middle East and Africa</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Asia</w:t>
            </w: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020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2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Prior year information is presented in accordance with the accounting guidance in effect during that period and has not been updated for Topic 606.</w:t>
      </w:r>
    </w:p>
    <w:p>
      <w:pPr>
        <w:spacing w:after="0" w:line="200" w:lineRule="exact"/>
        <w:rPr>
          <w:rFonts w:ascii="Arial" w:cs="Arial" w:eastAsia="Arial" w:hAnsi="Arial"/>
          <w:sz w:val="24"/>
          <w:szCs w:val="24"/>
          <w:color w:val="auto"/>
          <w:vertAlign w:val="superscript"/>
        </w:rPr>
      </w:pPr>
    </w:p>
    <w:p>
      <w:pPr>
        <w:spacing w:after="0" w:line="244" w:lineRule="exact"/>
        <w:rPr>
          <w:rFonts w:ascii="Arial" w:cs="Arial" w:eastAsia="Arial" w:hAnsi="Arial"/>
          <w:sz w:val="24"/>
          <w:szCs w:val="24"/>
          <w:color w:val="auto"/>
          <w:vertAlign w:val="superscript"/>
        </w:rPr>
      </w:pPr>
    </w:p>
    <w:p>
      <w:pPr>
        <w:ind w:left="5620"/>
        <w:spacing w:after="0"/>
        <w:rPr>
          <w:rFonts w:ascii="Arial" w:cs="Arial" w:eastAsia="Arial" w:hAnsi="Arial"/>
          <w:sz w:val="24"/>
          <w:szCs w:val="24"/>
          <w:color w:val="auto"/>
          <w:vertAlign w:val="superscript"/>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 and Gross Margin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i w:val="1"/>
          <w:iCs w:val="1"/>
          <w:color w:val="auto"/>
        </w:rPr>
        <w:t xml:space="preserve">Net Revenue. </w:t>
      </w:r>
      <w:r>
        <w:rPr>
          <w:rFonts w:ascii="Arial" w:cs="Arial" w:eastAsia="Arial" w:hAnsi="Arial"/>
          <w:sz w:val="16"/>
          <w:szCs w:val="16"/>
          <w:color w:val="auto"/>
        </w:rPr>
        <w:t>The decrease in net revenue in the three months ended December 28, 2018 from the comparable period of the prior year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lower average selling prices per gigabyte for flash-based products and lower sales of client compute HDD, capacity enterprise HDD and performance enterprise HDD products. Client Devices revenue decreased 16.4% year over year, primarily driven by a reduction in client compute HDD and flash-based mobile products, partially offset by higher revenue in client SSD. Our revenue for Data Center Devices and Solutions decreased 25.1% year over year, primarily driven by lower sales of enterprise SSD, capacity enterprise HDD and performance enterprise HDD products. Client Solutions revenue decreased 24.7% year over year, primarily driven by lower sales of retail HDD and lower average selling prices per gigabyte of flash-based products.</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decrease in net revenue for the six months ended December 28, 2018, compared to the same period in the prior year, is primarily due to lower average selling prices per gigabyte for flash-based products and lower sales of client compute HDD, enterprise SSD and performance enterprise HDD products, partially offset by higher sales of capacity enterprise HDD, flash-based mobile products and client SSD. Client Devices revenue for the six months ended December 28, 2018 decreased 8.6% year over year, primarily driven by lower sales of client compute HDD products, partially offset by stronger sales in the first quarter of flash-based mobile products and client SSD. Our revenue for Data Center Devices and Solutions for the six months ended December 28, 2018 decreased 10.1% year over year, driven primarily by lower sales of our enterprise SSDs and performance enterprise HDDs, partially offset by higher sales of capacity enterprise HDDs. Client Solutions revenue for the six months ended December 28, 2018 decreased 21.5% year over year, primarily driven by lower sales of retail HDD and lower average selling prices per gigabyte of flash-based products.</w:t>
      </w:r>
    </w:p>
    <w:p>
      <w:pPr>
        <w:spacing w:after="0" w:line="1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top 10 customers accounted for 47% of our net revenue for the three and six months ended December 28, 2018, respectively, and 42% and 41% of our net revenue for the three and six months ended December 29, 2017, respectively. For the three and six months ended December 28, 2018 and December 29, 2017, no single customer accounted for 10% or more of our net revenue.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net revenue by geography generally reflect normal fluctuations in market demand and competitive dynamics.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Consistent with standard industry practice, we have sales incentive and marketing programs that provide customers with price protection and other incentives or reimbursements that are recorded as a reduction to gross revenue. For the three and six months ended December 28, 2018, these programs represented 16% and 14% of gross revenues, respectively. For the three and six months ended December 29, 2017, these programs represented 12% and 13% of gross revenues, respectively.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16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The decreases in gross profit for the three and six months ended December 28, 2018 from the comparable periods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 were primarily due to the lower average selling prices per gigabyte for flash-based products and the flash manufacturing underutilization charge recorded in the three months ended December 28, 2018. Gross profit and gross margin include amortization expense on acquired intangible assets, stock-based compensation, a flash manufacturing underutilization charge, and charges related to the implementation of cost-saving initiatives and other charges, which aggregated $283 million, or 6.7%, of revenue, compared to $293 million, or 5.5%, of revenue, for the three months ended December 28, 2018 and December 29, 2017, respectively, and $530 million, or 5.7%, of revenue, compared to $572 million, or 5.4%, of revenue, for the six months ended December 28, 2018 and December 29, 2017, respectively. Including the $49 million recognized through December 28, 2018, we expect gross margins to be negatively impacted by flash manufacturing underutilization charges to be recorded in cost of revenue in the range of $250 million to $300 million with the substantial majority expected to be recognized by the end of the fiscal year.</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decreases in research and development (“R&amp;D”) expense for both the three and six months ended December 28, 2018 from the same periods in the prior year are primarily due to lower variable compensation expense and lower stock-based compensation expenses.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decreases in selling, general and administrative (“SG&amp;A”) expense for both the three and six months ended December 28, 2018 from the same periods in the prior year are primarily due to lower variable compensation expense. In addition, we had lower charges related to stock-based compensation expenses, amortization expense on acquired intangible assets, charges related to the implementation of cost-saving initiatives, acquisition-related charges and other charges which aggregated to $68 million for the three months ended December 28, 2018 compared to $97 million for the three months ended December 29, 2017 and aggregated to $141 million for the six months ended December 28, 2018 compared to $187 million in the six months ended December 29, 2017.</w:t>
      </w:r>
    </w:p>
    <w:p>
      <w:pPr>
        <w:spacing w:after="0" w:line="193" w:lineRule="exact"/>
        <w:rPr>
          <w:sz w:val="20"/>
          <w:szCs w:val="20"/>
          <w:color w:val="auto"/>
        </w:rPr>
      </w:pPr>
    </w:p>
    <w:p>
      <w:pPr>
        <w:ind w:right="220" w:firstLine="324"/>
        <w:spacing w:after="0" w:line="221" w:lineRule="exact"/>
        <w:rPr>
          <w:sz w:val="20"/>
          <w:szCs w:val="20"/>
          <w:color w:val="auto"/>
        </w:rPr>
      </w:pPr>
      <w:r>
        <w:rPr>
          <w:rFonts w:ascii="Arial" w:cs="Arial" w:eastAsia="Arial" w:hAnsi="Arial"/>
          <w:sz w:val="16"/>
          <w:szCs w:val="16"/>
          <w:color w:val="auto"/>
        </w:rPr>
        <w:t xml:space="preserve">Employee termination, asset impairment and other charges primarily related to actions associated with the realignment of our business. For additional information regarding employee termination, asset impairment and other charges, see Part I, Item 1, Note 13, </w:t>
      </w:r>
      <w:r>
        <w:rPr>
          <w:rFonts w:ascii="Arial" w:cs="Arial" w:eastAsia="Arial" w:hAnsi="Arial"/>
          <w:sz w:val="16"/>
          <w:szCs w:val="16"/>
          <w:i w:val="1"/>
          <w:iCs w:val="1"/>
          <w:color w:val="auto"/>
        </w:rPr>
        <w:t>Employee Termination, Asset Impairment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Charges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decreases in total interest and other expense, net for both the three and six months ended December 28, 2018 are primarily due to lower interest expense resulting from reductions in the principal amount of debt and lower interest rates as a result of changes to our debt facilities in the third and fourth quarters of fiscal 2018, partially offset by increases in the LIBOR interest rate.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income tax information from our Condensed Consolidated Statements of Operations by dollar and effective tax rate: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3"/>
              </w:rPr>
              <w:t>December 28, 2018</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3"/>
              </w:rPr>
              <w:t>December 29, 2017</w:t>
            </w:r>
          </w:p>
        </w:tc>
      </w:tr>
      <w:tr>
        <w:trPr>
          <w:trHeight w:val="190"/>
        </w:trPr>
        <w:tc>
          <w:tcPr>
            <w:tcW w:w="8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3"/>
          </w:tcPr>
          <w:p>
            <w:pPr>
              <w:jc w:val="right"/>
              <w:ind w:right="541"/>
              <w:spacing w:after="0"/>
              <w:rPr>
                <w:sz w:val="20"/>
                <w:szCs w:val="20"/>
                <w:color w:val="auto"/>
              </w:rPr>
            </w:pPr>
            <w:r>
              <w:rPr>
                <w:rFonts w:ascii="Arial" w:cs="Arial" w:eastAsia="Arial" w:hAnsi="Arial"/>
                <w:sz w:val="14"/>
                <w:szCs w:val="14"/>
                <w:i w:val="1"/>
                <w:iCs w:val="1"/>
                <w:color w:val="auto"/>
              </w:rPr>
              <w:t>(in millions, except percentages)</w:t>
            </w:r>
          </w:p>
        </w:tc>
      </w:tr>
      <w:tr>
        <w:trPr>
          <w:trHeight w:val="66"/>
        </w:trPr>
        <w:tc>
          <w:tcPr>
            <w:tcW w:w="8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3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774</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440" w:type="dxa"/>
            <w:vAlign w:val="bottom"/>
          </w:tcPr>
          <w:p>
            <w:pPr>
              <w:jc w:val="right"/>
              <w:ind w:right="143"/>
              <w:spacing w:after="0"/>
              <w:rPr>
                <w:sz w:val="20"/>
                <w:szCs w:val="20"/>
                <w:color w:val="auto"/>
              </w:rPr>
            </w:pPr>
            <w:r>
              <w:rPr>
                <w:rFonts w:ascii="Arial" w:cs="Arial" w:eastAsia="Arial" w:hAnsi="Arial"/>
                <w:sz w:val="16"/>
                <w:szCs w:val="16"/>
                <w:color w:val="auto"/>
              </w:rPr>
              <w:t>568</w:t>
            </w:r>
          </w:p>
        </w:tc>
        <w:tc>
          <w:tcPr>
            <w:tcW w:w="180" w:type="dxa"/>
            <w:vAlign w:val="bottom"/>
          </w:tcPr>
          <w:p>
            <w:pPr>
              <w:spacing w:after="0"/>
              <w:rPr>
                <w:sz w:val="20"/>
                <w:szCs w:val="20"/>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1,597</w:t>
            </w:r>
          </w:p>
        </w:tc>
      </w:tr>
      <w:tr>
        <w:trPr>
          <w:trHeight w:val="33"/>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701%</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8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Tax Cuts and Jobs Act (the “2017 Act”), enacted on December 22, 2017, includes a broad range of tax reform proposals affecting businesses, including a reduction in the U.S. federal corporate tax rate from 35% to 21%, a one-time mandatory deemed repatriation tax on earnings of certain foreign subsidiaries that were previously tax deferred and the creation of new taxes on certain foreign earnings.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When initially accounting for the tax effects of the enactment of the 2017 Act, we applied the applicable Securities and Exchange Commission (“SEC”) guidance and made a reasonable estimate of the effects on our existing deferred tax balances and the one-time mandatory deemed repatriation tax required by the 2017 Act. As we finalized the accounting for the tax effects of the enactment of the 2017 Act during the one-year measurement period permitted by applicable SEC guidance, we reflected adjustments to the recorded provisional amounts. As of December 28, 2018, we completed our accounting for the tax effects of the enactment of the 2017 Act. Although the U.S. Treasury and the Internal Revenue Service (“IRS”) have issued tax guidance on certain provisions of the 2017 Act since the enactment date, we anticipate the issuance of future additional regulatory and interpretive guidance, even though the one-year measurement period has ended. Although we were able to apply a reasonable interpretation of the law along with any available guidance in finalizing our accounting for the tax effects of the 2017 Act, such future additional regulatory or interpretive guidance would constitute new information which may require further refinements to our estimates in future periods.</w:t>
      </w:r>
    </w:p>
    <w:p>
      <w:pPr>
        <w:spacing w:after="0" w:line="18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primary driver of the difference between the effective tax rate for the three and six months ended December 28, 2018 and the U.S. Federal statutory rate of 21% is the discrete effect of the finalization of the accounting for the tax effects of the enactment of the 2017 Act. For the three months ended December 28, 2018, these discrete effects consist of $230 million related to the mandatory deemed repatriation tax and $134 million related to the decision to change our indefinite reinvestment assertion. For the six months ended December 28, 2018, these discrete effects consist of $178 million related to the mandatory deemed repatriation tax and $144 million related to the decision to change our indefinite reinvestment assertion. For both periods, the remaining difference is attributable primarily to the changes in the relative mix of our U.S. earnings compared to foreign earnings.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primary drivers for the difference between the effective tax rate for the three and six months ended December 29, 2017 and the U.S. Federal statutory rate of 28% are related to the net charge of $1.66 billion for the one-time mandatory deemed repatriation tax, offset in part by an income tax benefit related to the re-measurement of deferred taxes as required by the 2017 Act. Excluding these items, the effective tax rate for the three and six months ended December 29, 2017 would be approximately 4%. The primary drivers for the remaining difference between the effective tax rate for the three and six months ended December 29, 2017 and the U.S. Federal statutory rate of 28% are the current year generation of tax credits, and tax holidays in Malaysia, Philippines, Singapore and Thailand that expire at various dates during fiscal years 2018 through 2030 and windfall tax benefits related to vesting and exercises of stock-based awards. The windfall tax benefits are a result of the adoption of ASU 2016-09, which requires us to now recognize $5 million and $27 million of windfall tax benefits related to vesting and exercises of stock-based awards as a component of our income tax expense for the three and six months ended December 29, 2017, respectively.</w:t>
      </w:r>
    </w:p>
    <w:p>
      <w:pPr>
        <w:spacing w:after="0" w:line="19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future effective tax rate is subject to future regulatory developments and changes in the mix of our U.S. earnings compared to foreign earnings. Our total tax expense in future fiscal years may also vary as a result of discrete items such as excess tax benefits or deficiencies.</w:t>
      </w:r>
    </w:p>
    <w:p>
      <w:pPr>
        <w:spacing w:after="0" w:line="170" w:lineRule="exact"/>
        <w:rPr>
          <w:sz w:val="20"/>
          <w:szCs w:val="20"/>
          <w:color w:val="auto"/>
        </w:rPr>
      </w:pPr>
    </w:p>
    <w:p>
      <w:pPr>
        <w:ind w:right="780" w:firstLine="324"/>
        <w:spacing w:after="0" w:line="223" w:lineRule="exact"/>
        <w:rPr>
          <w:sz w:val="20"/>
          <w:szCs w:val="20"/>
          <w:color w:val="auto"/>
        </w:rPr>
      </w:pPr>
      <w:r>
        <w:rPr>
          <w:rFonts w:ascii="Arial" w:cs="Arial" w:eastAsia="Arial" w:hAnsi="Arial"/>
          <w:sz w:val="18"/>
          <w:szCs w:val="18"/>
          <w:color w:val="auto"/>
        </w:rPr>
        <w:t xml:space="preserve">For additional information regarding income tax expense (benefit), see Part I, Item 1, Note 11,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0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300" w:type="dxa"/>
            <w:vAlign w:val="bottom"/>
          </w:tcPr>
          <w:p>
            <w:pPr>
              <w:spacing w:after="0"/>
              <w:rPr>
                <w:sz w:val="13"/>
                <w:szCs w:val="13"/>
                <w:color w:val="auto"/>
              </w:rPr>
            </w:pPr>
          </w:p>
        </w:tc>
        <w:tc>
          <w:tcPr>
            <w:tcW w:w="1160" w:type="dxa"/>
            <w:vAlign w:val="bottom"/>
          </w:tcPr>
          <w:p>
            <w:pPr>
              <w:jc w:val="right"/>
              <w:ind w:right="242"/>
              <w:spacing w:after="0" w:line="153" w:lineRule="exact"/>
              <w:rPr>
                <w:sz w:val="20"/>
                <w:szCs w:val="20"/>
                <w:color w:val="auto"/>
              </w:rPr>
            </w:pPr>
            <w:r>
              <w:rPr>
                <w:rFonts w:ascii="Arial" w:cs="Arial" w:eastAsia="Arial" w:hAnsi="Arial"/>
                <w:sz w:val="14"/>
                <w:szCs w:val="14"/>
                <w:b w:val="1"/>
                <w:bCs w:val="1"/>
                <w:color w:val="auto"/>
                <w:w w:val="90"/>
              </w:rPr>
              <w:t>December 29,</w:t>
            </w: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2,315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(1,391)</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20" w:lineRule="exact"/>
        <w:rPr>
          <w:sz w:val="20"/>
          <w:szCs w:val="20"/>
          <w:color w:val="auto"/>
        </w:rPr>
      </w:pPr>
      <w:r>
        <w:rPr>
          <w:rFonts w:ascii="Arial" w:cs="Arial" w:eastAsia="Arial" w:hAnsi="Arial"/>
          <w:sz w:val="17"/>
          <w:szCs w:val="17"/>
          <w:color w:val="auto"/>
        </w:rPr>
        <w:t xml:space="preserve">We believe our cash, cash equivalents and cash generated from operations as well as our available credit facilities will be sufficient to meet our working capital, debt, stock repurchases, dividend and capital expenditure needs for at least the next twelve months. Our ability to sustain our working capital position is subject to a number of risks that we discuss in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See also “</w:t>
      </w:r>
      <w:r>
        <w:rPr>
          <w:rFonts w:ascii="Arial" w:cs="Arial" w:eastAsia="Arial" w:hAnsi="Arial"/>
          <w:sz w:val="17"/>
          <w:szCs w:val="17"/>
          <w:i w:val="1"/>
          <w:iCs w:val="1"/>
          <w:color w:val="auto"/>
        </w:rPr>
        <w:t>Debt</w:t>
      </w:r>
      <w:r>
        <w:rPr>
          <w:rFonts w:ascii="Arial" w:cs="Arial" w:eastAsia="Arial" w:hAnsi="Arial"/>
          <w:sz w:val="17"/>
          <w:szCs w:val="17"/>
          <w:color w:val="auto"/>
        </w:rPr>
        <w:t>” below for information regarding the credit agreement governing our revolving credit facility and term loans (as amended, the “Credit Agreement”).</w:t>
      </w:r>
    </w:p>
    <w:p>
      <w:pPr>
        <w:spacing w:after="0" w:line="204"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During fiscal 2019, we expect cash used for purchases of property, plant and equipment and net activity in notes receivable and equity investments relating to our Flash Ventures joint venture with Toshiba Memory Corporation to be approximately $1.50 billion to $1.90 billion. The total expected cash to be used could vary depending on the timing and completion of various capital projects and the availability, timing and terms of related financing.</w:t>
      </w:r>
    </w:p>
    <w:p>
      <w:pPr>
        <w:spacing w:after="0" w:line="147" w:lineRule="exact"/>
        <w:rPr>
          <w:sz w:val="20"/>
          <w:szCs w:val="20"/>
          <w:color w:val="auto"/>
        </w:rPr>
      </w:pPr>
    </w:p>
    <w:p>
      <w:pPr>
        <w:ind w:right="60" w:firstLine="324"/>
        <w:spacing w:after="0" w:line="217" w:lineRule="exact"/>
        <w:rPr>
          <w:sz w:val="20"/>
          <w:szCs w:val="20"/>
          <w:color w:val="auto"/>
        </w:rPr>
      </w:pPr>
      <w:r>
        <w:rPr>
          <w:rFonts w:ascii="Arial" w:cs="Arial" w:eastAsia="Arial" w:hAnsi="Arial"/>
          <w:sz w:val="16"/>
          <w:szCs w:val="16"/>
          <w:color w:val="auto"/>
        </w:rPr>
        <w:t xml:space="preserve">A total of $2.68 billion and $4.15 billion of our cash and cash equivalents was held outside of the U.S. as of December 28, 2018 and June 29, 2018, respectively. As of December 28, 2018, we finalized the accounting for the tax effects of the mandatory deemed repatriation tax on our indefinite reinvestment assertion. After re-evaluating the existing short- and long-term capital allocation polices, we intend to repatriate all of our foreign undistributed earnings. Accordingly, during the six months ended December 28, 2018, we included a foreign income tax expense of $242 million related to foreign withholding taxes partially offset by foreign tax credits of $82 million. In addition, a state income tax expense of $54 million was recorded, partially offset by a decrease to our valuation allowance of $45 million. Amounts related to federal taxes other than the repatriation tax were not material. Our decision to change our indefinite reinvestment assertion is based on interpretative guidance issued by the IRS to date related to the ordering and the taxation of a repatriation of our foreign undistributed earnings. For additional information regarding our indefinite reinvestment assertion, see Part I, Item 1, Note 11,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 xml:space="preserve">Cash flow from operating activities primarily consists of net income, adjusted for non-cash charges, plus or minus changes in other operating assets and liabilities. This represents our principal source of cash. Net cash used for changes in other operating assets and liabilities was $298 million for the six months ended December 28, 2018, as compared to net cash provided of $1.27 billion for the six months ended December 29, 2017. The net cash provided by changes in other operating assets and liabilities in the six months ended December 29, 2017 primarily reflects the payable recorded for the mandatory deemed repatriation tax as described in Part I, Item 1, Note 11,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Changes in our other operating assets and liabilities are also largely affected by our working capital requirements, which are dependent on the effective management of our cash conversion cycle. Our cash conversion cycle measures how quickly we can convert our products into cash through sales. The cash conversion cycles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Quarter to Date</w:t>
            </w:r>
          </w:p>
        </w:tc>
      </w:tr>
      <w:tr>
        <w:trPr>
          <w:trHeight w:val="152"/>
        </w:trPr>
        <w:tc>
          <w:tcPr>
            <w:tcW w:w="8340" w:type="dxa"/>
            <w:vAlign w:val="bottom"/>
          </w:tcPr>
          <w:p>
            <w:pPr>
              <w:spacing w:after="0"/>
              <w:rPr>
                <w:sz w:val="13"/>
                <w:szCs w:val="13"/>
                <w:color w:val="auto"/>
              </w:rPr>
            </w:pPr>
          </w:p>
        </w:tc>
        <w:tc>
          <w:tcPr>
            <w:tcW w:w="1860" w:type="dxa"/>
            <w:vAlign w:val="bottom"/>
            <w:gridSpan w:val="3"/>
          </w:tcPr>
          <w:p>
            <w:pPr>
              <w:ind w:left="320"/>
              <w:spacing w:after="0" w:line="153" w:lineRule="exact"/>
              <w:rPr>
                <w:sz w:val="20"/>
                <w:szCs w:val="20"/>
                <w:color w:val="auto"/>
              </w:rPr>
            </w:pPr>
            <w:r>
              <w:rPr>
                <w:rFonts w:ascii="Arial" w:cs="Arial" w:eastAsia="Arial" w:hAnsi="Arial"/>
                <w:sz w:val="14"/>
                <w:szCs w:val="14"/>
                <w:b w:val="1"/>
                <w:bCs w:val="1"/>
                <w:color w:val="auto"/>
              </w:rPr>
              <w:t>December 28,</w:t>
            </w:r>
          </w:p>
        </w:tc>
        <w:tc>
          <w:tcPr>
            <w:tcW w:w="122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w w:val="94"/>
              </w:rPr>
              <w:t>December 29,</w:t>
            </w: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860" w:type="dxa"/>
            <w:vAlign w:val="bottom"/>
            <w:gridSpan w:val="3"/>
          </w:tcPr>
          <w:p>
            <w:pPr>
              <w:jc w:val="center"/>
              <w:ind w:left="1159"/>
              <w:spacing w:after="0"/>
              <w:rPr>
                <w:sz w:val="20"/>
                <w:szCs w:val="20"/>
                <w:color w:val="auto"/>
              </w:rPr>
            </w:pPr>
            <w:r>
              <w:rPr>
                <w:rFonts w:ascii="Arial" w:cs="Arial" w:eastAsia="Arial" w:hAnsi="Arial"/>
                <w:sz w:val="14"/>
                <w:szCs w:val="14"/>
                <w:i w:val="1"/>
                <w:iCs w:val="1"/>
                <w:color w:val="auto"/>
                <w:w w:val="93"/>
              </w:rPr>
              <w:t>(in days)</w:t>
            </w:r>
          </w:p>
        </w:tc>
        <w:tc>
          <w:tcPr>
            <w:tcW w:w="122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Days in inventory</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83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8"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For the three months ended December 28, 2018, DSO increased by 2 days over the prior year, primarily reflecting the timing of shipments and customer collections. DIO increased by 36 days over the prior year, primarily reflecting increases in hard drive inventory in preparation for the planned plant closures in Kuala Lumpur, Malaysia and increases in flash inventory. DPO increased by 5 days over the prior year, primarily reflecting routine variations in timing of purchases and payments during the period.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six months ended December 28, 2018, net cash used in investing activities primarily consisted of $500 million of capital expenditures and a net $196 million increase in notes receivable issuances to Flash Ventures to fund its capital expansion. Net cash used in investing activities for the six months ended December 29, 2017 primarily consisted of $416 million of capital expenditures, a $509 million net increase in notes receivable issuances to and investments in Flash Ventures and $99 million for acquisitions.</w:t>
      </w:r>
    </w:p>
    <w:p>
      <w:pPr>
        <w:spacing w:after="0" w:line="18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as well as bank certificates of deposit. In addition, we invest directly in U.S. Treasury securities, U.S. and International Government agency securities, certificates of deposit, asset-backed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During the six months ended December 28, 2018, net cash used in financing activities primarily consisted of $575 million for the repayment of our revolving credit facility and debt, $563 million of share repurchases and $292 million to pay dividends on our common stock. Net cash used in financing activities for the six months ended December 29, 2017 primarily consisted of a net $1.15 billion reduction in debt and $295 million to pay dividends on our common stock.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 xml:space="preserve">Other than the commitments related to Flash Ventures, facility lease commitments incurred in the normal course of business and certain indemnification provisions (see “Short and Long-term Liquidity-Contractual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9, </w:t>
      </w:r>
      <w:r>
        <w:rPr>
          <w:rFonts w:ascii="Arial" w:cs="Arial" w:eastAsia="Arial" w:hAnsi="Arial"/>
          <w:sz w:val="17"/>
          <w:szCs w:val="17"/>
          <w:i w:val="1"/>
          <w:iCs w:val="1"/>
          <w:color w:val="auto"/>
        </w:rPr>
        <w:t>Commitments, Contingencies and Related Parties</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December 28,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1 Year (Remaining</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2-3 Years (2020-</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4-5 Years (2022-</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6 months of 2019)</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(Beyond 2023)</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10,800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2,137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6,769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Mandatory Deemed Repatriation Tax</w:t>
            </w:r>
          </w:p>
        </w:tc>
        <w:tc>
          <w:tcPr>
            <w:tcW w:w="2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5,017</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Principal portion of debt, excluding discounts and issuance costs.</w:t>
      </w:r>
    </w:p>
    <w:p>
      <w:pPr>
        <w:spacing w:after="0" w:line="1" w:lineRule="exact"/>
        <w:rPr>
          <w:rFonts w:ascii="Arial" w:cs="Arial" w:eastAsia="Arial" w:hAnsi="Arial"/>
          <w:sz w:val="25"/>
          <w:szCs w:val="25"/>
          <w:color w:val="auto"/>
          <w:vertAlign w:val="superscript"/>
        </w:rPr>
      </w:pPr>
    </w:p>
    <w:p>
      <w:pPr>
        <w:ind w:left="340" w:right="120" w:hanging="332"/>
        <w:spacing w:after="0" w:line="221"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had $10.80 billion of debt outstanding as of December 28, 2018, including $7.37 billion of term loans under our Credit Agreement, $2.30 billion of senior unsecured notes due 2024 and $1.10 billion of convertible notes due 2024.</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Under the Credit Agreement, we are required to comply with certain financial covenants with respect to the revolving credit facility and Term Loan A-1, which consist of a leverage ratio and an interest coverage ratio. As of December 28, 2018, we were in compliance with all financial covenants under the Credit Agreement.</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financial covenants are based upon a trailing twelve-month Adjusted EBITDA as defined in the Credit Agreement. Our Adjusted EBITDA declined significantly during the three months ended December 28, 2018, and such decline may continue. Sustained deterioration in our operating results could cause our trailing twelve-month Adjusted EBITDA to drop below the threshold required for compliance with our leverage ratio, which could result in an event of default under the Credit Agreement. If an event of default under the Credit Agreement were to occur and if we were not able to obtain a waiver from the required lenders (or if we were not able to obtain such waiver on terms acceptable to us), there could be significant negative consequences for the Company. See Part II, Item 1A, “</w:t>
      </w:r>
      <w:r>
        <w:rPr>
          <w:rFonts w:ascii="Arial" w:cs="Arial" w:eastAsia="Arial" w:hAnsi="Arial"/>
          <w:sz w:val="17"/>
          <w:szCs w:val="17"/>
          <w:i w:val="1"/>
          <w:iCs w:val="1"/>
          <w:color w:val="auto"/>
        </w:rPr>
        <w:t>Risk Factors—Our high level of debt may have an adverse impact on our liquidity, restrict our current and future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particularly our ability to respond to business opportunities, and increase our vulnerability to adverse economic and industry conditions</w:t>
      </w:r>
      <w:r>
        <w:rPr>
          <w:rFonts w:ascii="Arial" w:cs="Arial" w:eastAsia="Arial" w:hAnsi="Arial"/>
          <w:sz w:val="17"/>
          <w:szCs w:val="17"/>
          <w:color w:val="auto"/>
        </w:rPr>
        <w:t>” for a discussion of</w:t>
      </w:r>
      <w:r>
        <w:rPr>
          <w:rFonts w:ascii="Arial" w:cs="Arial" w:eastAsia="Arial" w:hAnsi="Arial"/>
          <w:sz w:val="17"/>
          <w:szCs w:val="17"/>
          <w:i w:val="1"/>
          <w:iCs w:val="1"/>
          <w:color w:val="auto"/>
        </w:rPr>
        <w:t xml:space="preserve"> </w:t>
      </w:r>
      <w:r>
        <w:rPr>
          <w:rFonts w:ascii="Arial" w:cs="Arial" w:eastAsia="Arial" w:hAnsi="Arial"/>
          <w:sz w:val="17"/>
          <w:szCs w:val="17"/>
          <w:color w:val="auto"/>
        </w:rPr>
        <w:t>risks related to our level of debt, including the consequences of an event of default thereunder.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firstLine="324"/>
        <w:spacing w:after="0" w:line="220" w:lineRule="exact"/>
        <w:rPr>
          <w:sz w:val="20"/>
          <w:szCs w:val="20"/>
          <w:color w:val="auto"/>
        </w:rPr>
      </w:pPr>
      <w:r>
        <w:rPr>
          <w:rFonts w:ascii="Arial" w:cs="Arial" w:eastAsia="Arial" w:hAnsi="Arial"/>
          <w:sz w:val="17"/>
          <w:szCs w:val="17"/>
          <w:color w:val="auto"/>
        </w:rPr>
        <w:t xml:space="preserve">Additional information regarding our indebtedness, including information about new borrowings and repayments, increased availability under our revolving credit facility and the principal repayment terms, interest rates, covenants and other key terms of our outstanding indebtedness, is included in Part I, Item 1, Note 7, </w:t>
      </w:r>
      <w:r>
        <w:rPr>
          <w:rFonts w:ascii="Arial" w:cs="Arial" w:eastAsia="Arial" w:hAnsi="Arial"/>
          <w:sz w:val="17"/>
          <w:szCs w:val="17"/>
          <w:i w:val="1"/>
          <w:iCs w:val="1"/>
          <w:color w:val="auto"/>
        </w:rPr>
        <w:t>Debt</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Q and Part II, Item 8, Note 6, </w:t>
      </w:r>
      <w:r>
        <w:rPr>
          <w:rFonts w:ascii="Arial" w:cs="Arial" w:eastAsia="Arial" w:hAnsi="Arial"/>
          <w:sz w:val="17"/>
          <w:szCs w:val="17"/>
          <w:i w:val="1"/>
          <w:iCs w:val="1"/>
          <w:color w:val="auto"/>
        </w:rPr>
        <w:t>Debt</w:t>
      </w:r>
      <w:r>
        <w:rPr>
          <w:rFonts w:ascii="Arial" w:cs="Arial" w:eastAsia="Arial" w:hAnsi="Arial"/>
          <w:sz w:val="17"/>
          <w:szCs w:val="17"/>
          <w:color w:val="auto"/>
        </w:rPr>
        <w:t>, of the Notes to Consolidated Financial Statements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June 29, 2018.</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6"/>
          <w:szCs w:val="16"/>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December 28, 2018, we were in compliance with all covenants under these Japanese lease facilities. See Part I, Item 1, Note 9, </w:t>
      </w:r>
      <w:r>
        <w:rPr>
          <w:rFonts w:ascii="Arial" w:cs="Arial" w:eastAsia="Arial" w:hAnsi="Arial"/>
          <w:sz w:val="16"/>
          <w:szCs w:val="16"/>
          <w:i w:val="1"/>
          <w:iCs w:val="1"/>
          <w:color w:val="auto"/>
        </w:rPr>
        <w:t>Commitments, Contingencies and Related Parties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information regarding Flash Ventures.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In addition, we have entered into long-term purchase agreements with various component suppliers, containing minimum quantity requirements. However, the dollar amount of the purchases may depend on the specific products ordered, achievement of pre-defined quantity or quality specifications or future price negotiations. The estimated related minimum purchase requirements are included in “Purchase obligations” in the table above. We have also entered into long-term purchase agreements with various component suppliers that carry fixed volumes and pricing which obligate us to make certain future purchases, contingent on certain conditions of performance, quality and technology of the vendor’s components. These arrangements are included under “Purchase obligations” in the table above.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Mandatory Deemed Repatriation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our estimated mandatory deemed repatriation tax obligations that are payable in the following fiscal years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six months of 2019</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2024</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2026</w:t>
            </w:r>
          </w:p>
        </w:tc>
        <w:tc>
          <w:tcPr>
            <w:tcW w:w="5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336</w:t>
            </w:r>
          </w:p>
        </w:tc>
      </w:tr>
      <w:tr>
        <w:trPr>
          <w:trHeight w:val="33"/>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1,208</w:t>
            </w: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2017 Act allows for the mandatory deemed repatriation tax of $1.36 billion to be payable over an 8-year period without interest. The payments 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with 8% of the tax to be paid in each of the first five years, 15% in the 6th year, 20% in the 7th year, and 25% in the 8th year. As of December 28, 2018,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payments of $150 million have been made towards the mandatory deemed repatriation tax of $1.36 billion for a remaining net tax liability owed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$1.21 billion. For additional information regarding our estimate of the total tax liability for the mandatory deemed repatriation tax, see Part I, Item 1, Note 11,</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28, 2018, the liability for unrecognized tax benefits (excluding accrued interest and penalties) was approximately $690 million. Accrued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related to unrecognized tax benefits as of December 28, 2018 was approximately $116 million. Of these amounts,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$688 million could result in potential cash payments. We are not able to provide a reasonable estimate of the timing of future tax payments related to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obligations. For additional information regarding our total tax liability for unrecognized tax benefits, see Part I, Item 1, Note 11,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0" w:firstLine="324"/>
        <w:spacing w:after="0" w:line="221" w:lineRule="exact"/>
        <w:rPr>
          <w:sz w:val="20"/>
          <w:szCs w:val="20"/>
          <w:color w:val="auto"/>
        </w:rPr>
      </w:pPr>
      <w:r>
        <w:rPr>
          <w:rFonts w:ascii="Arial" w:cs="Arial" w:eastAsia="Arial" w:hAnsi="Arial"/>
          <w:sz w:val="18"/>
          <w:szCs w:val="18"/>
          <w:color w:val="auto"/>
        </w:rPr>
        <w:t xml:space="preserve">We have entered into interest rate swap agreements to moderate our exposure to fluctuations in interest rates underlying our variable rate debt. For a description of our current interest rate swaps, see Part I,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firstLine="324"/>
        <w:spacing w:after="0" w:line="220" w:lineRule="exact"/>
        <w:rPr>
          <w:sz w:val="20"/>
          <w:szCs w:val="20"/>
          <w:color w:val="auto"/>
        </w:rPr>
      </w:pPr>
      <w:r>
        <w:rPr>
          <w:rFonts w:ascii="Arial" w:cs="Arial" w:eastAsia="Arial" w:hAnsi="Arial"/>
          <w:sz w:val="17"/>
          <w:szCs w:val="17"/>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and Part I, Item 1, Note 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Board of Directors previously authorized $5.00 billion for the repurchase of our common stock. On July 25, 2018, our Board of Directors authorized a new $5.00 billion share repurchase program that is effective through July 25, 2023, replacing all prior programs. For the three months ended December 28, 2018, we did not make any stock repurchases. For the six months ended December 28, 2018, we repurchased 0.8 million shares for a total cost of $61 million under the previous authorization and 7.6 million shares for a total cost of $502 million under the new authorization. Therefore, our stock repurchases under all stock repurchase authorizations in effect for the six months ended December 28, 2018 totaled $563 million. The remaining amount available to be repurchased under our current stock repurchase program as of December 28, 2018 was $4.50 billion. Repurchases under the stock repurchase program may be made in the open market or in privately negotiated transactions and may be made under a Rule 10b5-1 plan. We expect stock repurchases to be funded principally by operating cash flows.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Since the first quarter of 2013, we have issued a quarterly cash dividend. On July 16, 2018, we paid $148 million for a dividend declared in the fourth quarter of fiscal 2018. During the six months ended December 28, 2018, we declared aggregate cash dividends of $1.00 per share on our outstanding common stock totaling $290 million, of which $146 million was paid on January 14, 2019. We may modify, suspend, or cancel our cash dividend policy in any manner and at any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40" w:firstLine="324"/>
        <w:spacing w:after="0" w:line="221" w:lineRule="exact"/>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prepared the accompanying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88" w:lineRule="exact"/>
        <w:rPr>
          <w:sz w:val="20"/>
          <w:szCs w:val="20"/>
          <w:color w:val="auto"/>
        </w:rPr>
      </w:pPr>
    </w:p>
    <w:p>
      <w:pPr>
        <w:ind w:firstLine="324"/>
        <w:spacing w:after="0" w:line="219" w:lineRule="exact"/>
        <w:rPr>
          <w:sz w:val="20"/>
          <w:szCs w:val="20"/>
          <w:color w:val="auto"/>
        </w:rPr>
      </w:pPr>
      <w:r>
        <w:rPr>
          <w:rFonts w:ascii="Arial" w:cs="Arial" w:eastAsia="Arial" w:hAnsi="Arial"/>
          <w:sz w:val="18"/>
          <w:szCs w:val="18"/>
          <w:color w:val="auto"/>
        </w:rPr>
        <w:t xml:space="preserve">See Part I, Item 1,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and Note 3,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a discussion of a recently adopted accounting pronouncement that affects our recognition of revenue. There have been no other material changes in our critical accounting policies and estimates from those disclosed in our Annual Report on Form 10-K for the fiscal year ended June 29, 2018. Please refer to Part II, Item 7 of our Annual Report on Form 10-K for the fiscal year ended June 29, 2018 for a discussion of our critical accounting policies and estimates.</w:t>
      </w:r>
    </w:p>
    <w:p>
      <w:pPr>
        <w:spacing w:after="0" w:line="20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40" w:firstLine="324"/>
        <w:spacing w:after="0" w:line="218" w:lineRule="exact"/>
        <w:rPr>
          <w:sz w:val="20"/>
          <w:szCs w:val="20"/>
          <w:color w:val="auto"/>
        </w:rPr>
      </w:pPr>
      <w:r>
        <w:rPr>
          <w:rFonts w:ascii="Arial" w:cs="Arial" w:eastAsia="Arial" w:hAnsi="Arial"/>
          <w:sz w:val="18"/>
          <w:szCs w:val="18"/>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 Item 1, Note 5,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December 28, 2018, we had outstanding the foreign exchange contracts presented in the following table. The designated foreign exchange contracts are entered to protect the U.S. dollar value of our product cost and operating expenses. Changes in fair values of the non-designated foreign exchange contracts are recognized in other income (expense), net and are largely offset by corresponding changes in the fair values of the foreign currency denominated monetary assets and liabilities.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Mark to Market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Contract Amount</w:t>
            </w:r>
          </w:p>
        </w:tc>
        <w:tc>
          <w:tcPr>
            <w:tcW w:w="1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Unrealized Gain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00" w:type="dxa"/>
            <w:vAlign w:val="bottom"/>
            <w:gridSpan w:val="4"/>
          </w:tcPr>
          <w:p>
            <w:pPr>
              <w:jc w:val="center"/>
              <w:ind w:right="61"/>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Designated Hedges (cash flow hedges):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Japanese yen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955</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111.46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Malaysian ringgit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4.17</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Philippine peso</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53.37</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Thai baht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32.67</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designated forward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1,195</w:t>
            </w:r>
          </w:p>
        </w:tc>
        <w:tc>
          <w:tcPr>
            <w:tcW w:w="17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Non-Designated Hedges: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British pound sterling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0.78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Euro</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0.87</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Japanese yen</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2,320</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110.37</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Malaysian ringgit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4.16</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Philippine peso</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52.54</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Thai baht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17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32.62</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6"/>
                <w:szCs w:val="16"/>
                <w:color w:val="auto"/>
              </w:rPr>
              <w:t>Total non-designated forward contracts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3,103</w:t>
            </w:r>
          </w:p>
        </w:tc>
        <w:tc>
          <w:tcPr>
            <w:tcW w:w="17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During the six months ended December 28, 2018 and December 29, 2017, total net realized and unrealized transaction and foreign exchange contract currency gains and losses were not material to our Condensed Consolidated Financial Statements.</w:t>
      </w:r>
    </w:p>
    <w:p>
      <w:pPr>
        <w:spacing w:after="0" w:line="170"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Borrowings under our revolving credit facility and our term loan A-1 due 2023 bear interest at a rate per annum, at our option, of either an adjusted London Interbank Offered Rate (“LIBOR”) (subject to a 0.0% floor) plus an applicable margin varying from 1.125% to 2.000% or a base rate plus an applicable margin varying from 0.125% to 1.000%, in each case depending on our corporate credit ratings. As of December 28, 2018, the applicable margin based on our current credit ratings was 1.5%. Borrowings under our U.S. Term Loan B-4 due 2023 bear interest at a rate per annum, at our option, of either an adjusted LIBOR (subject to a 0.0% floor) plus a margin of 1.75% or a base rate plus a margin of 0.75%.</w:t>
      </w:r>
    </w:p>
    <w:p>
      <w:pPr>
        <w:spacing w:after="0" w:line="17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have generally held a balance of fixed and variable rate debt. At December 28, 2018, 68% of the par value of our debt was at variable rates. We previously entered into pay-fixed interest rate swaps, which effectively converts $1.00 billion of our term loans to fixed rates through May 2020 and an incremental $1.00 billion through April 2023. In January 2019, we entered into an additional pay-fixed interest rate swap agreement to convert $1.00 billion of our term loans to fixed rates from May 2020 through April 2023. This new interest rate swap agreement, along with our previously existing interest rate swap agreements, effectively converts $2.00 billion of our term loans to fixed rates through 2023. As of December 28, 2018, we had $7.37 billion of variable rate debt. After giving effect to the $2.00 billion of interest rate swaps, we effectively had $5.37 billion of long-term debt subject to variations in interest rates and a one percent increase in the variable rate of interest would increase annual interest expense by $54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firstLine="324"/>
        <w:spacing w:after="0" w:line="221" w:lineRule="exact"/>
        <w:rPr>
          <w:sz w:val="20"/>
          <w:szCs w:val="20"/>
          <w:color w:val="auto"/>
        </w:rPr>
      </w:pPr>
      <w:r>
        <w:rPr>
          <w:rFonts w:ascii="Arial" w:cs="Arial" w:eastAsia="Arial" w:hAnsi="Arial"/>
          <w:sz w:val="18"/>
          <w:szCs w:val="18"/>
          <w:color w:val="auto"/>
        </w:rPr>
        <w:t xml:space="preserve">For additional information regarding our indebtedness, see Part I, Item 1, Note 7, </w:t>
      </w:r>
      <w:r>
        <w:rPr>
          <w:rFonts w:ascii="Arial" w:cs="Arial" w:eastAsia="Arial" w:hAnsi="Arial"/>
          <w:sz w:val="18"/>
          <w:szCs w:val="18"/>
          <w:i w:val="1"/>
          <w:iCs w:val="1"/>
          <w:color w:val="auto"/>
        </w:rPr>
        <w:t>Debt</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Q and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of the Notes to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June 29, 2018.</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has materially affected, or is reasonably likely to materially affect, our internal control over financial reporting.</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implementing an enterprise resource planning (“ERP”) system on a worldwide basis, which is expected to improve the efficiency of certain financial and related transactional processes. The gradual implementation is expected to occur in phases over the next several years. We have completed the implementation of certain processes, including the financial consolidation and reporting, fixed assets, supplier management and indirect procure-to-pay processes, and have revised and updated the related controls. These changes did not materially affect our internal control over financial reporting. As we implement the remaining functionality under this ERP system over the next several years, we will continue to assess the impact on our internal control over financial reporting.</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Part I, Item 1, Note 14,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Condensed Consolidated Financial Statements included in this Quarterly Report on Form 10-Q, which is incorporated by reference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Adverse global economic conditions and credit market uncertainty could harm our business, results of operations and financial condition.</w:t>
      </w:r>
    </w:p>
    <w:p>
      <w:pPr>
        <w:spacing w:after="0" w:line="23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trade and tariff actions announced by the U.S., China and other countries and the referendum by British voters to exit the European Union, commonly referred to as “Brexit,” and changes to policies, rules and regulations, such as potential U.S. export control reform, including with respect to emerging and foundational technology. Some of the risks and uncertainties we face as a result of these conditions include, but are not limited to, the following:</w:t>
      </w:r>
    </w:p>
    <w:p>
      <w:pPr>
        <w:spacing w:after="0" w:line="16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direct and indirect customers may delay or reduce their purchases of our products and systems containing our products.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demand for our products slows as a result of a deterioration in economic conditions, we may undertake restructuring activities to realign our cost structure with softening demand.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extend credit and payment terms to some of our customers and we could suffer significant losses if a customer whose accounts receivable we have not insured, or have underinsured, fails to pay us on their accounts receivable balances.</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negative or uncertain global economic conditions result in circumstances, such as a sustained decline in our stock price and market capitalization or a decrease in our forecasted cash flows, indicating that the carrying value of our long-lived assets or goodwill may be impaired, we could be required to record a significant charge to earnings in our Consolidated Financial Statements.</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These actions and conditions could result in reductions in our revenue, increased operating costs, impairment charges and other expenses, which could adversely affect our business, results of operations and financial condition.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162"/>
        <w:spacing w:after="0" w:line="381" w:lineRule="auto"/>
        <w:rPr>
          <w:sz w:val="20"/>
          <w:szCs w:val="20"/>
          <w:color w:val="auto"/>
        </w:rPr>
      </w:pPr>
      <w:r>
        <w:rPr>
          <w:rFonts w:ascii="Arial" w:cs="Arial" w:eastAsia="Arial" w:hAnsi="Arial"/>
          <w:sz w:val="15"/>
          <w:szCs w:val="15"/>
          <w:b w:val="1"/>
          <w:bCs w:val="1"/>
          <w:i w:val="1"/>
          <w:iCs w:val="1"/>
          <w:color w:val="auto"/>
        </w:rPr>
        <w:t>We rely substantially on our business ventures with Toshiba Memory Corporation (“TMC”) for the supply of flash-based memory and the development of flash-based technology, which subjects us to risks and uncertainties that could harm our business, financial condition and operating results.</w:t>
      </w:r>
    </w:p>
    <w:p>
      <w:pPr>
        <w:spacing w:after="0" w:line="1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dependent on our ventures with TMC to develop and manufacture flash-based memory products for our flash-based memory supply, and therefore our business, financial condition and operating results are dependent on the continued success of Flash Ventures. We partner with TMC on the development of flash-based technology, including the next technology transitions of flash-based memory, as well as other non-volatile memory technology in support of Flash Ventures. Flash Ventures is subject to various risks that could harm the value of our investments, our revenue and costs, our future rate of spending, our technology plans and our future growth opportunities.</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Substantially all of our flash-based memory is supplied by Flash Ventures, which limits our ability to respond to market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inventory or inventory write-downs or under-utilization charges, and the potential impairment of our investments in Flash Ventures. On the other hand, if we or TMC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market share as a result. If our flash-based memory supply is limited, we may make strategic decisions with respect to the allocation of our supply among our products and customers, and these strategic allocation decisions may result in less favorable gross margin or damage certain customer relationships. We are also contractually obligated to pay for 50% of the fixed costs of Flash Ventures regardless of whether we purchase any wafers from Flash Ventures. Furthermore, purchase orders placed with Flash Ventures and under the foundry arrangements with TMC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6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Under the terms of our venture agreements with TMC, which govern the operations of Flash Ventures, we have limited power to unilaterally direct most of the activities that most significantly impact Flash Ventures’ performance and we have limits to our ability to source or fabricate flash-based products outside of the Flash Ventures. We may not always agree with TMC on our joint R&amp;D roadmap or expansions or conversions of production capacity. In addition, TMC’s shift in strategic priorities could adversely impact our business.</w:t>
      </w:r>
    </w:p>
    <w:p>
      <w:pPr>
        <w:spacing w:after="0" w:line="18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June 2018, Toshiba Corporation announced it had completed the sale of TMC, including its interests in Flash Ventures, to a consortium led by SK hynix Inc. and Bain Capital (the “Bain Consortium”) that includes other competitors, as well as key customers. The sale of TMC to the Bain Consortium could lead to delays in decision-making, disputes, or changes in strategic direction that could adversely impact Flash Ventures and/or adversely affect our business prospects, results of operations and financial condition. The Bain Consortium might not have the same interest that we do in protecting and growing Flash Ventures’ business and there may exist conflicts of interest between the Bain Consortium and Flash Ventures or us. Misalignment between us and TMC or the Bain Consortium on the strategic direction of Flash Ventures could adversely impact Flash Ventures’ ability to stay at the forefront of technological advancement and/or our investment in Flash Ventures. Flash Ventures’ competitiveness and/or our investment in Flash Ventures could also be harmed by a mishandling or misuse of IP or other competitively sensitive confidential information regarding Flash Ventures, such as its technology roadmap, business or investment plans, by a third party that might gain access to such information.</w:t>
      </w:r>
    </w:p>
    <w:p>
      <w:pPr>
        <w:spacing w:after="0" w:line="18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Flash Ventures requires significant investments by both TMC and us for technology transitions, including the transition to 3D NAND, and capacity expansions. The Bain Consortium has entered into financing agreements in connection with its purchase of TMC that could limit TMC’s ability to timely fund or finance investments in Flash Ventures or our joint development efforts, as well as limit Flash Ventures’ ability to enter into lease financings. To the extent that lease financings for Flash Ventures are not accessible on favorable terms or at all, more cash would be required to fund investments. If TMC does not or we do not provide sufficient resources, or have adequate access to credit, to timely fund investments in Flash Ventures, our investments could be delayed or reduced. Delayed or reduced investment in manufacturing capacity or research and development by TMC or us could harm Flash Ventures’ competitiveness and/or our investment in Flash Ventures. In addition, the financing arrangements that the Bain Consortium has entered into in connection with its purchase of TMC are secured by TMC’s equity interests in Flash Ventures, permitting the lenders to foreclose on those equity interests under certain circumstances.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In July 2018, TMC announced that it was starting construction of a new wafer fabrication facility for the manufacture of 3D NAND in Kitakami, Iwate, Japan. Although we intend to enter into agreements with TMC in due course to participate in the new Kitakami facility, there is no certainty as to when, and on what terms, we will do so. If we are unable to extend our partnership with TMC to the Kitakami facility on favorable terms, our future supply of captive flash-based memory could be adversely impacted, which could adversely affect our long-term business and financial results.</w:t>
      </w:r>
    </w:p>
    <w:p>
      <w:pPr>
        <w:spacing w:after="0" w:line="17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volatile demand, declining average selling prices (“ASPs”), rapid technological change and industry consolidation, all of which could adversely affect our operating results and financial condition.</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prices of our products are influenced by, among other factors, the balance between supply and demand, including the effects of new fab capacity in the industry, macroeconomic factors, business conditions, technology transitions, and other actions taken by us or our competitors. The price of NAND flash memory is also influenced by conversion of industry DRAM capacity to NAND and conversion of 2D NAND capacity to 3D NAND.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w:t>
      </w:r>
    </w:p>
    <w:p>
      <w:pPr>
        <w:spacing w:after="0" w:line="166"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In addition, we compete based on our ability to offer our customers competitive solutions that provide the most current and desired product and service features. We expect that competition will continue to be intense, and there is a risk that our competitors may be able to gain a technological or cost structure advantage over us, which may allow their products to be less costly or enable them to provide better performance or to include additional features when compared to our products. Further, some of our competitors may utilize certain pricing strategies, including offering products at prices at or below cost, that we may be unable to competitively match. In addition,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6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Additionally, some of our competitors offer products and technologies that we do not offer and may be able to use their broader product and technology portfolio to win sales from us.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revenue. Rapid technological changes often reduce the volume and profitability of sales of existing products and increase the risk of inventory obsolescence. Finally, the data storage industry as a whole has experienced consolidation over the past several years through acquisitions, mergers and decisions by industry players to exit the industry. Further consolidation across the industry could enhance the capacity, abilities and resources and lower the cost structure of some of our competitors, causing us to be at a competitive disadvantage.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182" w:lineRule="exact"/>
        <w:rPr>
          <w:sz w:val="20"/>
          <w:szCs w:val="20"/>
          <w:color w:val="auto"/>
        </w:rPr>
      </w:pPr>
    </w:p>
    <w:p>
      <w:pPr>
        <w:ind w:right="180" w:firstLine="162"/>
        <w:spacing w:after="0" w:line="286" w:lineRule="auto"/>
        <w:rPr>
          <w:sz w:val="20"/>
          <w:szCs w:val="20"/>
          <w:color w:val="auto"/>
        </w:rPr>
      </w:pPr>
      <w:r>
        <w:rPr>
          <w:rFonts w:ascii="Arial" w:cs="Arial" w:eastAsia="Arial" w:hAnsi="Arial"/>
          <w:sz w:val="17"/>
          <w:szCs w:val="17"/>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To remain a significant supplier in the storage industry and to expand into new markets, we will need to offer a broader range of storage products to our customers. As we expand our product lines to sell into new markets,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new markets may result in increases in R&amp;D expenses and substantial investments in manufacturing capability, technology enhancements and go-to-market capability. If we fail to successfully expand into new markets with products that we do not currently offer, we may lose business to our competitors or new entrants who offer these products.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technology transitions, our competitiveness and operating results may be negatively affected.</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For example,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flash-based memory producers or may not fall commensurate with declines in the price of flash-based memory, which would harm revenues, our gross margin and operating results.</w:t>
      </w:r>
    </w:p>
    <w:p>
      <w:pPr>
        <w:spacing w:after="0" w:line="17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additional technology transition risks related to 3D NAND, see the risk factors entitled “</w:t>
      </w:r>
      <w:r>
        <w:rPr>
          <w:rFonts w:ascii="Arial" w:cs="Arial" w:eastAsia="Arial" w:hAnsi="Arial"/>
          <w:sz w:val="18"/>
          <w:szCs w:val="18"/>
          <w:i w:val="1"/>
          <w:iCs w:val="1"/>
          <w:color w:val="auto"/>
        </w:rPr>
        <w:t>We rely substantially on our business ventures with Toshiba</w:t>
      </w:r>
      <w:r>
        <w:rPr>
          <w:rFonts w:ascii="Arial" w:cs="Arial" w:eastAsia="Arial" w:hAnsi="Arial"/>
          <w:sz w:val="18"/>
          <w:szCs w:val="18"/>
          <w:color w:val="auto"/>
        </w:rPr>
        <w:t xml:space="preserve"> </w:t>
      </w:r>
      <w:r>
        <w:rPr>
          <w:rFonts w:ascii="Arial" w:cs="Arial" w:eastAsia="Arial" w:hAnsi="Arial"/>
          <w:sz w:val="18"/>
          <w:szCs w:val="18"/>
          <w:i w:val="1"/>
          <w:iCs w:val="1"/>
          <w:color w:val="auto"/>
        </w:rPr>
        <w:t>Memory Corporation (“TMC”) for the supply of flash-based memory and the development of flash-based technology, which subjects us to risks and uncertainties that could harm our business, financial condition and operating results</w:t>
      </w:r>
      <w:r>
        <w:rPr>
          <w:rFonts w:ascii="Arial" w:cs="Arial" w:eastAsia="Arial" w:hAnsi="Arial"/>
          <w:sz w:val="18"/>
          <w:szCs w:val="18"/>
          <w:color w:val="auto"/>
        </w:rPr>
        <w:t>” and</w:t>
      </w:r>
      <w:r>
        <w:rPr>
          <w:rFonts w:ascii="Arial" w:cs="Arial" w:eastAsia="Arial" w:hAnsi="Arial"/>
          <w:sz w:val="18"/>
          <w:szCs w:val="18"/>
          <w:i w:val="1"/>
          <w:iCs w:val="1"/>
          <w:color w:val="auto"/>
        </w:rPr>
        <w:t xml:space="preserve"> “Our strategic relationships subject us to risks that could adversely affect our business, financial condition and results of operations.”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With respect to HDDs, we announced that we will use microwave-assisted magnetic recording (MAMR) technology to increase HDD capacities. If our HDD technology transitions, including the production ramp of MAMR HDDs, take longer or are more costly to complete than anticipated or if we otherwise fail to implement new HDD technologies successfully, we may not remain competitive with other HDD producers, which could adversely affect our revenues, gross margin and operating results.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Moving to new technologies may require us to align to, and build, a new supply base. Our success in new product areas may be dependent in part on our ability to develop close relationships with new suppliers and on our ability to enter into favorable supply agreements. Where this cannot be done, our business and operations may be adversely affected.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73"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b w:val="1"/>
          <w:bCs w:val="1"/>
          <w:i w:val="1"/>
          <w:iCs w:val="1"/>
          <w:color w:val="auto"/>
        </w:rPr>
        <w:t>The substitution or replacement of our technologies and products by new technologies could make our products obsolete and harm our operating results.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Given the pace of technological development, there is a possibility that new technologies could substitute for or replace our current technologies and products and make them obsolete. Historically, when the industry experiences a fundamental change in storage technologies or standards, any manufacturer that fails to successfully and timely adjust its designs and processes to accommodate or manufacture the new technology or standard fails to remain competitive.</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There are some revolutionary technologies that, if implemented by a competitor on a commercially viable basis ahead of the industry, could put us at a competitive disadvantage, including shingled magnetic recording, energy-assisted magnetic recording, patterned magnetic media and advanced signal processing.</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Many companies, including some of our competitors, have also developed or are attempting to develop alternative non-volatile technologies, including non-NAND technologies such as magnetoresistive random-access memory (MRAM), resistive random-access memory (ReRAM) and phase change memory (PCM), and NAND-based vertical or stacked 3D memories based on charge trap, floating gate and other cell architectures.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new product development, our competitiveness and operating results may be negatively affected.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success depends in part on our ability to develop and introduce new products in a timely manner in order to keep pace with technology advancements and compete with alternative storage technologies. If our products fail to offer a superior value proposition to alternative storage products, we will be at a competitive disadvantage and our business will suffer. As we introduce new products, standards or technologies, it can take time for these new standards or technologies to be adopted, for customers to accept and transition to these new standards or technologies and for significant sales to be generated, if at all. Failure of our customers to adopt our new products, standards or technologies could harm our results of operations as we fail to reap the benefits of our investments.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transition future core, processor and controller development to the RISC-V architecture;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respond to customer requests for new products and software associated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incorporate open source software elements into our products and operate in an open source environment;</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new products.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partnership with TMC for flash-based memory development and manufacturing. See the risk factor entitled “</w:t>
      </w:r>
      <w:r>
        <w:rPr>
          <w:rFonts w:ascii="Arial" w:cs="Arial" w:eastAsia="Arial" w:hAnsi="Arial"/>
          <w:sz w:val="17"/>
          <w:szCs w:val="17"/>
          <w:i w:val="1"/>
          <w:iCs w:val="1"/>
          <w:color w:val="auto"/>
        </w:rPr>
        <w:t>Because we are dependent on a limited number of qualified suppliers, a disruption in our supply</w:t>
      </w:r>
      <w:r>
        <w:rPr>
          <w:rFonts w:ascii="Arial" w:cs="Arial" w:eastAsia="Arial" w:hAnsi="Arial"/>
          <w:sz w:val="17"/>
          <w:szCs w:val="17"/>
          <w:color w:val="auto"/>
        </w:rPr>
        <w:t xml:space="preserve"> </w:t>
      </w:r>
      <w:r>
        <w:rPr>
          <w:rFonts w:ascii="Arial" w:cs="Arial" w:eastAsia="Arial" w:hAnsi="Arial"/>
          <w:sz w:val="17"/>
          <w:szCs w:val="17"/>
          <w:i w:val="1"/>
          <w:iCs w:val="1"/>
          <w:color w:val="auto"/>
        </w:rPr>
        <w:t>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7"/>
          <w:szCs w:val="17"/>
          <w:color w:val="auto"/>
        </w:rPr>
        <w:t>” for a further description of the risks associated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reliance on external suppliers. These strategic relationships are subject to various risks that could adversely affect the value of our investments and our results of operations and financial condition. These risks include, but are not limited to, the following:</w:t>
      </w:r>
    </w:p>
    <w:p>
      <w:pPr>
        <w:spacing w:after="0" w:line="178" w:lineRule="exact"/>
        <w:rPr>
          <w:sz w:val="20"/>
          <w:szCs w:val="20"/>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8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17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b w:val="1"/>
          <w:bCs w:val="1"/>
          <w:i w:val="1"/>
          <w:iCs w:val="1"/>
          <w:color w:val="auto"/>
        </w:rPr>
        <w:t>Because we are dependent on a limited number of qualified suppliers, a disruption in our supply chain, including a shortage in supply or a supplier’s failure to support us in a timely manner with goods or services at a quality level and cost acceptable to us, or supplier consolidation, could adversely affect our margins, revenues and operating results</w:t>
      </w:r>
      <w:r>
        <w:rPr>
          <w:rFonts w:ascii="Arial" w:cs="Arial" w:eastAsia="Arial" w:hAnsi="Arial"/>
          <w:sz w:val="18"/>
          <w:szCs w:val="18"/>
          <w:i w:val="1"/>
          <w:iCs w:val="1"/>
          <w:color w:val="auto"/>
        </w:rPr>
        <w:t>.</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w:t>
      </w:r>
    </w:p>
    <w:p>
      <w:pPr>
        <w:spacing w:after="0" w:line="16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Delays or cost increases experienced by our suppliers in developing or sourcing materials and components for use in our products or incompatibility or quality issues relating to our products, could also harm our financial results as well as business relationships with our customers. We do not have long-term contracts with some of our existing suppliers, nor do we always have guaranteed manufacturing capacity with our suppliers and, therefore, we cannot guarantee that they will devote sufficient resources or capacity to manufacturing our products.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our supply base has experienced industry consolidation. Our suppliers may be acquired by our competitors, consolidate, decide to exit the industry, or redirect their investments and increase costs to us, each of which may have an adverse effect on our business and operations. In addition, some of our suppliers have experienced a decline in financial performance. Where we rely on a limited number of suppliers or a single supplier, the risk of supplier loss due to industry consolidation or a decline in financial performance is enhanced. Some of our suppliers may also be competitors in other areas of our business, which could lead to difficulties in price negotiations or meeting our supply requirements. Any disruption in our supply chain could reduce our revenue and adversely impact our financial results.</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See the risk factors entitled </w:t>
      </w:r>
      <w:r>
        <w:rPr>
          <w:rFonts w:ascii="Arial" w:cs="Arial" w:eastAsia="Arial" w:hAnsi="Arial"/>
          <w:sz w:val="18"/>
          <w:szCs w:val="18"/>
          <w:i w:val="1"/>
          <w:iCs w:val="1"/>
          <w:color w:val="auto"/>
        </w:rPr>
        <w:t>“We rely substantially on our business ventures with Toshiba Memory Corporation (“TMC”) for the supply of flash-based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memory and the development of flash-based technology, which subjects us to risks and uncertainties that could harm our business, financial condition and operating results” </w:t>
      </w:r>
      <w:r>
        <w:rPr>
          <w:rFonts w:ascii="Arial" w:cs="Arial" w:eastAsia="Arial" w:hAnsi="Arial"/>
          <w:sz w:val="18"/>
          <w:szCs w:val="18"/>
          <w:color w:val="auto"/>
        </w:rPr>
        <w:t>and</w:t>
      </w:r>
      <w:r>
        <w:rPr>
          <w:rFonts w:ascii="Arial" w:cs="Arial" w:eastAsia="Arial" w:hAnsi="Arial"/>
          <w:sz w:val="18"/>
          <w:szCs w:val="18"/>
          <w:i w:val="1"/>
          <w:iCs w:val="1"/>
          <w:color w:val="auto"/>
        </w:rPr>
        <w:t xml:space="preserve"> “Our strategic relationships subject us to risks that could adversely affect our business, financial condition and results of operations” </w:t>
      </w:r>
      <w:r>
        <w:rPr>
          <w:rFonts w:ascii="Arial" w:cs="Arial" w:eastAsia="Arial" w:hAnsi="Arial"/>
          <w:sz w:val="18"/>
          <w:szCs w:val="18"/>
          <w:color w:val="auto"/>
        </w:rPr>
        <w:t>for additional risks related to our supply of flash memory and our strategic relationships.</w:t>
      </w:r>
    </w:p>
    <w:p>
      <w:pPr>
        <w:spacing w:after="0" w:line="187"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b w:val="1"/>
          <w:bCs w:val="1"/>
          <w:i w:val="1"/>
          <w:iCs w:val="1"/>
          <w:color w:val="auto"/>
        </w:rPr>
        <w:t>Price volatility, shortages of critical materials or components, or use by other industries of materials and components used in the storage industry, or contractual commitments we enter into with suppliers to reduce the risk of component shortages, could increase our costs and may negatively impact our operating results.</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flash-based memory and multi-layer ceramic capacitors (MLCC),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has imposed restrictions (such as trade and tariff actions) and China or other nations may impose other restrictions,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7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and may cause us to have inadequate or excess component inventory, which could increase our operating costs and adversely affect our operating results.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may be at a competitive disadvantage for retaining and hiring key management, staff and skilled employees versus other companies that may pay a relatively higher portion of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8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As a result of our cost structure and strategy of vertical integration, we conduct our operations at large, high volume, purpose-built facilities in California and throughout Asia. The current concentration of Flash Ventures in Yokkaichi, Japan, magnifies the risks of supply disruption. The facilities of many of our customers, our suppliers and our customers’ suppliers are also concentrated in certain geographic locations throughout Asia and elsewhere. A fire, flood, earthquake, tsunami or other natural disaster, condition or event such as a power outage, political instability, civil unrest, localized labor unrest or other employment issues, or a localized health risk that adversely affects any of these facilities or the employees or logistics operators at these facilities, would significantly affect our ability to manufacture or sell our products, which would result in a substantial loss of sales and revenue and a substantial harm to our operating results. In addition, the geographic concentration of our manufacturing sites could exacerbate the negative impacts resulting from any of these problems.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6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TMC to obtain and maintain sufficient property, business interruption and other insurance for Flash Ventures. If TMC fails to do so, we could suffer significant unreimbursable losses, and such failure could also cause Flash Ventures to breach various financing covenants.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marketing and selling our products globally subjects us to numerous risks.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248"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restrictions, such as export controls, export bans, embargos, sanctions and license and certification requirements (including on encryption technology), new or increased tariffs and fees and complex customs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trade agreements, policies, rules and regulations. For example, beginning in early 2018, the U.S. commenced certain trade actions, including proposed new and increased tariffs on an evolving list of imported materials and products. Countries have responded to these actions in various ways, including proposed tariff increases on products imported from the U.S. We cannot predict whether, or to what extent, there may be changes to international trade agreements or whether tariffs, export controls, or other restrictions may be changed or imposed on our products, our customers or our supply chain. Such tariffs, policy or regulatory changes, international trade agreements or trade restrictions have in the past adversely affected and may in the future adversely affect our ability to sell to certain customers or could increase our cost of doing business, which could adversely affect our operating results and financial condition.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experience sales seasonality and cyclicality, which could cause our operating results to fluctuate.</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125" w:right="29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that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that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Any cost saving initiatives or restructurings that we undertake may not deliver the results we expect, which may adversely affect our business.</w:t>
      </w:r>
    </w:p>
    <w:p>
      <w:pPr>
        <w:spacing w:after="0" w:line="24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From time to time, we engage in cost saving initiatives and restructurings that may result in workforce reduction and consolidation of our manufacturing or other facilities. As a result of any cost saving initiatives or restructurings, we may experience a loss of continuity, loss of accumulated knowledge, disruptions to our operations and inefficiency during transitional periods. These actions could also impact employee retention. In addition, we cannot be sure that these actions will be as successful in reducing our overall expenses as we expect or that additional costs will not offset any such reductions or consolidations. If our operating costs are higher than we expect or if we do not maintain adequate control of our costs and expenses, our operating results could be adversely affected.</w:t>
      </w:r>
    </w:p>
    <w:p>
      <w:pPr>
        <w:spacing w:after="0" w:line="193"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Changes in demand for our products, changes in product life cycles and the failure to qualify our products and achieve design wins with our customers could adversely affect our sales, margins, ASPs and our ability to recover the cost of product development.</w:t>
      </w:r>
    </w:p>
    <w:p>
      <w:pPr>
        <w:spacing w:after="0" w:line="170"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Events or circumstances that impact demand in the markets for our products, or our inability to address that demand successfully, could materially adversely impact our operating results. For example, demand for our products may be affected by, among other factors, the following:</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inconsistent demand from customers whose sales are correlated to large projects and expansions which can be sporadic;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 customer development of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the regulation and enforcement of digital rights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emergence of new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demand due to differing patterns of technology adoption and innovation;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about data protection by end users.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we are not able to respond to these or other events or circumstances that impact demand for our products, it could lead to our customers’ storage needs being satisfied by competing storage technologies, thereby decreasing our sales. As a result, even with increasing aggregate demand for digital storage, if we fail to anticipate or timely respond to the demand for storage, our sales, ASPs and gross margin could decline, which could adversely affect our operating results and financial condition.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Product life cycles may lengthen or shorten, both of which could adversely affect gross margins or our ability to recover the cost of product development.</w:t>
      </w:r>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regularly engage in new product qualification with our customers, and the product qualification process may be lengthy for some customers. Once a product is accepted for qualification testing, failures or delays in the qualification process can result in delayed or reduced product sales, reduced product margins or lost sales to that customer until the next generation of products is introduced.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w:t>
      </w:r>
    </w:p>
    <w:p>
      <w:pPr>
        <w:spacing w:after="0" w:line="193"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28, 2018, our total indebtedness was $10.80 billion in aggregate principal, and we had $2.25 billion of additional borrowing availability under our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4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70" w:lineRule="exact"/>
        <w:rPr>
          <w:rFonts w:ascii="Arial" w:cs="Arial" w:eastAsia="Arial" w:hAnsi="Arial"/>
          <w:sz w:val="18"/>
          <w:szCs w:val="18"/>
          <w:color w:val="auto"/>
        </w:rPr>
      </w:pPr>
    </w:p>
    <w:p>
      <w:pPr>
        <w:ind w:left="660" w:right="440" w:hanging="328"/>
        <w:spacing w:after="0" w:line="31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imposing financial and other restrictive covenants on our operations, including limiting our ability to (i) declare or pay dividends or repurchase shares of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225" w:lineRule="exact"/>
        <w:rPr>
          <w:rFonts w:ascii="Arial" w:cs="Arial" w:eastAsia="Arial" w:hAnsi="Arial"/>
          <w:sz w:val="18"/>
          <w:szCs w:val="18"/>
          <w:color w:val="auto"/>
        </w:rPr>
      </w:pPr>
    </w:p>
    <w:p>
      <w:pPr>
        <w:ind w:left="660" w:right="9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ability to meet the debt service obligations and to comply with the financial and other restrictive covenants contained in our debt agreements will depend on our cash flows and future performance, which will be affected by financial, business, economic and other factors. Our bank debt also contains a variable interest rate component based on our corporate credit ratings, which could result in increased interest rates and debt service obligations if our ratings were to decline. If we are unable to meet our debt service obligations or should we fail to comply with our financial and other restrictive covenants contained in the agreements governing our indebtedness, it could result in an event of default under the applicable indebtedness. We may be unable to cure, or obtain a waiver of, an event of default or otherwise amend our debt agreements to prevent an event of default thereunder on terms acceptable to us or at all. In that event, the debt holders could accelerate the related debt, which may result in the cross-acceleration or cross-default of other debt, leases or other obligations. If we are required to repay our indebtedness before the applicable due dates, we may not have sufficient funds available and we may be required to refinance all or part of our debt, sell important strategic assets at unfavorable prices, incur additional indebtedness or issue common stock or other equity securities, which we may be unable to do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addition to our credit ratings impacting the interest rate on our current debt, our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6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credit agreement uses LIBOR as a reference rate for our term loans and revolving credit facility, such that the interest rate applicable to such loans may, at our option, be calculated based on LIBOR. In July 2017, the U. K.’s Financial Conduct Authority, which regulates LIBOR, announced that it intends to phase out LIBOR by the end of 2021. The U.S. Federal Reserve has begun publishing a Secured Overnight Funding Rate (“SOFR”), which is intended to replace U.S. dollar LIBOR. Plans for alternative reference rates for other currencies have also been announced. At this time, we cannot predict how markets will respond to these proposed alternative rates or the effect of any changes to LIBOR or the discontinuation of LIBOR. If LIBOR is no longer available or if our lenders have increased costs due to changes in LIBOR, we may experience potential increases in interest rates on our variable rate debt, which could adversely impact our interest expense, results of operations and cash flows.</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from time to time seek to further refinance our substantial indebtedness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tax laws could increase our worldwide tax rate and materially affect our financial position and results of operations.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December 22, 2017, the President of the United States of America signed the Tax Cuts and Jobs Act (the “2017 Act”), which includes a broad range of tax reform proposals affecting businesses, including a reduction in the U.S. federal corporate tax rate from 35% to 21%, a one-time mandatory deemed repatriation tax on earnings of certain foreign subsidiaries that were previously tax deferred, and a new minimum tax on certain foreign earnings. The 2017 Act significantly impacted our effective tax rate for fiscal year 2018 and also impacted our effective tax rate for the first and second quarters of fiscal 2019. Taxes due over a period of time as a result of the 2017 Act could be accelerated upon certain triggering events, including failure to pay such taxes when due. We have completed our analysis of the impact of the 2017 Act within the one-year measurement period allowed by the Securities and Exchange Commission. However, we may see future regulatory, administrative or legislative guidance which may further impact our effective tax rate.</w:t>
      </w:r>
    </w:p>
    <w:p>
      <w:pPr>
        <w:spacing w:after="0" w:line="16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many countries in the European Union and around the globe have adopted and/or proposed changes to current tax laws.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subject to risks associated with loss or non-renewal of favorable tax treatment under agreements or treaties with foreign tax authorities.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600" w:firstLine="162"/>
        <w:spacing w:after="0" w:line="308" w:lineRule="auto"/>
        <w:rPr>
          <w:sz w:val="20"/>
          <w:szCs w:val="20"/>
          <w:color w:val="auto"/>
        </w:rPr>
      </w:pPr>
      <w:r>
        <w:rPr>
          <w:rFonts w:ascii="Arial" w:cs="Arial" w:eastAsia="Arial" w:hAnsi="Arial"/>
          <w:sz w:val="17"/>
          <w:szCs w:val="17"/>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4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statutory notice of deficiency seeking certain adjustments to income and have filed a petition with the U.S. Tax Court as disclosed in Part I, Item 1, Note 11, </w:t>
      </w:r>
      <w:r>
        <w:rPr>
          <w:rFonts w:ascii="Arial" w:cs="Arial" w:eastAsia="Arial" w:hAnsi="Arial"/>
          <w:sz w:val="17"/>
          <w:szCs w:val="17"/>
          <w:i w:val="1"/>
          <w:iCs w:val="1"/>
          <w:color w:val="auto"/>
        </w:rPr>
        <w:t>Income Tax Expense</w:t>
      </w:r>
      <w:r>
        <w:rPr>
          <w:rFonts w:ascii="Arial" w:cs="Arial" w:eastAsia="Arial" w:hAnsi="Arial"/>
          <w:sz w:val="17"/>
          <w:szCs w:val="17"/>
          <w:color w:val="auto"/>
        </w:rPr>
        <w:t>, of the Notes to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179" w:lineRule="exact"/>
        <w:rPr>
          <w:sz w:val="20"/>
          <w:szCs w:val="20"/>
          <w:color w:val="auto"/>
        </w:rPr>
      </w:pPr>
    </w:p>
    <w:p>
      <w:pPr>
        <w:ind w:right="10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0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including cloud-based platforms. The technology infrastructure and systems of our suppliers, vendors, service providers, cloud solution providers and partners have in the past experienced and may in the future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design flaws, bugs, security vulnerabilities or security weaknesses, as well as intentional or unintentional acts by employees or other insiders with access privileges, intentional acts of vandalism by third parties and sabotage. In some instances, efforts to correct vulnerabilities or prevent attacks may reduce the performance of our computer systems and networks, which could negatively impact our business. We believe cyber attack attempts are increasing in number and that cyber attackers are developing increasingly sophisticated systems and means to not only attack systems, but also to evade detection or to obscure their activities. Our products are also targets for cyber attacks, including those products utilized in cloud-based environments as well as our cloud service offerings.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TMC, to undertake certain commitments to promote information security, and we may be liable to TMC or such other parties if we fail to meet our cyber security commitments.</w:t>
      </w:r>
    </w:p>
    <w:p>
      <w:pPr>
        <w:spacing w:after="0" w:line="17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and to the retail market are important to our business, and if we fail to respond to demand changes within these markets, or maintain and grow our applicable market share, our operating results could suffer.</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1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 significant portion of our sales is also made through retailers. Our success in the retail market depends in large part on our ability to maintain our brand image and corporate reputation and to expand into and gain market acceptance of our products in multiple retail market channels. Particularly in the retail market, adverse publicity, whether or not justified, or allegations of product or service quality issues, even if false or unfounded, could damage our reputation and cause our customers to choose products offered by our competitors. If customers no longer maintain a preference for our product brands or if our retailers are not successful in selling our products, our operating results may be adversely affected.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During the three months ended December 28, 2018, 47%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our sales to a key customer are prohibited by law, regulation or other government action,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Additionally, if there is consolidation among our customer base, our customers may be able to command increased leverage in negotiating prices and other terms of sale, which could adversely affect our profitability. Consolidation among our customer base may also lead to reduced demand for our products, increased customer pressure on our prices, replacement of our products by the combined entity with those of our competitors and cancellations of orders, each of which could harm our operating results.</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80" w:firstLine="162"/>
        <w:spacing w:after="0" w:line="308" w:lineRule="auto"/>
        <w:rPr>
          <w:sz w:val="20"/>
          <w:szCs w:val="20"/>
          <w:color w:val="auto"/>
        </w:rPr>
      </w:pPr>
      <w:r>
        <w:rPr>
          <w:rFonts w:ascii="Arial" w:cs="Arial" w:eastAsia="Arial" w:hAnsi="Arial"/>
          <w:sz w:val="17"/>
          <w:szCs w:val="17"/>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make significant R&amp;D investments to maintain our existing products and to lead innovation and development of new technologies. In addition, we may increase our capital expenditures and expenses above our historical run-rate model in order to remain competitive. The challenges of reducing operating costs could result in more costly capital expenditures that reduce the cost benefits of technology transitions and could limit our ability to keep pace with reductions in ASPs. Our R&amp;D investments may not result in viable technologies or products, and even if they do result in viable technologies or products, they may not be profitable or accepted by the market. In addition, if we are not able to improve our technology or develop new technologies at the same rate as our competitors or at a rate that is expected by our customers, we may be required to incur additional costs to meet demand without corresponding incremental revenue, which could negatively impact our operating margins and make achieving historical levels of cost reduction difficult or unlikely.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78"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8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6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security vulnerabilities or performance issues and subject us to liability.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125"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6"/>
          <w:szCs w:val="16"/>
          <w:b w:val="1"/>
          <w:bCs w:val="1"/>
          <w:color w:val="auto"/>
        </w:rPr>
        <w:t>.</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82"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5"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b w:val="1"/>
          <w:bCs w:val="1"/>
          <w:i w:val="1"/>
          <w:iCs w:val="1"/>
          <w:color w:val="auto"/>
        </w:rPr>
        <w:t>The costs of compliance with state, federal and international legal and regulatory requirements, such as environmental, labor, trade, health, safety, data privacy, anti-corruption and tax regulations, customers’ standards of corporate citizenship, and industry and coalition standards, such as those established by the Responsible Business Alliance (“RBA”), could cause an increase in our operating costs.</w:t>
      </w:r>
    </w:p>
    <w:p>
      <w:pPr>
        <w:spacing w:after="0" w:line="16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data privacy,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193"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 interrupting or otherwise disrupting the shipment of our product components, damaging our reputation, forcing us to find alternate component sources, reducing demand for our products (for example, through a consumer boycott), or exposing us to potential liability for our suppliers’, customers’ or partners’ wrongdoings.</w:t>
      </w:r>
    </w:p>
    <w:p>
      <w:pPr>
        <w:spacing w:after="0" w:line="178"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sales, ASPs and gross margin, thereby adversely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700" w:firstLine="162"/>
        <w:spacing w:after="0" w:line="342" w:lineRule="auto"/>
        <w:rPr>
          <w:sz w:val="20"/>
          <w:szCs w:val="20"/>
          <w:color w:val="auto"/>
        </w:rPr>
      </w:pPr>
      <w:r>
        <w:rPr>
          <w:rFonts w:ascii="Arial" w:cs="Arial" w:eastAsia="Arial" w:hAnsi="Arial"/>
          <w:sz w:val="16"/>
          <w:szCs w:val="16"/>
          <w:b w:val="1"/>
          <w:bCs w:val="1"/>
          <w:i w:val="1"/>
          <w:iCs w:val="1"/>
          <w:color w:val="auto"/>
        </w:rPr>
        <w:t>Our vertical integration of some of our products makes us dependent on our ability to timely and cost-effectively develop products with leading technology and overall quality, increasing capital expenditure costs and asset utilization risks for our business.</w:t>
      </w:r>
    </w:p>
    <w:p>
      <w:pPr>
        <w:spacing w:after="0" w:line="12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develop flash-based memory as well as other non-volatile memory technology through our partnership with TMC; we are also vertically integrated in a substantial portion of the recording heads and magnetic media used in the hard drive products we produce. Consequently, for some of our products, we are more dependent upon our own development and execution efforts and less able to take advantage of technologies developed by other manufacturers. Since we may not have access to alternative technologies that we do not develop internally, we may have to pay royalties in order to access those technologies.</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we may be unsuccessful in timely and cost-effectively developing and manufacturing products using future technologies. We also may not effectively transition our design and technology to achieve acceptable manufacturing yields using the technologies necessary to satisfy our customers’ product needs, or we may encounter quality problems with the products we manufacture. If we are unable to timely and cost-effectively develop products with leading technology and overall quality, continuing the cost reductions necessary to maintain adequate gross margin and our ability to sell our products may be significantly diminished, which could materially and adversely affect our business and financial results.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as a result of our vertical integration of some of our products, we make more capital investments and carry a higher percentage of fixed costs than we would if we were not vertically integrated. If our overall level of production decreases for any reason, and we are unable to reduce our fixed costs to match sales, some of our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these challenges, our ongoing operations could be disrupted, resulting in a decrease in our revenue or profit margins and negatively impacting our operating results.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Terrorist attacks may adversely affect our business and operating results.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continued threat of terrorist activity and other acts of war or hostility have created, and may continue to create,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Future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Sudden disruptions to the availability of air transportation, or ocean or land freight lanes, could have an impact on our operations.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75"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Flash Ventures sells to and leases back from a consortium of financial institutions (“lessors”) a portion of its equipment and Flash Ventures has entered into equipment lease agreements, most of which we and TMC each guarantee half of the total outstanding obligations and some of which we guarantee in full for our share of the Flash Ventures investment. As of December 28, 2018, the portion of outstanding Flash Ventures’ lease obligations covered by our guarantees totaled approximately $1.31 billion, based upon the Japanese yen to U.S. dollar exchange rate at December 28, 2018.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178" w:lineRule="exact"/>
        <w:rPr>
          <w:sz w:val="20"/>
          <w:szCs w:val="20"/>
          <w:color w:val="auto"/>
        </w:rPr>
      </w:pPr>
    </w:p>
    <w:p>
      <w:pPr>
        <w:ind w:right="300" w:firstLine="162"/>
        <w:spacing w:after="0" w:line="342" w:lineRule="auto"/>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or to reduce or discontinue repurchases of shares of our common stock pursuant to our previously announced stock repurchase program could cause the market price for our common stock to decline.</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modify, suspend or cancel our cash dividend policy in any manner and at any time. In addition, we may reduce or discontinue repurchases of shares of our common stock as we deem appropriate and as market conditions allow. Any reduction or discontinuance by us of the payment of quarterly cash dividends or the repurchases of our common stock pursuant to our stock repurchase program could cause the market price of our common stock to decline. Moreover, in the event our payment of quarterly cash dividends or repurchases of shares of our common stock are reduced or discontinued, our failure or inability to resume paying cash dividends or repurchasing shares of our common stock at historical levels could cause the market price of our common stock to decline.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flash-based memory from Flash Ventures and our investment in Flash Ventures are denominated in Japanese yen. If the Japanese yen appreciates against the U.S. dollar, our cost of purchasing flash-based memory wafers and the cost to us of future capital funding of Flash Ventures would increase, which could negatively impact our operating results. If any of these events occur, they would have a negative impact on our operating results.</w:t>
      </w:r>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right="6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accruals for litigation and other contingencies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liabilities for unrecognized tax benefits;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provisional estimates related to tax reform.</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125" w:right="29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flash-based memory, new technologies and technology transitions;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0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and trends in the hard drive, solid-state storage, flash memory, computer, mobile, data and content management, storage and communication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Further, a sustained decline in our stock price or market capitalization are among the factors that may be considered a change in circumstances indicating that the carrying value of our long-lived assets or goodwill may be impaired and, if an impairment review is triggered, could require us to record a significant charge to earnings in our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an additional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quarter ended December 28,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of shares of our common stock during the quarter ended December 28, 2018.</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w:t>
      </w:r>
    </w:p>
    <w:p>
      <w:pPr>
        <w:spacing w:after="0" w:line="2" w:lineRule="exact"/>
        <w:rPr>
          <w:sz w:val="20"/>
          <w:szCs w:val="20"/>
          <w:color w:val="auto"/>
        </w:rPr>
      </w:pPr>
    </w:p>
    <w:p>
      <w:pPr>
        <w:ind w:right="300" w:firstLine="8"/>
        <w:spacing w:after="0" w:line="281"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w:t>
      </w:r>
    </w:p>
    <w:p>
      <w:pPr>
        <w:spacing w:after="0" w:line="1" w:lineRule="exact"/>
        <w:rPr>
          <w:rFonts w:ascii="Arial" w:cs="Arial" w:eastAsia="Arial" w:hAnsi="Arial"/>
          <w:sz w:val="16"/>
          <w:szCs w:val="16"/>
          <w:color w:val="auto"/>
        </w:rPr>
      </w:pPr>
    </w:p>
    <w:p>
      <w:pPr>
        <w:ind w:right="140" w:firstLine="8"/>
        <w:spacing w:after="0" w:line="261" w:lineRule="auto"/>
        <w:tabs>
          <w:tab w:leader="none" w:pos="3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125" w:right="29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Number</w:t>
      </w:r>
    </w:p>
    <w:p>
      <w:pPr>
        <w:spacing w:after="0" w:line="112" w:lineRule="exact"/>
        <w:rPr>
          <w:sz w:val="20"/>
          <w:szCs w:val="20"/>
          <w:color w:val="auto"/>
        </w:rPr>
      </w:pPr>
    </w:p>
    <w:p>
      <w:pPr>
        <w:ind w:left="480"/>
        <w:spacing w:after="0"/>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2.1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31750</wp:posOffset>
            </wp:positionV>
            <wp:extent cx="7229475"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29475" cy="454660"/>
                    </a:xfrm>
                    <a:prstGeom prst="rect">
                      <a:avLst/>
                    </a:prstGeom>
                    <a:noFill/>
                  </pic:spPr>
                </pic:pic>
              </a:graphicData>
            </a:graphic>
          </wp:anchor>
        </w:drawing>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2" w:lineRule="exact"/>
        <w:rPr>
          <w:sz w:val="20"/>
          <w:szCs w:val="20"/>
          <w:color w:val="auto"/>
        </w:rPr>
      </w:pPr>
    </w:p>
    <w:p>
      <w:pPr>
        <w:sectPr>
          <w:pgSz w:w="11900" w:h="16838" w:orient="portrait"/>
          <w:cols w:equalWidth="0" w:num="2">
            <w:col w:w="900" w:space="400"/>
            <w:col w:w="10100"/>
          </w:cols>
          <w:pgMar w:left="24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gridSpan w:val="4"/>
          </w:tcPr>
          <w:p>
            <w:pPr>
              <w:jc w:val="center"/>
              <w:ind w:left="310"/>
              <w:spacing w:after="0"/>
              <w:rPr>
                <w:rFonts w:ascii="Arial" w:cs="Arial" w:eastAsia="Arial" w:hAnsi="Arial"/>
                <w:sz w:val="18"/>
                <w:szCs w:val="18"/>
                <w:color w:val="0000FF"/>
                <w:w w:val="87"/>
              </w:rPr>
            </w:pPr>
            <w:hyperlink r:id="rId4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360" w:type="dxa"/>
            <w:vAlign w:val="bottom"/>
          </w:tcPr>
          <w:p>
            <w:pPr>
              <w:spacing w:after="0"/>
              <w:rPr>
                <w:sz w:val="17"/>
                <w:szCs w:val="17"/>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7"/>
              </w:rPr>
              <w:t>Amended and Restated Certificate of Incorporation of Western Digital Corporation, as amended to date (Filed as Exhibit 3.1 to the</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w w:val="96"/>
              </w:rPr>
              <w:t>Company’s Quarterly Report on Form 10-Q (File No. 1-08703) with the Securities and Exchange Commission on February 8, 2006)</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40" w:type="dxa"/>
            <w:vAlign w:val="bottom"/>
            <w:gridSpan w:val="4"/>
            <w:shd w:val="clear" w:color="auto" w:fill="CCEEFF"/>
          </w:tcPr>
          <w:p>
            <w:pPr>
              <w:jc w:val="center"/>
              <w:ind w:left="310"/>
              <w:spacing w:after="0" w:line="202" w:lineRule="exact"/>
              <w:rPr>
                <w:rFonts w:ascii="Arial" w:cs="Arial" w:eastAsia="Arial" w:hAnsi="Arial"/>
                <w:sz w:val="18"/>
                <w:szCs w:val="18"/>
                <w:color w:val="0000FF"/>
                <w:w w:val="87"/>
              </w:rPr>
            </w:pPr>
            <w:hyperlink r:id="rId4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360" w:type="dxa"/>
            <w:vAlign w:val="bottom"/>
            <w:shd w:val="clear" w:color="auto" w:fill="CCEEFF"/>
          </w:tcPr>
          <w:p>
            <w:pPr>
              <w:spacing w:after="0"/>
              <w:rPr>
                <w:sz w:val="17"/>
                <w:szCs w:val="17"/>
                <w:color w:val="auto"/>
              </w:rPr>
            </w:pPr>
          </w:p>
        </w:tc>
        <w:tc>
          <w:tcPr>
            <w:tcW w:w="10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Amended and Restated By-Laws of Western Digital Corporation, as amended effective as of May 2, 2018 (Filed as Exhibit 3.1 to the</w:t>
            </w:r>
          </w:p>
        </w:tc>
      </w:tr>
      <w:tr>
        <w:trPr>
          <w:trHeight w:val="244"/>
        </w:trPr>
        <w:tc>
          <w:tcPr>
            <w:tcW w:w="20" w:type="dxa"/>
            <w:vAlign w:val="bottom"/>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Company’s Current Report on Form 8-K (File No. 1-08703) with the Securities and Exchange Commission on May 7, 2018)</w:t>
            </w: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4"/>
              </w:rPr>
              <w:t>Western Digital Corporation Amended and Restated 2017 Performance Incentive Plan (Filed as Exhibit 10.1 to the Company’s Current</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Report on Form 8-K (File No. 1-08703) with the Securities and Exchange Commission on November 7, 2018)*</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0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Western Digital Corporation Amended and Restated 2005 Employee Stock Purchase Plan (Filed as Exhibit 10.2 to the Company’s Current</w:t>
            </w:r>
          </w:p>
        </w:tc>
      </w:tr>
      <w:tr>
        <w:trPr>
          <w:trHeight w:val="244"/>
        </w:trPr>
        <w:tc>
          <w:tcPr>
            <w:tcW w:w="20" w:type="dxa"/>
            <w:vAlign w:val="bottom"/>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Report on Form 8-K (File No. 1-08703) with the Securities and Exchange Commission on November 7, 2018)*</w:t>
            </w: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8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2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8"/>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78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9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8"/>
        </w:trPr>
        <w:tc>
          <w:tcPr>
            <w:tcW w:w="20" w:type="dxa"/>
            <w:vAlign w:val="bottom"/>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97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tcPr>
          <w:p>
            <w:pPr>
              <w:jc w:val="center"/>
              <w:spacing w:after="0" w:line="202" w:lineRule="exact"/>
              <w:rPr>
                <w:rFonts w:ascii="Arial" w:cs="Arial" w:eastAsia="Arial" w:hAnsi="Arial"/>
                <w:sz w:val="18"/>
                <w:szCs w:val="18"/>
                <w:color w:val="0000FF"/>
                <w:w w:val="91"/>
              </w:rPr>
            </w:pPr>
            <w:hyperlink w:anchor="page9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of 2002**</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100" w:type="dxa"/>
            <w:vAlign w:val="bottom"/>
            <w:gridSpan w:val="5"/>
            <w:shd w:val="clear" w:color="auto" w:fill="CCEEFF"/>
          </w:tcPr>
          <w:p>
            <w:pPr>
              <w:jc w:val="center"/>
              <w:spacing w:after="0" w:line="202" w:lineRule="exact"/>
              <w:rPr>
                <w:rFonts w:ascii="Arial" w:cs="Arial" w:eastAsia="Arial" w:hAnsi="Arial"/>
                <w:sz w:val="18"/>
                <w:szCs w:val="18"/>
                <w:color w:val="0000FF"/>
                <w:w w:val="91"/>
              </w:rPr>
            </w:pPr>
            <w:hyperlink w:anchor="page92">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44"/>
        </w:trPr>
        <w:tc>
          <w:tcPr>
            <w:tcW w:w="20" w:type="dxa"/>
            <w:vAlign w:val="bottom"/>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 2002**</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2"/>
              </w:rPr>
              <w:t>101.INS</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color w:val="auto"/>
                <w:w w:val="97"/>
              </w:rPr>
              <w:t>101.CAL</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color w:val="auto"/>
                <w:w w:val="88"/>
              </w:rPr>
              <w:t>101.PRE</w:t>
            </w:r>
          </w:p>
        </w:tc>
        <w:tc>
          <w:tcPr>
            <w:tcW w:w="1028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10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135"/>
        </w:trPr>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780" w:type="dxa"/>
            <w:vAlign w:val="bottom"/>
          </w:tcPr>
          <w:p>
            <w:pPr>
              <w:spacing w:after="0"/>
              <w:rPr>
                <w:sz w:val="11"/>
                <w:szCs w:val="11"/>
                <w:color w:val="auto"/>
              </w:rPr>
            </w:pPr>
          </w:p>
        </w:tc>
      </w:tr>
    </w:tbl>
    <w:p>
      <w:pPr>
        <w:spacing w:after="0" w:line="10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ind w:left="340" w:right="8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280" w:hanging="332"/>
        <w:spacing w:after="0" w:line="26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ind w:right="42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to be signed on its behalf by the undersigned, thereunto duly authorized.</w:t>
      </w:r>
    </w:p>
    <w:p>
      <w:pPr>
        <w:spacing w:after="0" w:line="36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President WD Capital, Chief Strategy Officer and Chief Financial</w:t>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line="207" w:lineRule="exact"/>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2019</w:t>
      </w:r>
    </w:p>
    <w:p>
      <w:pPr>
        <w:sectPr>
          <w:pgSz w:w="11900" w:h="16838" w:orient="portrait"/>
          <w:cols w:equalWidth="0" w:num="1">
            <w:col w:w="11420"/>
          </w:cols>
          <w:pgMar w:left="240" w:top="5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520" w:hanging="188"/>
        <w:spacing w:after="0" w:line="207" w:lineRule="exact"/>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2019</w:t>
      </w:r>
    </w:p>
    <w:p>
      <w:pPr>
        <w:sectPr>
          <w:pgSz w:w="11900" w:h="16838" w:orient="portrait"/>
          <w:cols w:equalWidth="0" w:num="1">
            <w:col w:w="11420"/>
          </w:cols>
          <w:pgMar w:left="240" w:top="580" w:right="239" w:bottom="1440" w:gutter="0" w:footer="0" w:header="0"/>
        </w:sectPr>
      </w:pPr>
    </w:p>
    <w:bookmarkStart w:id="90" w:name="page91"/>
    <w:bookmarkEnd w:id="90"/>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60" w:firstLine="332"/>
        <w:spacing w:after="0" w:line="223" w:lineRule="exact"/>
        <w:tabs>
          <w:tab w:leader="none" w:pos="5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accompanying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December 28, 2018 (the “Report”) fully complies with the requirements of Section 13(a) or Section 15(d), as applicable, of the Securities Exchange Act of 1934, as amended; and</w:t>
      </w:r>
    </w:p>
    <w:p>
      <w:pPr>
        <w:spacing w:after="0" w:line="68" w:lineRule="exact"/>
        <w:rPr>
          <w:rFonts w:ascii="Arial" w:cs="Arial" w:eastAsia="Arial" w:hAnsi="Arial"/>
          <w:sz w:val="18"/>
          <w:szCs w:val="18"/>
          <w:color w:val="auto"/>
        </w:rPr>
      </w:pPr>
    </w:p>
    <w:p>
      <w:pPr>
        <w:ind w:left="600" w:hanging="268"/>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2019</w:t>
      </w:r>
    </w:p>
    <w:p>
      <w:pPr>
        <w:sectPr>
          <w:pgSz w:w="11900" w:h="16838" w:orient="portrait"/>
          <w:cols w:equalWidth="0" w:num="1">
            <w:col w:w="11420"/>
          </w:cols>
          <w:pgMar w:left="240" w:top="580" w:right="23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60" w:firstLine="332"/>
        <w:spacing w:after="0" w:line="223" w:lineRule="exact"/>
        <w:tabs>
          <w:tab w:leader="none" w:pos="5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accompanying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December 28, 2018 (the “Report”) fully complies with the requirements of Section 13(a) or Section 15(d), as applicable, of the Securities Exchange Act of 1934, as amended; and</w:t>
      </w:r>
    </w:p>
    <w:p>
      <w:pPr>
        <w:spacing w:after="0" w:line="68" w:lineRule="exact"/>
        <w:rPr>
          <w:rFonts w:ascii="Arial" w:cs="Arial" w:eastAsia="Arial" w:hAnsi="Arial"/>
          <w:sz w:val="18"/>
          <w:szCs w:val="18"/>
          <w:color w:val="auto"/>
        </w:rPr>
      </w:pPr>
    </w:p>
    <w:p>
      <w:pPr>
        <w:ind w:left="600" w:hanging="268"/>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lowerRoman"/>
      <w:start w:val="2"/>
    </w:lvl>
  </w:abstractNum>
  <w:abstractNum w:abstractNumId="23">
    <w:nsid w:val="71F32454"/>
    <w:multiLevelType w:val="hybridMultilevel"/>
    <w:lvl w:ilvl="0">
      <w:lvlJc w:val="left"/>
      <w:lvlText w:val="(%1)"/>
      <w:numFmt w:val="lowerRoman"/>
      <w:start w:val="4"/>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39" Type="http://schemas.openxmlformats.org/officeDocument/2006/relationships/hyperlink" Target="http://www.sec.gov/Archives/edgar/data/106040/000119312515352265/d36533dex21.htm" TargetMode="External"/><Relationship Id="rId41" Type="http://schemas.openxmlformats.org/officeDocument/2006/relationships/hyperlink" Target="http://www.sec.gov/Archives/edgar/data/106040/000095013706001502/a17011exv3w1.htm" TargetMode="External"/><Relationship Id="rId42" Type="http://schemas.openxmlformats.org/officeDocument/2006/relationships/hyperlink" Target="http://www.sec.gov/Archives/edgar/data/106040/000119312518153458/d577779dex31.htm" TargetMode="External"/><Relationship Id="rId43" Type="http://schemas.openxmlformats.org/officeDocument/2006/relationships/hyperlink" Target="http://www.sec.gov/Archives/edgar/data/106040/000119312518320967/d642144dex101.htm" TargetMode="External"/><Relationship Id="rId44" Type="http://schemas.openxmlformats.org/officeDocument/2006/relationships/hyperlink" Target="http://www.sec.gov/Archives/edgar/data/106040/000119312518320967/d64214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2019-12-28T16:51:21Z</dcterms:created>
  <dcterms:modified xsi:type="dcterms:W3CDTF">2019-12-28T16:51:21Z</dcterms:modified>
</cp:coreProperties>
</file>