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 the quarterly period ended October 2, 2026</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1-8703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WESTERN DIGITAL CORPORATION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906" w:type="dxa"/>
        <w:jc w:val="left"/>
        <w:tblInd w:w="0" w:type="dxa"/>
        <w:tblLayout w:type="fixed"/>
        <w:tblCellMar>
          <w:top w:w="28" w:type="dxa"/>
          <w:left w:w="28" w:type="dxa"/>
          <w:bottom w:w="28" w:type="dxa"/>
          <w:right w:w="28" w:type="dxa"/>
        </w:tblCellMar>
      </w:tblPr>
      <w:tblGrid>
        <w:gridCol w:w="124"/>
        <w:gridCol w:w="109"/>
        <w:gridCol w:w="109"/>
        <w:gridCol w:w="704"/>
        <w:gridCol w:w="704"/>
        <w:gridCol w:w="707"/>
        <w:gridCol w:w="260"/>
        <w:gridCol w:w="260"/>
        <w:gridCol w:w="260"/>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33-0956711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5601 Great Oaks Parkway,</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San Jose,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(408) 717-6000 </w:t>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28" w:type="dxa"/>
        <w:jc w:val="left"/>
        <w:tblInd w:w="0" w:type="dxa"/>
        <w:tblLayout w:type="fixed"/>
        <w:tblCellMar>
          <w:top w:w="28" w:type="dxa"/>
          <w:left w:w="28" w:type="dxa"/>
          <w:bottom w:w="28" w:type="dxa"/>
          <w:right w:w="28" w:type="dxa"/>
        </w:tblCellMar>
      </w:tblPr>
      <w:tblGrid>
        <w:gridCol w:w="1128"/>
        <w:gridCol w:w="993"/>
        <w:gridCol w:w="999"/>
        <w:gridCol w:w="509"/>
        <w:gridCol w:w="509"/>
        <w:gridCol w:w="511"/>
        <w:gridCol w:w="1019"/>
        <w:gridCol w:w="1019"/>
        <w:gridCol w:w="1441"/>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WDC</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As of the close of busine</w:t>
      </w:r>
      <w:r>
        <w:rPr>
          <w:rFonts w:ascii="Times New Roman;serif" w:hAnsi="Times New Roman;serif"/>
          <w:b w:val="false"/>
          <w:color w:val="000000"/>
          <w:sz w:val="16"/>
          <w:shd w:fill="FFFFFF" w:val="clear"/>
        </w:rPr>
        <w:t xml:space="preserve">ss on </w:t>
      </w:r>
      <w:r>
        <w:rPr>
          <w:rFonts w:ascii="Times New Roman;serif" w:hAnsi="Times New Roman;serif"/>
          <w:b w:val="false"/>
          <w:color w:val="000000"/>
          <w:sz w:val="16"/>
        </w:rPr>
        <w:t>October 15, 2026, 374,323,269 shares of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WESTERN DIGITAL CORPORATION</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273"/>
        <w:gridCol w:w="211"/>
        <w:gridCol w:w="205"/>
        <w:gridCol w:w="2707"/>
        <w:gridCol w:w="2592"/>
        <w:gridCol w:w="2603"/>
        <w:gridCol w:w="486"/>
        <w:gridCol w:w="483"/>
        <w:gridCol w:w="645"/>
      </w:tblGrid>
      <w:tr>
        <w:trPr/>
        <w:tc>
          <w:tcPr>
            <w:tcW w:w="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 FINANCIAL INFORMATION</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w:t>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 — As of October 2, 2026 and July 3, 2026</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9">
              <w:r>
                <w:rPr>
                  <w:rStyle w:val="InternetLink"/>
                  <w:rFonts w:ascii="Times New Roman;serif" w:hAnsi="Times New Roman;serif"/>
                  <w:b w:val="false"/>
                  <w:color w:val="3635D6"/>
                  <w:sz w:val="18"/>
                  <w:u w:val="single"/>
                </w:rPr>
                <w:t>5</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 — Three Months Ended October 2, 2026 and October 3, 2025</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22">
              <w:r>
                <w:rPr>
                  <w:rStyle w:val="InternetLink"/>
                  <w:rFonts w:ascii="Times New Roman;serif" w:hAnsi="Times New Roman;serif"/>
                  <w:b w:val="false"/>
                  <w:color w:val="3635D6"/>
                  <w:sz w:val="18"/>
                  <w:u w:val="single"/>
                </w:rPr>
                <w:t>6</w:t>
              </w:r>
            </w:hyperlink>
          </w:p>
        </w:tc>
      </w:tr>
      <w:tr>
        <w:trPr/>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 — Three Months Ended October 2, 2026 and October 3, 2025</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25">
              <w:r>
                <w:rPr>
                  <w:rStyle w:val="InternetLink"/>
                  <w:rFonts w:ascii="Times New Roman;serif" w:hAnsi="Times New Roman;serif"/>
                  <w:b w:val="false"/>
                  <w:color w:val="3635D6"/>
                  <w:sz w:val="18"/>
                  <w:u w:val="single"/>
                </w:rPr>
                <w:t>7</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 — Three Months Ended October 2, 2026 and October 3, 2025</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28">
              <w:r>
                <w:rPr>
                  <w:rStyle w:val="InternetLink"/>
                  <w:rFonts w:ascii="Times New Roman;serif" w:hAnsi="Times New Roman;serif"/>
                  <w:b w:val="false"/>
                  <w:color w:val="3635D6"/>
                  <w:sz w:val="18"/>
                  <w:u w:val="single"/>
                </w:rPr>
                <w:t>8</w:t>
              </w:r>
            </w:hyperlink>
          </w:p>
        </w:tc>
      </w:tr>
      <w:tr>
        <w:trPr/>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Convertible Preferred Stock and Shareholders’ Equity — Three Months Ended October 2, 2026 and October 3, 2025</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31">
              <w:r>
                <w:rPr>
                  <w:rStyle w:val="InternetLink"/>
                  <w:rFonts w:ascii="Times New Roman;serif" w:hAnsi="Times New Roman;serif"/>
                  <w:b w:val="false"/>
                  <w:color w:val="3635D6"/>
                  <w:sz w:val="18"/>
                  <w:u w:val="single"/>
                </w:rPr>
                <w:t>9</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Notes to Condensed Consolidated Financial Statements</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34">
              <w:r>
                <w:rPr>
                  <w:rStyle w:val="InternetLink"/>
                  <w:rFonts w:ascii="Times New Roman;serif" w:hAnsi="Times New Roman;serif"/>
                  <w:b w:val="false"/>
                  <w:color w:val="3635D6"/>
                  <w:sz w:val="18"/>
                  <w:u w:val="single"/>
                </w:rPr>
                <w:t>11</w:t>
              </w:r>
            </w:hyperlink>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2.</w:t>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24">
              <w:r>
                <w:rPr>
                  <w:rStyle w:val="InternetLink"/>
                  <w:rFonts w:ascii="Times New Roman;serif" w:hAnsi="Times New Roman;serif"/>
                  <w:b w:val="false"/>
                  <w:color w:val="3635D6"/>
                  <w:sz w:val="18"/>
                  <w:u w:val="single"/>
                </w:rPr>
                <w:t>32</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3.</w:t>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60">
              <w:r>
                <w:rPr>
                  <w:rStyle w:val="InternetLink"/>
                  <w:rFonts w:ascii="Times New Roman;serif" w:hAnsi="Times New Roman;serif"/>
                  <w:b w:val="false"/>
                  <w:color w:val="3635D6"/>
                  <w:sz w:val="18"/>
                  <w:u w:val="single"/>
                </w:rPr>
                <w:t>45</w:t>
              </w:r>
            </w:hyperlink>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4.</w:t>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63">
              <w:r>
                <w:rPr>
                  <w:rStyle w:val="InternetLink"/>
                  <w:rFonts w:ascii="Times New Roman;serif" w:hAnsi="Times New Roman;serif"/>
                  <w:b w:val="false"/>
                  <w:color w:val="3635D6"/>
                  <w:sz w:val="18"/>
                  <w:u w:val="single"/>
                </w:rPr>
                <w:t>45</w:t>
              </w:r>
            </w:hyperlink>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II. OTHER INFORMATION</w:t>
            </w:r>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w:t>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69">
              <w:r>
                <w:rPr>
                  <w:rStyle w:val="InternetLink"/>
                  <w:rFonts w:ascii="Times New Roman;serif" w:hAnsi="Times New Roman;serif"/>
                  <w:b w:val="false"/>
                  <w:color w:val="3635D6"/>
                  <w:sz w:val="18"/>
                  <w:u w:val="single"/>
                </w:rPr>
                <w:t>46</w:t>
              </w:r>
            </w:hyperlink>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1A.</w:t>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72">
              <w:r>
                <w:rPr>
                  <w:rStyle w:val="InternetLink"/>
                  <w:rFonts w:ascii="Times New Roman;serif" w:hAnsi="Times New Roman;serif"/>
                  <w:b w:val="false"/>
                  <w:color w:val="3635D6"/>
                  <w:sz w:val="18"/>
                  <w:u w:val="single"/>
                </w:rPr>
                <w:t>46</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2.</w:t>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75">
              <w:r>
                <w:rPr>
                  <w:rStyle w:val="InternetLink"/>
                  <w:rFonts w:ascii="Times New Roman;serif" w:hAnsi="Times New Roman;serif"/>
                  <w:b w:val="false"/>
                  <w:color w:val="3635D6"/>
                  <w:sz w:val="18"/>
                  <w:u w:val="single"/>
                </w:rPr>
                <w:t>46</w:t>
              </w:r>
            </w:hyperlink>
          </w:p>
        </w:tc>
      </w:tr>
      <w:tr>
        <w:trPr/>
        <w:tc>
          <w:tcPr>
            <w:tcW w:w="689" w:type="dxa"/>
            <w:gridSpan w:val="3"/>
            <w:tcBorders/>
            <w:vAlign w:val="center"/>
          </w:tcPr>
          <w:p>
            <w:pPr>
              <w:pStyle w:val="TableContents"/>
              <w:bidi w:val="0"/>
              <w:spacing w:before="0" w:after="283"/>
              <w:jc w:val="left"/>
              <w:rPr>
                <w:sz w:val="4"/>
                <w:szCs w:val="4"/>
              </w:rPr>
            </w:pPr>
            <w:r>
              <w:rPr>
                <w:sz w:val="4"/>
                <w:szCs w:val="4"/>
              </w:rPr>
            </w:r>
          </w:p>
        </w:tc>
        <w:tc>
          <w:tcPr>
            <w:tcW w:w="790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89" w:type="dxa"/>
            <w:gridSpan w:val="3"/>
            <w:tcBorders/>
            <w:vAlign w:val="center"/>
          </w:tcPr>
          <w:p>
            <w:pPr>
              <w:pStyle w:val="TableContents"/>
              <w:bidi w:val="0"/>
              <w:spacing w:before="0" w:after="283"/>
              <w:jc w:val="left"/>
              <w:rPr>
                <w:sz w:val="4"/>
                <w:szCs w:val="4"/>
              </w:rPr>
            </w:pPr>
            <w:r>
              <w:rPr>
                <w:sz w:val="4"/>
                <w:szCs w:val="4"/>
              </w:rPr>
            </w:r>
          </w:p>
        </w:tc>
        <w:tc>
          <w:tcPr>
            <w:tcW w:w="790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5.</w:t>
            </w:r>
          </w:p>
        </w:tc>
        <w:tc>
          <w:tcPr>
            <w:tcW w:w="7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78">
              <w:r>
                <w:rPr>
                  <w:rStyle w:val="InternetLink"/>
                  <w:rFonts w:ascii="Times New Roman;serif" w:hAnsi="Times New Roman;serif"/>
                  <w:b w:val="false"/>
                  <w:color w:val="3635D6"/>
                  <w:sz w:val="18"/>
                  <w:u w:val="single"/>
                </w:rPr>
                <w:t>46</w:t>
              </w:r>
            </w:hyperlink>
          </w:p>
        </w:tc>
      </w:tr>
      <w:tr>
        <w:trPr/>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6.</w:t>
            </w:r>
          </w:p>
        </w:tc>
        <w:tc>
          <w:tcPr>
            <w:tcW w:w="7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841478b4614f8d88a07d1969a7e867_184">
              <w:r>
                <w:rPr>
                  <w:rStyle w:val="InternetLink"/>
                  <w:rFonts w:ascii="Times New Roman;serif" w:hAnsi="Times New Roman;serif"/>
                  <w:b w:val="false"/>
                  <w:color w:val="3635D6"/>
                  <w:sz w:val="18"/>
                  <w:u w:val="single"/>
                </w:rPr>
                <w:t>47</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requires, references herein to specific years and quarters are to our fiscal years and fiscal quarters, and references to financial information are on a consolidated basis. As used herein, the terms “we,” “us,” “our,” the “Company,” “WD,” and “Western Digital” refer to Western Digital Corporation and its subsidiaries, unless we state, or the context indicates,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WD, a Delaware corporation, is the parent company of our data storage business. Our principal executive offices are located at 5601 Great Oaks Parkway, San Jose, California 95119. Our telephone number is (408) 717-6000.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WD and the WD design are registered trademarks or trademarks of Western Digital or its affiliates in the United States (“U.S.”) and/or other countries. All other trademarks, registered trademarks and/or service marks, indicated or otherwise, are the property of their respective owners.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the impact of the global macroeconomic environment, including tariffs; expectations regarding demand trends, market opportunities and our market position, including related to artificial intelligence (“AI”); our product development and technology plans and business strategies; consumer trends and market conditions; expectations regarding our future financial performance; expectations regarding capital expenditure plans and investments; expectations regarding our tax resolutions, effective tax rate and unrecognized tax benefits; expectations regarding the merits of our position and plans with respect to certain litigation matters; and our beliefs regarding capital allocation plans, including our quarterly dividend program and share repurchase program, and the sufficiency of available liquidity to meet our working capital, debt and capital expenditure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concentration of revenue in our Cloud end market and among our top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development and introduction of products based on new technologies and expansion into new data storage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dependence on a limited number of qualified suppliers;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difficulties or delays in manufacturing or other supply chain disruptions;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impact of long-term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product defects;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hiring and retention of key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strategic initiatives, restructurings, acquisitions, divestitures, mergers, joint ventures and our strategic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adverse global or regional conditions, including new or additional tariffs or trade restrictions, inflation, increases in interest rates and an economic recession;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volatility in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competitive environment, including actions by our competitors and the impact of competitive products and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use of artificial intelligence;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compromise, damage or interruption from cybersecurity incidents or other data or system security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debt and other financial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in tax laws or unanticipated tax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any decisions to reduce or discontinue paying cash dividends or repurchasing shares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fluctuations in currency exchange rates in connection with our international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compliance with changing legal and regulatory requirements and the outcome of legal proceedings;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goals relating to sustainability matters, including our ability to meet our greenhouse gas emissions reduction and other sustainability goals;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reliance on intellectual property and other proprietary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Annual Report on Form 10-K for the year ended July 3, 2026 (our “2026 Annual Report on Form 10-K”) and any of those made in our other reports filed with the Securities and Exchange Commission (“SEC”), including under “Risk Factors” in Item 1A of subsequent Annual Reports on Form 10-K and Quarterly Reports on Form 10-Q that may from time to time amend, supplement or supersede the risks and uncertainties disclosed in our 2026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    </w:t>
      </w:r>
      <w:r>
        <w:rPr>
          <w:rFonts w:ascii="Times New Roman;serif" w:hAnsi="Times New Roman;serif"/>
          <w:b/>
          <w:i/>
          <w:color w:val="000000"/>
          <w:sz w:val="20"/>
        </w:rPr>
        <w:t>Financial Statements (unaudited)</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5934" w:type="dxa"/>
        <w:jc w:val="center"/>
        <w:tblInd w:w="0" w:type="dxa"/>
        <w:tblLayout w:type="fixed"/>
        <w:tblCellMar>
          <w:top w:w="28" w:type="dxa"/>
          <w:left w:w="28" w:type="dxa"/>
          <w:bottom w:w="28" w:type="dxa"/>
          <w:right w:w="28" w:type="dxa"/>
        </w:tblCellMar>
      </w:tblPr>
      <w:tblGrid>
        <w:gridCol w:w="1324"/>
        <w:gridCol w:w="1163"/>
        <w:gridCol w:w="1173"/>
        <w:gridCol w:w="196"/>
        <w:gridCol w:w="646"/>
        <w:gridCol w:w="109"/>
        <w:gridCol w:w="109"/>
        <w:gridCol w:w="109"/>
        <w:gridCol w:w="109"/>
        <w:gridCol w:w="196"/>
        <w:gridCol w:w="64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59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6 and 12)</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820" w:type="dxa"/>
        <w:jc w:val="center"/>
        <w:tblInd w:w="0" w:type="dxa"/>
        <w:tblLayout w:type="fixed"/>
        <w:tblCellMar>
          <w:top w:w="28" w:type="dxa"/>
          <w:left w:w="28" w:type="dxa"/>
          <w:bottom w:w="28" w:type="dxa"/>
          <w:right w:w="28" w:type="dxa"/>
        </w:tblCellMar>
      </w:tblPr>
      <w:tblGrid>
        <w:gridCol w:w="1821"/>
        <w:gridCol w:w="1596"/>
        <w:gridCol w:w="1607"/>
        <w:gridCol w:w="201"/>
        <w:gridCol w:w="572"/>
        <w:gridCol w:w="112"/>
        <w:gridCol w:w="109"/>
        <w:gridCol w:w="109"/>
        <w:gridCol w:w="109"/>
        <w:gridCol w:w="201"/>
        <w:gridCol w:w="572"/>
        <w:gridCol w:w="112"/>
        <w:gridCol w:w="109"/>
        <w:gridCol w:w="109"/>
        <w:gridCol w:w="109"/>
        <w:gridCol w:w="109"/>
        <w:gridCol w:w="109"/>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retained interest in Sandisk</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allocated to preferred shareholders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participating securities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attributable to common shareholders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participating securities considered potentially dilutive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575" w:type="dxa"/>
        <w:jc w:val="center"/>
        <w:tblInd w:w="0" w:type="dxa"/>
        <w:tblLayout w:type="fixed"/>
        <w:tblCellMar>
          <w:top w:w="28" w:type="dxa"/>
          <w:left w:w="28" w:type="dxa"/>
          <w:bottom w:w="28" w:type="dxa"/>
          <w:right w:w="28" w:type="dxa"/>
        </w:tblCellMar>
      </w:tblPr>
      <w:tblGrid>
        <w:gridCol w:w="2446"/>
        <w:gridCol w:w="2155"/>
        <w:gridCol w:w="2178"/>
        <w:gridCol w:w="201"/>
        <w:gridCol w:w="572"/>
        <w:gridCol w:w="112"/>
        <w:gridCol w:w="109"/>
        <w:gridCol w:w="109"/>
        <w:gridCol w:w="109"/>
        <w:gridCol w:w="201"/>
        <w:gridCol w:w="572"/>
        <w:gridCol w:w="112"/>
        <w:gridCol w:w="109"/>
        <w:gridCol w:w="109"/>
        <w:gridCol w:w="109"/>
        <w:gridCol w:w="109"/>
        <w:gridCol w:w="109"/>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tax:</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pension loss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derivative contracts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 before tax</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income (loss), before tax</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comprehensive income</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272" w:type="dxa"/>
        <w:jc w:val="center"/>
        <w:tblInd w:w="0" w:type="dxa"/>
        <w:tblLayout w:type="fixed"/>
        <w:tblCellMar>
          <w:top w:w="28" w:type="dxa"/>
          <w:left w:w="28" w:type="dxa"/>
          <w:bottom w:w="28" w:type="dxa"/>
          <w:right w:w="28" w:type="dxa"/>
        </w:tblCellMar>
      </w:tblPr>
      <w:tblGrid>
        <w:gridCol w:w="1858"/>
        <w:gridCol w:w="1633"/>
        <w:gridCol w:w="1639"/>
        <w:gridCol w:w="201"/>
        <w:gridCol w:w="572"/>
        <w:gridCol w:w="112"/>
        <w:gridCol w:w="109"/>
        <w:gridCol w:w="109"/>
        <w:gridCol w:w="109"/>
        <w:gridCol w:w="201"/>
        <w:gridCol w:w="571"/>
        <w:gridCol w:w="158"/>
      </w:tblGrid>
      <w:tr>
        <w:trPr/>
        <w:tc>
          <w:tcPr>
            <w:tcW w:w="18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operations: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retained interest in Sandisk</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 and other,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on vested stock awards under employee stock plans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common shareholders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preferred shareholders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convertible notes transactions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debt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 end of period</w:t>
            </w:r>
            <w:r>
              <w:rPr>
                <w:color w:val="000000"/>
              </w:rPr>
              <w:t xml:space="preserve">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583" w:type="dxa"/>
        <w:jc w:val="center"/>
        <w:tblInd w:w="0" w:type="dxa"/>
        <w:tblLayout w:type="fixed"/>
        <w:tblCellMar>
          <w:top w:w="28" w:type="dxa"/>
          <w:left w:w="28" w:type="dxa"/>
          <w:bottom w:w="28" w:type="dxa"/>
          <w:right w:w="28" w:type="dxa"/>
        </w:tblCellMar>
      </w:tblPr>
      <w:tblGrid>
        <w:gridCol w:w="745"/>
        <w:gridCol w:w="220"/>
        <w:gridCol w:w="221"/>
        <w:gridCol w:w="210"/>
        <w:gridCol w:w="211"/>
        <w:gridCol w:w="196"/>
        <w:gridCol w:w="109"/>
        <w:gridCol w:w="109"/>
        <w:gridCol w:w="109"/>
        <w:gridCol w:w="248"/>
        <w:gridCol w:w="305"/>
        <w:gridCol w:w="138"/>
        <w:gridCol w:w="109"/>
        <w:gridCol w:w="109"/>
        <w:gridCol w:w="109"/>
        <w:gridCol w:w="203"/>
        <w:gridCol w:w="203"/>
        <w:gridCol w:w="196"/>
        <w:gridCol w:w="109"/>
        <w:gridCol w:w="109"/>
        <w:gridCol w:w="109"/>
        <w:gridCol w:w="196"/>
        <w:gridCol w:w="571"/>
        <w:gridCol w:w="109"/>
        <w:gridCol w:w="109"/>
        <w:gridCol w:w="109"/>
        <w:gridCol w:w="109"/>
        <w:gridCol w:w="235"/>
        <w:gridCol w:w="505"/>
        <w:gridCol w:w="131"/>
        <w:gridCol w:w="109"/>
        <w:gridCol w:w="109"/>
        <w:gridCol w:w="109"/>
        <w:gridCol w:w="374"/>
        <w:gridCol w:w="632"/>
        <w:gridCol w:w="210"/>
        <w:gridCol w:w="109"/>
        <w:gridCol w:w="109"/>
        <w:gridCol w:w="109"/>
        <w:gridCol w:w="196"/>
        <w:gridCol w:w="556"/>
        <w:gridCol w:w="109"/>
        <w:gridCol w:w="109"/>
        <w:gridCol w:w="109"/>
        <w:gridCol w:w="109"/>
        <w:gridCol w:w="252"/>
        <w:gridCol w:w="717"/>
        <w:gridCol w:w="142"/>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3, 2026</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notes transactions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 net of taxes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negative additional paid-in capital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October 2, 2026</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2870" w:type="dxa"/>
        <w:jc w:val="center"/>
        <w:tblInd w:w="0" w:type="dxa"/>
        <w:tblLayout w:type="fixed"/>
        <w:tblCellMar>
          <w:top w:w="28" w:type="dxa"/>
          <w:left w:w="28" w:type="dxa"/>
          <w:bottom w:w="28" w:type="dxa"/>
          <w:right w:w="28" w:type="dxa"/>
        </w:tblCellMar>
      </w:tblPr>
      <w:tblGrid>
        <w:gridCol w:w="640"/>
        <w:gridCol w:w="220"/>
        <w:gridCol w:w="221"/>
        <w:gridCol w:w="203"/>
        <w:gridCol w:w="203"/>
        <w:gridCol w:w="196"/>
        <w:gridCol w:w="109"/>
        <w:gridCol w:w="109"/>
        <w:gridCol w:w="109"/>
        <w:gridCol w:w="196"/>
        <w:gridCol w:w="421"/>
        <w:gridCol w:w="109"/>
        <w:gridCol w:w="109"/>
        <w:gridCol w:w="109"/>
        <w:gridCol w:w="109"/>
        <w:gridCol w:w="109"/>
        <w:gridCol w:w="109"/>
        <w:gridCol w:w="109"/>
        <w:gridCol w:w="210"/>
        <w:gridCol w:w="211"/>
        <w:gridCol w:w="196"/>
        <w:gridCol w:w="109"/>
        <w:gridCol w:w="109"/>
        <w:gridCol w:w="109"/>
        <w:gridCol w:w="248"/>
        <w:gridCol w:w="305"/>
        <w:gridCol w:w="138"/>
        <w:gridCol w:w="109"/>
        <w:gridCol w:w="109"/>
        <w:gridCol w:w="109"/>
        <w:gridCol w:w="203"/>
        <w:gridCol w:w="203"/>
        <w:gridCol w:w="196"/>
        <w:gridCol w:w="109"/>
        <w:gridCol w:w="109"/>
        <w:gridCol w:w="109"/>
        <w:gridCol w:w="196"/>
        <w:gridCol w:w="436"/>
        <w:gridCol w:w="109"/>
        <w:gridCol w:w="109"/>
        <w:gridCol w:w="109"/>
        <w:gridCol w:w="109"/>
        <w:gridCol w:w="198"/>
        <w:gridCol w:w="562"/>
        <w:gridCol w:w="111"/>
        <w:gridCol w:w="109"/>
        <w:gridCol w:w="109"/>
        <w:gridCol w:w="109"/>
        <w:gridCol w:w="374"/>
        <w:gridCol w:w="632"/>
        <w:gridCol w:w="210"/>
        <w:gridCol w:w="109"/>
        <w:gridCol w:w="109"/>
        <w:gridCol w:w="109"/>
        <w:gridCol w:w="196"/>
        <w:gridCol w:w="556"/>
        <w:gridCol w:w="109"/>
        <w:gridCol w:w="109"/>
        <w:gridCol w:w="109"/>
        <w:gridCol w:w="109"/>
        <w:gridCol w:w="252"/>
        <w:gridCol w:w="717"/>
        <w:gridCol w:w="142"/>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27,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derivative contracts, net of taxes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October 3, 2025</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left w:w="14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Corporation (“Western Digital,” “WD,” or the “Company”) is a leading developer, manufacturer, and provider of data storage devices and solutions based on hard disk drive (“HDD”)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data storage devices and solutions globally through its sales personnel, dealers, distributors, retailers, and subsidiaries. Its extensive portfolio of technology and products addresses the following key end markets: “Cloud,” “Client,” and “Consumer.” Cloud is comprised primarily of products for public or private cloud environments and enterprise customers. Through the Client end market, the Company provides its original equipment manufacturer (“OEM”) and channel customers a broad array of high-performance HDD solutions across desktop and notebooks. The Consumer end market provides a wide range of retail and other end-user products, which capitalize on the strength of the Company’s product brand recognition and vast presence around the world.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accounting policies followed by the Company are set forth in Part II, Item 8, Note 1, </w:t>
      </w:r>
      <w:r>
        <w:rPr>
          <w:rFonts w:ascii="Times New Roman;serif" w:hAnsi="Times New Roman;serif"/>
          <w:b w:val="false"/>
          <w:i/>
          <w:color w:val="000000"/>
          <w:sz w:val="20"/>
        </w:rPr>
        <w:t>Organization and Basis of Presentation,</w:t>
      </w:r>
      <w:r>
        <w:rPr>
          <w:color w:val="000000"/>
        </w:rPr>
        <w:t xml:space="preserve"> </w:t>
      </w:r>
      <w:r>
        <w:rPr>
          <w:rFonts w:ascii="Times New Roman;serif" w:hAnsi="Times New Roman;serif"/>
          <w:b w:val="false"/>
          <w:color w:val="000000"/>
          <w:sz w:val="20"/>
        </w:rPr>
        <w:t>of the Notes to Consolidated Financial Statements included in the 2026 Annual Report on Form 10-K. There were no changes to the Company’s significant accounting policies and no new accounting standards adopted during the three months ended October 2, 2026. In the opinion of management, all adjustments necessary to fairly state the Condensed Consolidated Financial Statements prepared in accordance with accounting principles generally accepted in the United States (“U.S. GAAP”) have been made. Such adjustments consist of items of a normal, recurring nature. Certain information and disclosures normally included in the Consolidated Financial Statements have been condensed or omitted pursuant to the rules and regulations of the Securities and Exchange Commission (“SEC”). These Condensed Consolidated Financial Statements should be read in conjunction with the Consolidated Financial Statements and the notes thereto included in the 2026 Annual Report on Form 10</w:t>
        <w:noBreakHyphen/>
        <w:t>K. The results of operations for interim periods are not necessarily indicative of results to be expected for the full year.</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fiscal year ends on the Friday nearest to June 30 and typically consists of 52 weeks. Approximately every five to six years, the Company reports a 53-week fiscal year to align the fiscal year with the foregoing policy. Fiscal year 2027, which will end on July 2, 2027, will be comprised of 52 weeks, with all quarters presented consisting of 13 weeks each. Fiscal year 2026, which ended on July 3, 2026, was comprised of 53 weeks, with the first quarter consisting of 14 weeks and the remaining quarters consisting of 13 weeks each. Unless otherwise indicated, references herein to specific years and quarters are to fiscal years and fiscal quarters, and references to financial information are on a consolidated basis.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Disaggregated Revenue, Geographic Information, Concentrations of Risk, and Segment Reporting</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disaggregated net revenue by end market is as follows:</w:t>
      </w:r>
    </w:p>
    <w:tbl>
      <w:tblPr>
        <w:tblW w:w="5449" w:type="dxa"/>
        <w:jc w:val="left"/>
        <w:tblInd w:w="0" w:type="dxa"/>
        <w:tblLayout w:type="fixed"/>
        <w:tblCellMar>
          <w:top w:w="28" w:type="dxa"/>
          <w:left w:w="28" w:type="dxa"/>
          <w:bottom w:w="28" w:type="dxa"/>
          <w:right w:w="28" w:type="dxa"/>
        </w:tblCellMar>
      </w:tblPr>
      <w:tblGrid>
        <w:gridCol w:w="859"/>
        <w:gridCol w:w="754"/>
        <w:gridCol w:w="757"/>
        <w:gridCol w:w="109"/>
        <w:gridCol w:w="109"/>
        <w:gridCol w:w="162"/>
        <w:gridCol w:w="162"/>
        <w:gridCol w:w="291"/>
        <w:gridCol w:w="827"/>
        <w:gridCol w:w="162"/>
        <w:gridCol w:w="109"/>
        <w:gridCol w:w="109"/>
        <w:gridCol w:w="109"/>
        <w:gridCol w:w="201"/>
        <w:gridCol w:w="571"/>
        <w:gridCol w:w="158"/>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57"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57"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 by end market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 by geography</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Net revenue is attributed to geographic regions based on the ship-to location of the customer.</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the three months ended October 2, 2026, the Company updated its methodology for identifying customers for purposes of revenue concentration disclosure. Under the updated methodology, concentrations are attributed to the ultimate end customer when products are purchased on its behalf by distributors, contract manufacturers, or other resellers (collectively referred to as “intermediary purchasers”), rather than being attributed to such intermediary purchasers. The Company believes this presentation provides investors with a more meaningful reflection of the Company’s economic relationship with its customers. Prior year concentrations have been revised to conform to the current year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top 10 customers accounted for 64% of its net revenue for the three months ended October 2, 2026, compared to 73% of its net revenue for the three months ended October 3, 2025. For the three months ended October 2, 2026, two customers accounted for 14% and 13%, respectively, of the Company’s net revenue. For the three months ended October 3, 2025, four customers accounted for 16%, 13%, 13% and 12%, respectively, of the Company’s 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and July 3, 2026, net accounts receivable were $2.23 billion and $2.03 billion, respectively, and reserves for potential credit losses were not material. As of October 2, 2026, three customers accounted for 21%, 14%, and 12%, respectively, of the Company’s net accounts receivable, and as of July 3, 2026, two customers accounted for 25% and 17%, respectively, of the Company’s net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Company’s Chief Operating Decision Maker (“CODM”). The CODM manages the business as a provider of data storage devices and solutions based on HDD technology. The CODM evaluates the performance of the Company and makes decisions regarding the allocation of resources based on the Company’s Net income and Total assets. The Company has therefore determined that it has one reportable segment: HDD.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Company’s measure of segment profit or loss, significant segment expenses and other segment items:</w:t>
      </w:r>
    </w:p>
    <w:tbl>
      <w:tblPr>
        <w:tblW w:w="6828" w:type="dxa"/>
        <w:jc w:val="left"/>
        <w:tblInd w:w="0" w:type="dxa"/>
        <w:tblLayout w:type="fixed"/>
        <w:tblCellMar>
          <w:top w:w="28" w:type="dxa"/>
          <w:left w:w="28" w:type="dxa"/>
          <w:bottom w:w="28" w:type="dxa"/>
          <w:right w:w="28" w:type="dxa"/>
        </w:tblCellMar>
      </w:tblPr>
      <w:tblGrid>
        <w:gridCol w:w="1360"/>
        <w:gridCol w:w="1189"/>
        <w:gridCol w:w="1200"/>
        <w:gridCol w:w="109"/>
        <w:gridCol w:w="109"/>
        <w:gridCol w:w="162"/>
        <w:gridCol w:w="162"/>
        <w:gridCol w:w="291"/>
        <w:gridCol w:w="827"/>
        <w:gridCol w:w="162"/>
        <w:gridCol w:w="109"/>
        <w:gridCol w:w="109"/>
        <w:gridCol w:w="109"/>
        <w:gridCol w:w="201"/>
        <w:gridCol w:w="571"/>
        <w:gridCol w:w="158"/>
      </w:tblGrid>
      <w:tr>
        <w:trPr/>
        <w:tc>
          <w:tcPr>
            <w:tcW w:w="136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57"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Significant expenses and other segment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amounts related to stock-based compensation, which are presented separately in the table above.</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Other segment items include activity from strategic investments and other small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3.    Supplemental Financial Statement Data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4758" w:type="dxa"/>
        <w:jc w:val="left"/>
        <w:tblInd w:w="0" w:type="dxa"/>
        <w:tblLayout w:type="fixed"/>
        <w:tblCellMar>
          <w:top w:w="28" w:type="dxa"/>
          <w:left w:w="28" w:type="dxa"/>
          <w:bottom w:w="28" w:type="dxa"/>
          <w:right w:w="28" w:type="dxa"/>
        </w:tblCellMar>
      </w:tblPr>
      <w:tblGrid>
        <w:gridCol w:w="957"/>
        <w:gridCol w:w="839"/>
        <w:gridCol w:w="844"/>
        <w:gridCol w:w="201"/>
        <w:gridCol w:w="572"/>
        <w:gridCol w:w="112"/>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 parts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bl>
      <w:tblPr>
        <w:tblW w:w="4848" w:type="dxa"/>
        <w:jc w:val="left"/>
        <w:tblInd w:w="0" w:type="dxa"/>
        <w:tblLayout w:type="fixed"/>
        <w:tblCellMar>
          <w:top w:w="28" w:type="dxa"/>
          <w:left w:w="28" w:type="dxa"/>
          <w:bottom w:w="28" w:type="dxa"/>
          <w:right w:w="28" w:type="dxa"/>
        </w:tblCellMar>
      </w:tblPr>
      <w:tblGrid>
        <w:gridCol w:w="989"/>
        <w:gridCol w:w="867"/>
        <w:gridCol w:w="874"/>
        <w:gridCol w:w="201"/>
        <w:gridCol w:w="572"/>
        <w:gridCol w:w="112"/>
        <w:gridCol w:w="109"/>
        <w:gridCol w:w="109"/>
        <w:gridCol w:w="109"/>
        <w:gridCol w:w="196"/>
        <w:gridCol w:w="556"/>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gross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Non-current assets</w:t>
      </w:r>
    </w:p>
    <w:tbl>
      <w:tblPr>
        <w:tblW w:w="4631" w:type="dxa"/>
        <w:jc w:val="left"/>
        <w:tblInd w:w="0" w:type="dxa"/>
        <w:tblLayout w:type="fixed"/>
        <w:tblCellMar>
          <w:top w:w="28" w:type="dxa"/>
          <w:left w:w="28" w:type="dxa"/>
          <w:bottom w:w="28" w:type="dxa"/>
          <w:right w:w="28" w:type="dxa"/>
        </w:tblCellMar>
      </w:tblPr>
      <w:tblGrid>
        <w:gridCol w:w="673"/>
        <w:gridCol w:w="591"/>
        <w:gridCol w:w="595"/>
        <w:gridCol w:w="201"/>
        <w:gridCol w:w="572"/>
        <w:gridCol w:w="112"/>
        <w:gridCol w:w="109"/>
        <w:gridCol w:w="109"/>
        <w:gridCol w:w="109"/>
        <w:gridCol w:w="196"/>
        <w:gridCol w:w="556"/>
        <w:gridCol w:w="109"/>
        <w:gridCol w:w="109"/>
        <w:gridCol w:w="109"/>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Product warranty accrual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warranty accrual were as follows:</w:t>
      </w:r>
    </w:p>
    <w:tbl>
      <w:tblPr>
        <w:tblW w:w="6681" w:type="dxa"/>
        <w:jc w:val="left"/>
        <w:tblInd w:w="0" w:type="dxa"/>
        <w:tblLayout w:type="fixed"/>
        <w:tblCellMar>
          <w:top w:w="28" w:type="dxa"/>
          <w:left w:w="28" w:type="dxa"/>
          <w:bottom w:w="28" w:type="dxa"/>
          <w:right w:w="28" w:type="dxa"/>
        </w:tblCellMar>
      </w:tblPr>
      <w:tblGrid>
        <w:gridCol w:w="1407"/>
        <w:gridCol w:w="1234"/>
        <w:gridCol w:w="1244"/>
        <w:gridCol w:w="239"/>
        <w:gridCol w:w="513"/>
        <w:gridCol w:w="133"/>
        <w:gridCol w:w="109"/>
        <w:gridCol w:w="109"/>
        <w:gridCol w:w="109"/>
        <w:gridCol w:w="239"/>
        <w:gridCol w:w="513"/>
        <w:gridCol w:w="133"/>
        <w:gridCol w:w="109"/>
        <w:gridCol w:w="109"/>
        <w:gridCol w:w="109"/>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beginning of period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to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estimate related to pre-existing warranties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end of period</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current portion of the warranty accrual was classified in Accrued expenses and the non-current portion was classified in Other liabilities,</w:t>
      </w:r>
      <w:r>
        <w:rPr>
          <w:color w:val="000000"/>
        </w:rPr>
        <w:t xml:space="preserve"> </w:t>
      </w:r>
      <w:r>
        <w:rPr>
          <w:rFonts w:ascii="Times New Roman;serif" w:hAnsi="Times New Roman;serif"/>
          <w:b w:val="false"/>
          <w:color w:val="000000"/>
          <w:sz w:val="20"/>
        </w:rPr>
        <w:t>as noted below:</w:t>
      </w:r>
    </w:p>
    <w:tbl>
      <w:tblPr>
        <w:tblW w:w="4332" w:type="dxa"/>
        <w:jc w:val="left"/>
        <w:tblInd w:w="0" w:type="dxa"/>
        <w:tblLayout w:type="fixed"/>
        <w:tblCellMar>
          <w:top w:w="28" w:type="dxa"/>
          <w:left w:w="28" w:type="dxa"/>
          <w:bottom w:w="28" w:type="dxa"/>
          <w:right w:w="28" w:type="dxa"/>
        </w:tblCellMar>
      </w:tblPr>
      <w:tblGrid>
        <w:gridCol w:w="614"/>
        <w:gridCol w:w="538"/>
        <w:gridCol w:w="543"/>
        <w:gridCol w:w="239"/>
        <w:gridCol w:w="513"/>
        <w:gridCol w:w="133"/>
        <w:gridCol w:w="109"/>
        <w:gridCol w:w="109"/>
        <w:gridCol w:w="109"/>
        <w:gridCol w:w="196"/>
        <w:gridCol w:w="421"/>
        <w:gridCol w:w="109"/>
        <w:gridCol w:w="109"/>
        <w:gridCol w:w="109"/>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warranty accrual</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liabilities</w:t>
      </w:r>
    </w:p>
    <w:tbl>
      <w:tblPr>
        <w:tblW w:w="5568" w:type="dxa"/>
        <w:jc w:val="left"/>
        <w:tblInd w:w="0" w:type="dxa"/>
        <w:tblLayout w:type="fixed"/>
        <w:tblCellMar>
          <w:top w:w="28" w:type="dxa"/>
          <w:left w:w="28" w:type="dxa"/>
          <w:bottom w:w="28" w:type="dxa"/>
          <w:right w:w="28" w:type="dxa"/>
        </w:tblCellMar>
      </w:tblPr>
      <w:tblGrid>
        <w:gridCol w:w="1299"/>
        <w:gridCol w:w="1140"/>
        <w:gridCol w:w="1146"/>
        <w:gridCol w:w="239"/>
        <w:gridCol w:w="513"/>
        <w:gridCol w:w="133"/>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unrecognized tax benefits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Goodwill is not amortized. Instead, it is tested for impairment annually as of the beginning of the Company’s fourth quarter, or more frequently if events or changes in circumstances indicate that goodwill may be impaired.</w:t>
      </w:r>
      <w:r>
        <w:rPr>
          <w:color w:val="000000"/>
        </w:rPr>
        <w:t xml:space="preserve"> </w:t>
      </w:r>
      <w:r>
        <w:rPr>
          <w:rFonts w:ascii="Times New Roman;serif" w:hAnsi="Times New Roman;serif"/>
          <w:b w:val="false"/>
          <w:color w:val="000000"/>
          <w:sz w:val="20"/>
        </w:rPr>
        <w:t>Management concluded there were no impairment indicators for either of the three months ended October 2, 2026 and October 3, 2025. The carrying amount of goodwill was $4.32 billion as of both October 2, 2026 and July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refers to expenses, gains, and losses that are recorded as an element of shareholders’ equity but are excluded from net income. The components of Accumulated other comprehensive income were as follows:</w:t>
      </w:r>
    </w:p>
    <w:tbl>
      <w:tblPr>
        <w:tblW w:w="10205" w:type="dxa"/>
        <w:jc w:val="left"/>
        <w:tblInd w:w="0" w:type="dxa"/>
        <w:tblLayout w:type="fixed"/>
        <w:tblCellMar>
          <w:top w:w="28" w:type="dxa"/>
          <w:left w:w="28" w:type="dxa"/>
          <w:bottom w:w="28" w:type="dxa"/>
          <w:right w:w="28" w:type="dxa"/>
        </w:tblCellMar>
      </w:tblPr>
      <w:tblGrid>
        <w:gridCol w:w="1042"/>
        <w:gridCol w:w="793"/>
        <w:gridCol w:w="674"/>
        <w:gridCol w:w="343"/>
        <w:gridCol w:w="580"/>
        <w:gridCol w:w="192"/>
        <w:gridCol w:w="109"/>
        <w:gridCol w:w="109"/>
        <w:gridCol w:w="109"/>
        <w:gridCol w:w="564"/>
        <w:gridCol w:w="737"/>
        <w:gridCol w:w="316"/>
        <w:gridCol w:w="109"/>
        <w:gridCol w:w="109"/>
        <w:gridCol w:w="109"/>
        <w:gridCol w:w="109"/>
        <w:gridCol w:w="109"/>
        <w:gridCol w:w="526"/>
        <w:gridCol w:w="930"/>
        <w:gridCol w:w="296"/>
        <w:gridCol w:w="109"/>
        <w:gridCol w:w="109"/>
        <w:gridCol w:w="109"/>
        <w:gridCol w:w="575"/>
        <w:gridCol w:w="973"/>
        <w:gridCol w:w="465"/>
      </w:tblGrid>
      <w:tr>
        <w:trPr/>
        <w:tc>
          <w:tcPr>
            <w:tcW w:w="104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Actuarial Pension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Other Comprehensive Income</w:t>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340" w:type="dxa"/>
            <w:gridSpan w:val="6"/>
            <w:tcBorders/>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related to items of other comprehensive income (loss)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October 2, 2026</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2, 2026, the amounts reclassified from Accumulated other comprehensive income were losses related to foreign exchange contracts that were substantially charged to Cost of revenue in the Condensed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all existing net losses related to cash flow hedges recorded in Accumulated other comprehensive income are expected to be reclassified to earnings within the next twelve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4.    Fair Value Measurements and Investments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Carried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2.    </w:t>
      </w:r>
      <w:r>
        <w:rPr>
          <w:rFonts w:ascii="Times New Roman;serif" w:hAnsi="Times New Roman;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3.    </w:t>
      </w:r>
      <w:r>
        <w:rPr>
          <w:rFonts w:ascii="Times New Roman;serif" w:hAnsi="Times New Roman;serif"/>
          <w:b w:val="false"/>
          <w:color w:val="000000"/>
          <w:sz w:val="20"/>
        </w:rPr>
        <w:t>Inputs that are unobservable for the asset or liability and that are significant to the fair value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W w:w="6674" w:type="dxa"/>
        <w:jc w:val="left"/>
        <w:tblInd w:w="0" w:type="dxa"/>
        <w:tblLayout w:type="fixed"/>
        <w:tblCellMar>
          <w:top w:w="28" w:type="dxa"/>
          <w:left w:w="28" w:type="dxa"/>
          <w:bottom w:w="28" w:type="dxa"/>
          <w:right w:w="28" w:type="dxa"/>
        </w:tblCellMar>
      </w:tblPr>
      <w:tblGrid>
        <w:gridCol w:w="1064"/>
        <w:gridCol w:w="939"/>
        <w:gridCol w:w="951"/>
        <w:gridCol w:w="196"/>
        <w:gridCol w:w="406"/>
        <w:gridCol w:w="109"/>
        <w:gridCol w:w="109"/>
        <w:gridCol w:w="109"/>
        <w:gridCol w:w="109"/>
        <w:gridCol w:w="196"/>
        <w:gridCol w:w="331"/>
        <w:gridCol w:w="109"/>
        <w:gridCol w:w="109"/>
        <w:gridCol w:w="109"/>
        <w:gridCol w:w="109"/>
        <w:gridCol w:w="196"/>
        <w:gridCol w:w="406"/>
        <w:gridCol w:w="109"/>
        <w:gridCol w:w="109"/>
        <w:gridCol w:w="109"/>
        <w:gridCol w:w="109"/>
        <w:gridCol w:w="196"/>
        <w:gridCol w:w="331"/>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 2026</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1064"/>
        <w:gridCol w:w="939"/>
        <w:gridCol w:w="951"/>
        <w:gridCol w:w="196"/>
        <w:gridCol w:w="406"/>
        <w:gridCol w:w="109"/>
        <w:gridCol w:w="109"/>
        <w:gridCol w:w="109"/>
        <w:gridCol w:w="109"/>
        <w:gridCol w:w="196"/>
        <w:gridCol w:w="331"/>
        <w:gridCol w:w="109"/>
        <w:gridCol w:w="109"/>
        <w:gridCol w:w="109"/>
        <w:gridCol w:w="109"/>
        <w:gridCol w:w="196"/>
        <w:gridCol w:w="406"/>
        <w:gridCol w:w="109"/>
        <w:gridCol w:w="109"/>
        <w:gridCol w:w="109"/>
        <w:gridCol w:w="109"/>
        <w:gridCol w:w="196"/>
        <w:gridCol w:w="331"/>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the Company had no transfers of financial instruments between levels and there were no changes in valuation techniques or the inputs used in the fair value measurement.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Not Carried at Fair Value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were categorized as Level 2 for all periods presented, based on the frequency of trading immediately prior to the end of the first quarter of 2027 and the fourth quarter of 2026, respectively.</w:t>
      </w:r>
    </w:p>
    <w:p>
      <w:pPr>
        <w:pStyle w:val="TextBody"/>
        <w:bidi w:val="0"/>
        <w:spacing w:before="0" w:after="0"/>
        <w:jc w:val="left"/>
        <w:rPr/>
      </w:pPr>
      <w:r>
        <w:rPr/>
      </w:r>
    </w:p>
    <w:tbl>
      <w:tblPr>
        <w:tblW w:w="8064" w:type="dxa"/>
        <w:jc w:val="left"/>
        <w:tblInd w:w="0" w:type="dxa"/>
        <w:tblLayout w:type="fixed"/>
        <w:tblCellMar>
          <w:top w:w="28" w:type="dxa"/>
          <w:left w:w="28" w:type="dxa"/>
          <w:bottom w:w="28" w:type="dxa"/>
          <w:right w:w="28" w:type="dxa"/>
        </w:tblCellMar>
      </w:tblPr>
      <w:tblGrid>
        <w:gridCol w:w="1298"/>
        <w:gridCol w:w="1139"/>
        <w:gridCol w:w="1147"/>
        <w:gridCol w:w="210"/>
        <w:gridCol w:w="452"/>
        <w:gridCol w:w="11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maturing January 2027</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5.    Debt</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5702" w:type="dxa"/>
        <w:jc w:val="left"/>
        <w:tblInd w:w="0" w:type="dxa"/>
        <w:tblLayout w:type="fixed"/>
        <w:tblCellMar>
          <w:top w:w="28" w:type="dxa"/>
          <w:left w:w="28" w:type="dxa"/>
          <w:bottom w:w="28" w:type="dxa"/>
          <w:right w:w="28" w:type="dxa"/>
        </w:tblCellMar>
      </w:tblPr>
      <w:tblGrid>
        <w:gridCol w:w="1298"/>
        <w:gridCol w:w="1139"/>
        <w:gridCol w:w="1147"/>
        <w:gridCol w:w="239"/>
        <w:gridCol w:w="513"/>
        <w:gridCol w:w="133"/>
        <w:gridCol w:w="109"/>
        <w:gridCol w:w="109"/>
        <w:gridCol w:w="109"/>
        <w:gridCol w:w="196"/>
        <w:gridCol w:w="55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maturing January 2027</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current</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 and Term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$350 million outstanding under its revolving credit facility maturing in January 2027 (the “Revolving Credit Facility”). During the three months ended October 2, 2026, the Company drew an additional $900 million in principal amount and repaid $600 million under the Revolving Credit Facility, resulting in $650 million outstanding as of October 2, 2026. As of October 2, 2026, the Company had no outstanding standby letters of credit and the remaining available capacity under the Revolving Credit Facility was $600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3, 2025, the Company made scheduled principal repayments of $31 million under its then outstanding term loan A-3, which was later settled in full in February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loan agreement governing the Revolving Credit Facility requires the Company to comply with a financial leverage ratio covenant. As of October 2, 2026, the Company was in compliance with the financial covenant.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outstanding $710 million aggregate principal amount of convertible senior notes pursuant to an indenture dated as of November 3, 2023 (the “Indenture”), which bear interest at an annual rate of 3.00% and have an original maturity date of November 15, 2028, unless earlier repurchased, redeemed or converted (the “Convertible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2, 2026, the Company entered into privately negotiated exchange agreements with certain holders of the Convertible Notes, in an aggregate principal amount of $191 million, pursuant to which the Company fully settled the obligation for an aggregate $193 million in cash (which reflected the principal amount and a small inducement cost) and 4.7 million shares of the Company’s common stock for the conversion premium of $2.16 billion. In connection with these exchange transactions, $2 million of remaining unamortized issuance costs associated with these notes was charged to Additional paid-in capital. The Company accounted for these exchange transactions as induced conversion transactions and recognized an immaterial induced conversion expense in Other expense, net in the Condensed Consolidated Statements of Income. There were no settlements or modifications made to the related capped call transactions in connection with the exchange agreements (see “Capped Calls”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2, 2026, the Company also settled the conversion obligation on $378 million in aggregate principal amount of Convertible Notes that had been tendered by holders pursuant to the Indenture. The aggregate principal amount of these notes was settled in cash with substantially all of the conversion premium of $5.09 billion settled for 9.3 million shares of the Company’s common stock. In connection with these conversions, $4 million of remaining unamortized issuance costs associated with these notes was charged to Additional paid-in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$141 million in aggregate principal amount of the Convertible Notes remained outstanding. The Convertible Notes are currently convertible at the option of any holder, at a conversion price of approximately $37.70 per share of common stock as of October 2, 2026. Upon any conversion of the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 Through October 2, 2026, $31 million in aggregate principal amount of these notes had been tendered for conversion. The Company has elected to issue shares of its common stock to satisfy the conversion obligation in excess of the principal amount for substantially all of the notes tendered for conversion, which are expected to settle in the second quarter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notice of redemption to redeem at par plus unpaid and accrued interest, on November 16, 2026 (the “Redemption Date”), all then-outstanding Convertible Notes that have not been converted prior to the Redemption Date. The Company currently expects that holders of substantially all Convertible Notes will convert such Convertible Notes before the Redemption Date.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Convertible Notes, the Company entered into privately negotiated capped call transactions with certain counterparties (the “Capped Calls”). As of October 2, 2026, the outstanding Capped Calls had an aggregate notional value of $1.19 billion with each having a strike price of approximately $37.70 per share and a cap price of approximately $50.38 per share. The Capped Calls were generally intended to reduce or offset the potential dilution to the Company’s common stock upon any conversion of the Convertible Notes tendered by the holders,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Convertible Notes. As these transactions meet certain accounting criteria, the Capped Calls are recorded in shareholders’ equity and are not accounted for as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6.    Leases and Other Commitments </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right-of-use lease assets and lease liabilities included in the Company’s Condensed Consolidated Balance Sheets: </w:t>
      </w:r>
    </w:p>
    <w:tbl>
      <w:tblPr>
        <w:tblW w:w="8178" w:type="dxa"/>
        <w:jc w:val="left"/>
        <w:tblInd w:w="0" w:type="dxa"/>
        <w:tblLayout w:type="fixed"/>
        <w:tblCellMar>
          <w:top w:w="28" w:type="dxa"/>
          <w:left w:w="28" w:type="dxa"/>
          <w:bottom w:w="28" w:type="dxa"/>
          <w:right w:w="28" w:type="dxa"/>
        </w:tblCellMar>
      </w:tblPr>
      <w:tblGrid>
        <w:gridCol w:w="2243"/>
        <w:gridCol w:w="1973"/>
        <w:gridCol w:w="1979"/>
        <w:gridCol w:w="239"/>
        <w:gridCol w:w="513"/>
        <w:gridCol w:w="133"/>
        <w:gridCol w:w="109"/>
        <w:gridCol w:w="109"/>
        <w:gridCol w:w="109"/>
        <w:gridCol w:w="196"/>
        <w:gridCol w:w="42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(included in Other non-current assets)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operating lease liabilities (included in Accrued expenses)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 (included in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disclosures of operating cost and cash flow information related to operating leases:</w:t>
      </w:r>
    </w:p>
    <w:tbl>
      <w:tblPr>
        <w:tblW w:w="7833" w:type="dxa"/>
        <w:jc w:val="left"/>
        <w:tblInd w:w="0" w:type="dxa"/>
        <w:tblLayout w:type="fixed"/>
        <w:tblCellMar>
          <w:top w:w="28" w:type="dxa"/>
          <w:left w:w="28" w:type="dxa"/>
          <w:bottom w:w="28" w:type="dxa"/>
          <w:right w:w="28" w:type="dxa"/>
        </w:tblCellMar>
      </w:tblPr>
      <w:tblGrid>
        <w:gridCol w:w="1898"/>
        <w:gridCol w:w="1661"/>
        <w:gridCol w:w="1675"/>
        <w:gridCol w:w="272"/>
        <w:gridCol w:w="460"/>
        <w:gridCol w:w="153"/>
        <w:gridCol w:w="116"/>
        <w:gridCol w:w="116"/>
        <w:gridCol w:w="116"/>
        <w:gridCol w:w="317"/>
        <w:gridCol w:w="390"/>
        <w:gridCol w:w="178"/>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48"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operating leases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obtained in exchange for operating lease liabilities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the Company’s operating leases were as follows:</w:t>
      </w:r>
    </w:p>
    <w:tbl>
      <w:tblPr>
        <w:tblW w:w="5655" w:type="dxa"/>
        <w:jc w:val="left"/>
        <w:tblInd w:w="0" w:type="dxa"/>
        <w:tblLayout w:type="fixed"/>
        <w:tblCellMar>
          <w:top w:w="28" w:type="dxa"/>
          <w:left w:w="28" w:type="dxa"/>
          <w:bottom w:w="28" w:type="dxa"/>
          <w:right w:w="28" w:type="dxa"/>
        </w:tblCellMar>
      </w:tblPr>
      <w:tblGrid>
        <w:gridCol w:w="1260"/>
        <w:gridCol w:w="1108"/>
        <w:gridCol w:w="1112"/>
        <w:gridCol w:w="203"/>
        <w:gridCol w:w="203"/>
        <w:gridCol w:w="479"/>
        <w:gridCol w:w="109"/>
        <w:gridCol w:w="109"/>
        <w:gridCol w:w="109"/>
        <w:gridCol w:w="188"/>
        <w:gridCol w:w="188"/>
        <w:gridCol w:w="324"/>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minimum lease payments were as follows:</w:t>
      </w:r>
    </w:p>
    <w:tbl>
      <w:tblPr>
        <w:tblW w:w="4020" w:type="dxa"/>
        <w:jc w:val="left"/>
        <w:tblInd w:w="0" w:type="dxa"/>
        <w:tblLayout w:type="fixed"/>
        <w:tblCellMar>
          <w:top w:w="28" w:type="dxa"/>
          <w:left w:w="28" w:type="dxa"/>
          <w:bottom w:w="28" w:type="dxa"/>
          <w:right w:w="28" w:type="dxa"/>
        </w:tblCellMar>
      </w:tblPr>
      <w:tblGrid>
        <w:gridCol w:w="1005"/>
        <w:gridCol w:w="884"/>
        <w:gridCol w:w="886"/>
        <w:gridCol w:w="316"/>
        <w:gridCol w:w="679"/>
        <w:gridCol w:w="250"/>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Amounts</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Remaining nine months of 2027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Obligations and Other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transfer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October 2, 2026, the Company had the following minimum long-term commitments:</w:t>
      </w:r>
    </w:p>
    <w:tbl>
      <w:tblPr>
        <w:tblW w:w="4423" w:type="dxa"/>
        <w:jc w:val="left"/>
        <w:tblInd w:w="0" w:type="dxa"/>
        <w:tblLayout w:type="fixed"/>
        <w:tblCellMar>
          <w:top w:w="28" w:type="dxa"/>
          <w:left w:w="28" w:type="dxa"/>
          <w:bottom w:w="28" w:type="dxa"/>
          <w:right w:w="28" w:type="dxa"/>
        </w:tblCellMar>
      </w:tblPr>
      <w:tblGrid>
        <w:gridCol w:w="869"/>
        <w:gridCol w:w="764"/>
        <w:gridCol w:w="766"/>
        <w:gridCol w:w="581"/>
        <w:gridCol w:w="983"/>
        <w:gridCol w:w="46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Commitments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Remaining nine months of 2027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7.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Income tax expense and the effective tax rate:</w:t>
      </w:r>
    </w:p>
    <w:tbl>
      <w:tblPr>
        <w:tblW w:w="4339" w:type="dxa"/>
        <w:jc w:val="left"/>
        <w:tblInd w:w="0" w:type="dxa"/>
        <w:tblLayout w:type="fixed"/>
        <w:tblCellMar>
          <w:top w:w="28" w:type="dxa"/>
          <w:left w:w="28" w:type="dxa"/>
          <w:bottom w:w="28" w:type="dxa"/>
          <w:right w:w="28" w:type="dxa"/>
        </w:tblCellMar>
      </w:tblPr>
      <w:tblGrid>
        <w:gridCol w:w="560"/>
        <w:gridCol w:w="490"/>
        <w:gridCol w:w="495"/>
        <w:gridCol w:w="419"/>
        <w:gridCol w:w="254"/>
        <w:gridCol w:w="257"/>
        <w:gridCol w:w="151"/>
        <w:gridCol w:w="151"/>
        <w:gridCol w:w="151"/>
        <w:gridCol w:w="419"/>
        <w:gridCol w:w="254"/>
        <w:gridCol w:w="257"/>
        <w:gridCol w:w="109"/>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453"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and the U.S. Federal statutory rate of 21% for the three months ended October 2, 2026 are the relative mix of earnings and losses by jurisdiction, the deduction for Foreign-Derived Deduction Eligible Income (“FDDEI”), excess tax over book deductions for stock-based compensation, and certain tax credits. These resulted in decreases to the Company’s effective tax rate below the U.S. Federal statutory rate for the three months ended October 2, 2026. The Company maintains tax holidays on a portion of its earnings in the Philippines and Thailand, which are set to expire at various dates from 2029 through 2033. The tax benefits from these holidays are minimized by the implementation of the global minimum tax (“GMT”) and are not material to the Company’s Condensed Consolidated Financial Statements for the three months ended October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and the U.S. Federal statutory rate of 21% for the three months ended October 3, 2025 were the relative mix of earnings and losses by jurisdiction, the deduction for FDDEI, certain tax credits and tax-free gain on the retained interest in Sandisk. These resulted in decreases to the Company’s effective tax rate below the U.S. Federal statutory rate for the three months ended October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Previously, the Tax Cuts and Jobs Act of 2017 (“TCJA”) eliminated the ability to deduct research and development (“R&amp;D”) expenditures in the year incurred, requiring capitalization and amortization. In July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which is renamed as Net CFC Tested Income, and enhancements to the FDDEI deduction that became effective for the Company in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2027, the Company became subject to the Corporate Alternative Minimum Tax (“CAMT”) of 15% on corporations as its average annual Adjusted Financial Statement Income (“AFSI”) exceeded $1.0 billion for the preceding three-year period. The Company anticipates that its CAMT liability will exceed its regular tax liability due to tax deductions in excess of book deductions attributable to stock-based compensation during the year. The Company anticipates that any CAMT paid in 2027 will generate credit carryforwards that can be carried forward indefinitely to offset future regular tax liabilities when they exceed CAMT liabilities. Because the Company expects regular tax liabilities to exceed CAMT liabilities in future periods, no valuation allowance is required against these credit carryforwards. As a result, the CAMT liability did not impact the effective tax rate for the three months ended October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2026, the Organisation for Economic Co-operation and Development (“OECD”) released a side-by-side package that modifies key elements of the Pillar Two GMT by introducing new safe harbors and providing an exemption for U.S. based multinational companies from parts of the GMT. While these safe harbors and exemptions are generally favorable to the Company, they require local legislative action by each country before they can be considered enacted for financial accounting purposes. The Company evaluated the potential effects of these rules based on current local legislative developments in jurisdictions where the Company operates and expects the financial statement impact associated with their enactment to be immaterial. For 2027, the Company’s effective tax rate considers GMT in Malaysia and Thailand.</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Liability for Uncertain Tax 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unrecognized tax benefits that are directly associated with the tax position taken, unrecognized tax benefits are presented gross in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total amounts of unrecognized tax benefits excluding accrued interest and penalties for the three months ended October 2, 2026 (in millions):</w:t>
      </w:r>
    </w:p>
    <w:p>
      <w:pPr>
        <w:pStyle w:val="TextBody"/>
        <w:bidi w:val="0"/>
        <w:spacing w:before="0" w:after="0"/>
        <w:jc w:val="left"/>
        <w:rPr/>
      </w:pPr>
      <w:r>
        <w:rPr/>
      </w:r>
    </w:p>
    <w:tbl>
      <w:tblPr>
        <w:tblW w:w="4692" w:type="dxa"/>
        <w:jc w:val="left"/>
        <w:tblInd w:w="0" w:type="dxa"/>
        <w:tblLayout w:type="fixed"/>
        <w:tblCellMar>
          <w:top w:w="28" w:type="dxa"/>
          <w:left w:w="28" w:type="dxa"/>
          <w:bottom w:w="28" w:type="dxa"/>
          <w:right w:w="28" w:type="dxa"/>
        </w:tblCellMar>
      </w:tblPr>
      <w:tblGrid>
        <w:gridCol w:w="1364"/>
        <w:gridCol w:w="1198"/>
        <w:gridCol w:w="1202"/>
        <w:gridCol w:w="196"/>
        <w:gridCol w:w="421"/>
        <w:gridCol w:w="311"/>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Accrual balance as of July 3, 2026</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current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Gross decreases related to prior year tax positions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Accrual balance as of October 2,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October 2, 2026 was $126 million. Of the aggregate unrecognized tax benefits, including interest and penalties, approximately $351 million could result in potential cash payments to be made within the next twelve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Internal Revenue Service (“IRS”) settlements for the years 2008 through 2015, the Company expects to realize reductions to its mandatory deemed repatriation tax obligations aggregating to approximately $101 million. These tax receivables are classified in Other current assets on the Condensed Consolidated Balance Sheets as of October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8.    Business Realignment Charges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periodically incurs charges to realign its operations with the current and expected future business environment, primarily consisting of organization rationalization designed to streamline its business, reduce its cost structure, and focus its resources. These actions may result in charges for employee termination benefits or charges from the impairment of intangible assets and other long-lived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net charges related to these actions for the periods presented:</w:t>
      </w:r>
    </w:p>
    <w:tbl>
      <w:tblPr>
        <w:tblW w:w="5966" w:type="dxa"/>
        <w:jc w:val="left"/>
        <w:tblInd w:w="0" w:type="dxa"/>
        <w:tblLayout w:type="fixed"/>
        <w:tblCellMar>
          <w:top w:w="28" w:type="dxa"/>
          <w:left w:w="28" w:type="dxa"/>
          <w:bottom w:w="28" w:type="dxa"/>
          <w:right w:w="28" w:type="dxa"/>
        </w:tblCellMar>
      </w:tblPr>
      <w:tblGrid>
        <w:gridCol w:w="1138"/>
        <w:gridCol w:w="1002"/>
        <w:gridCol w:w="1009"/>
        <w:gridCol w:w="272"/>
        <w:gridCol w:w="460"/>
        <w:gridCol w:w="153"/>
        <w:gridCol w:w="116"/>
        <w:gridCol w:w="116"/>
        <w:gridCol w:w="116"/>
        <w:gridCol w:w="317"/>
        <w:gridCol w:w="390"/>
        <w:gridCol w:w="178"/>
        <w:gridCol w:w="109"/>
        <w:gridCol w:w="109"/>
        <w:gridCol w:w="109"/>
        <w:gridCol w:w="109"/>
        <w:gridCol w:w="109"/>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48"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Cash-based employee termination benefits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employee termination benefits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business realignment charges</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actions, the Company expects to record incremental employee termination costs of approximately $74 million in the remainder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components of these activities against the reserve (included in Accrued expenses) during the three months ended October 2, 2026:</w:t>
      </w:r>
    </w:p>
    <w:tbl>
      <w:tblPr>
        <w:tblW w:w="9478" w:type="dxa"/>
        <w:jc w:val="left"/>
        <w:tblInd w:w="0" w:type="dxa"/>
        <w:tblLayout w:type="fixed"/>
        <w:tblCellMar>
          <w:top w:w="28" w:type="dxa"/>
          <w:left w:w="28" w:type="dxa"/>
          <w:bottom w:w="28" w:type="dxa"/>
          <w:right w:w="28" w:type="dxa"/>
        </w:tblCellMar>
      </w:tblPr>
      <w:tblGrid>
        <w:gridCol w:w="1027"/>
        <w:gridCol w:w="902"/>
        <w:gridCol w:w="905"/>
        <w:gridCol w:w="652"/>
        <w:gridCol w:w="1352"/>
        <w:gridCol w:w="365"/>
        <w:gridCol w:w="109"/>
        <w:gridCol w:w="109"/>
        <w:gridCol w:w="109"/>
        <w:gridCol w:w="772"/>
        <w:gridCol w:w="1302"/>
        <w:gridCol w:w="430"/>
        <w:gridCol w:w="109"/>
        <w:gridCol w:w="109"/>
        <w:gridCol w:w="109"/>
        <w:gridCol w:w="196"/>
        <w:gridCol w:w="331"/>
        <w:gridCol w:w="109"/>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 Termination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as of July 3, 2026</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as of October 2, 2026</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9.    Pension and Other Post-Retirement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pension and other post-retirement benefit plans in various countries. The Company’s principal pension plans are its defined benefit pension plans in Japan, Thailand, and the Philippines (the “Pension Plans”). All other pension and post-retirement benefit plans are immaterial to the Condensed Consolidated Financial Statements. The expected long-term rate of return on the Pension Plans’ assets is 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Obligations and Funded Status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unfunded status of the benefit obligations for the Pension Plans:</w:t>
      </w:r>
    </w:p>
    <w:tbl>
      <w:tblPr>
        <w:tblW w:w="5605" w:type="dxa"/>
        <w:jc w:val="left"/>
        <w:tblInd w:w="0" w:type="dxa"/>
        <w:tblLayout w:type="fixed"/>
        <w:tblCellMar>
          <w:top w:w="28" w:type="dxa"/>
          <w:left w:w="28" w:type="dxa"/>
          <w:bottom w:w="28" w:type="dxa"/>
          <w:right w:w="28" w:type="dxa"/>
        </w:tblCellMar>
      </w:tblPr>
      <w:tblGrid>
        <w:gridCol w:w="1232"/>
        <w:gridCol w:w="1084"/>
        <w:gridCol w:w="1088"/>
        <w:gridCol w:w="239"/>
        <w:gridCol w:w="513"/>
        <w:gridCol w:w="133"/>
        <w:gridCol w:w="109"/>
        <w:gridCol w:w="109"/>
        <w:gridCol w:w="109"/>
        <w:gridCol w:w="196"/>
        <w:gridCol w:w="421"/>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 at end of period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Fair value of plan assets at end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status</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unfunded amounts related to the Pension Plans as recognized on the Company’s Condensed Consolidated Balance Sheets:</w:t>
      </w:r>
    </w:p>
    <w:tbl>
      <w:tblPr>
        <w:tblW w:w="5627" w:type="dxa"/>
        <w:jc w:val="left"/>
        <w:tblInd w:w="0" w:type="dxa"/>
        <w:tblLayout w:type="fixed"/>
        <w:tblCellMar>
          <w:top w:w="28" w:type="dxa"/>
          <w:left w:w="28" w:type="dxa"/>
          <w:bottom w:w="28" w:type="dxa"/>
          <w:right w:w="28" w:type="dxa"/>
        </w:tblCellMar>
      </w:tblPr>
      <w:tblGrid>
        <w:gridCol w:w="1353"/>
        <w:gridCol w:w="1186"/>
        <w:gridCol w:w="1195"/>
        <w:gridCol w:w="272"/>
        <w:gridCol w:w="460"/>
        <w:gridCol w:w="153"/>
        <w:gridCol w:w="109"/>
        <w:gridCol w:w="109"/>
        <w:gridCol w:w="109"/>
        <w:gridCol w:w="196"/>
        <w:gridCol w:w="33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(included in Accrued expenses)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liabilities (included in Other liabilities)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recognized</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benefit costs were immaterial for the three months ended October 2, 2026 and October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10.     Shareholders’ Equity and Convertible Preferred Stock</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the financial statement line items where the costs and related tax benefit are included in the Company’s Condensed Consolidated Statements of Income:</w:t>
      </w:r>
    </w:p>
    <w:tbl>
      <w:tblPr>
        <w:tblW w:w="4006" w:type="dxa"/>
        <w:jc w:val="left"/>
        <w:tblInd w:w="0" w:type="dxa"/>
        <w:tblLayout w:type="fixed"/>
        <w:tblCellMar>
          <w:top w:w="28" w:type="dxa"/>
          <w:left w:w="28" w:type="dxa"/>
          <w:bottom w:w="28" w:type="dxa"/>
          <w:right w:w="28" w:type="dxa"/>
        </w:tblCellMar>
      </w:tblPr>
      <w:tblGrid>
        <w:gridCol w:w="477"/>
        <w:gridCol w:w="420"/>
        <w:gridCol w:w="422"/>
        <w:gridCol w:w="272"/>
        <w:gridCol w:w="460"/>
        <w:gridCol w:w="153"/>
        <w:gridCol w:w="109"/>
        <w:gridCol w:w="109"/>
        <w:gridCol w:w="109"/>
        <w:gridCol w:w="272"/>
        <w:gridCol w:w="460"/>
        <w:gridCol w:w="153"/>
        <w:gridCol w:w="109"/>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590" w:type="dxa"/>
            <w:gridSpan w:val="5"/>
            <w:tcBorders/>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237" w:type="dxa"/>
        <w:jc w:val="left"/>
        <w:tblInd w:w="0" w:type="dxa"/>
        <w:tblLayout w:type="fixed"/>
        <w:tblCellMar>
          <w:top w:w="28" w:type="dxa"/>
          <w:left w:w="28" w:type="dxa"/>
          <w:bottom w:w="28" w:type="dxa"/>
          <w:right w:w="28" w:type="dxa"/>
        </w:tblCellMar>
      </w:tblPr>
      <w:tblGrid>
        <w:gridCol w:w="924"/>
        <w:gridCol w:w="811"/>
        <w:gridCol w:w="815"/>
        <w:gridCol w:w="272"/>
        <w:gridCol w:w="460"/>
        <w:gridCol w:w="153"/>
        <w:gridCol w:w="109"/>
        <w:gridCol w:w="109"/>
        <w:gridCol w:w="109"/>
        <w:gridCol w:w="272"/>
        <w:gridCol w:w="460"/>
        <w:gridCol w:w="153"/>
        <w:gridCol w:w="109"/>
        <w:gridCol w:w="109"/>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590" w:type="dxa"/>
            <w:gridSpan w:val="5"/>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excess windfall tax benefits and tax deficiencies for shortfalls related to the vesting and exercise of stock-based awards are recognized as a component of the Company’s Income tax expense. During the three months ended October 2, 2026, excess windfall tax benefits were $98 million. The excess windfall tax benefits were immaterial for the three months ended October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October 2, 2026:</w:t>
      </w:r>
    </w:p>
    <w:tbl>
      <w:tblPr>
        <w:tblW w:w="8171" w:type="dxa"/>
        <w:jc w:val="left"/>
        <w:tblInd w:w="0" w:type="dxa"/>
        <w:tblLayout w:type="fixed"/>
        <w:tblCellMar>
          <w:top w:w="28" w:type="dxa"/>
          <w:left w:w="28" w:type="dxa"/>
          <w:bottom w:w="28" w:type="dxa"/>
          <w:right w:w="28" w:type="dxa"/>
        </w:tblCellMar>
      </w:tblPr>
      <w:tblGrid>
        <w:gridCol w:w="993"/>
        <w:gridCol w:w="873"/>
        <w:gridCol w:w="879"/>
        <w:gridCol w:w="676"/>
        <w:gridCol w:w="1451"/>
        <w:gridCol w:w="377"/>
        <w:gridCol w:w="109"/>
        <w:gridCol w:w="109"/>
        <w:gridCol w:w="109"/>
        <w:gridCol w:w="759"/>
        <w:gridCol w:w="759"/>
        <w:gridCol w:w="1077"/>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Unamortized Compensation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Service Period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(years)</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RSUs and PSUs </w:t>
            </w:r>
            <w:r>
              <w:rPr>
                <w:rFonts w:ascii="Times New Roman;serif" w:hAnsi="Times New Roman;serif"/>
                <w:b w:val="false"/>
                <w:color w:val="000000"/>
                <w:sz w:val="12"/>
              </w:rPr>
              <w:t>(1)</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unamortized compensation cost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Weighted average service period assumes the performance conditions are met for the PSUs.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Plan Activities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RSUs and PSUs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activity under the Company’s incentive plans:</w:t>
      </w:r>
    </w:p>
    <w:tbl>
      <w:tblPr>
        <w:tblW w:w="10205" w:type="dxa"/>
        <w:jc w:val="left"/>
        <w:tblInd w:w="0" w:type="dxa"/>
        <w:tblLayout w:type="fixed"/>
        <w:tblCellMar>
          <w:top w:w="28" w:type="dxa"/>
          <w:left w:w="28" w:type="dxa"/>
          <w:bottom w:w="28" w:type="dxa"/>
          <w:right w:w="28" w:type="dxa"/>
        </w:tblCellMar>
      </w:tblPr>
      <w:tblGrid>
        <w:gridCol w:w="1145"/>
        <w:gridCol w:w="1008"/>
        <w:gridCol w:w="1015"/>
        <w:gridCol w:w="438"/>
        <w:gridCol w:w="438"/>
        <w:gridCol w:w="439"/>
        <w:gridCol w:w="109"/>
        <w:gridCol w:w="584"/>
        <w:gridCol w:w="1927"/>
        <w:gridCol w:w="324"/>
        <w:gridCol w:w="109"/>
        <w:gridCol w:w="675"/>
        <w:gridCol w:w="1455"/>
        <w:gridCol w:w="539"/>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at Vest Date</w:t>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July 3, 2026</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October 2, 2026</w:t>
            </w:r>
          </w:p>
        </w:tc>
        <w:tc>
          <w:tcPr>
            <w:tcW w:w="8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 and PSUs are generally settled in an equal number of shares of the Company’s common stock at the time of vesting of the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750 million shares of common stock, $0.01 par value per share. As of October 2, 2026, there were 374 million shares issued and outstanding. As of July 3, 2026, there were 364 million shares issued and 361 million shares outstanding, which was net of 3 million shares of treasury stock held at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Company’s share repurchase program, the Board of Directors has authorized the repurchase of up to $6.0 billion of the Company’s common stock (the “Share Repurchase Program”). There is no expiration date for the Share Repurchase Program. During the three months ended October 2, 2026, the Company repurchased 2.0 million shares under the Share Repurchase Program for a total cash cost of $1.00 billion. During the three months ended October 3, 2025, the Company repurchased 6.4 million shares under the Share Repurchase Program for a total cash cost of $553 million plus $4 million for accrued excise taxes. As of October 2, 2026, the Company had $2.26 billion available for repurchases pursuant to the Share Repurchase Program. Repurchases under the Share Repurchase Program may be made in the open market or in privately negotiated transactions and may be made under a Rule 10b5-1 plan. The Company expects shares repurchased under the Share Repurchase Program to be funded principally by operating cash flows. The amount and timing of share repurchases will depend on market conditions and other corporate considerations. The Company may suspend or discontinue the Share Repurchase Program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Reclassification of Negative Additional Paid-in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2, 2026, the Company issued shares of common stock in connection with settlements of Convertible Notes and vestings under employee stock plans, utilizing all of its then available treasury stock balance. These transactions resulted in charges to Additional paid-in capital. To the extent such charges exceeded the available Additional paid-in capital balance, the excess of $2.45 billion was reflected as a reduction of Retained earnings. Subsequent to Additional paid-in capital being initially exhausted, activity related to stock-based compensation expense recognized and capped call settlements resulted in an Additional paid-in capital balance of $66 million as of October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to Common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2025, the Company’s Board of Directors authorized the adoption of a cash dividend program. Under the cash dividend program, holders of the Company’s common stock will receive dividends when and as declared by the Board of Directors. During the three months ended October 2, 2026, the Company paid cash dividends of $0.15 per share of its outstanding common stock, totaling $56 million. During the three months ended October 3, 2025, the Company paid aggregate cash dividends of $0.10 per share of its outstanding common stock, totaling $34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quarter-end, on October 21, 2026, the Board of Directors declared a cash dividend of $0.175 per share of the Company’s common stock, which will be paid on December 17, 2026 to shareholders of record as of the close of business on December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Convertible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February 17, 2026, the Company had outstanding shares of Series A Convertible Perpetual Preferred Stock, par value $0.01 per share (the “Preferred Shares”). The Preferred Shares had an initial stated value of $1,000 per share and accrued a cumulative preferred dividend at an annual rate of 6.25% per annum, compounded on a quarterly basis. Through December 27, 2024, the Company paid quarterly dividends on the Preferred Shares in-kind through an increase to their stated value. Subsequently, quarterly dividends on the Preferred Shares were made in cash, including $4 million paid in the three months ended October 3, 2025. In the three months ended October 3, 2025, the Company also paid $1 million to holders of the Company’s Preferred Shares in accordance with their participation rights in the dividend paid to common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17, 2026, the Company converted all remaining outstanding Preferred Shares into 7 million shares of the Company’s common stock pursuant to a mandatory conversion in accordance with their terms. Immediately prior to conversion, the Preferred Shares outstanding had an aggregate liquidation preference of $267 million, which included previous dividends paid in-kind of $32 million. On February 24, 2026, the Company filed a Certificate of Elimination with the Secretary of State of the State of Delaware with respect to the Preferred Shares, pursuant to which the Preferred Shares were eliminated and returned to the status of authorized and unissued preferred shares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Additional information regarding the Company’s previously outstanding Preferred Shares is included in Part II, Item 8, 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Consolidated Financial Statements included in the 2026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11.    Net Income Per Common Share</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per common share:</w:t>
      </w:r>
    </w:p>
    <w:tbl>
      <w:tblPr>
        <w:tblW w:w="8955" w:type="dxa"/>
        <w:jc w:val="left"/>
        <w:tblInd w:w="0" w:type="dxa"/>
        <w:tblLayout w:type="fixed"/>
        <w:tblCellMar>
          <w:top w:w="28" w:type="dxa"/>
          <w:left w:w="28" w:type="dxa"/>
          <w:bottom w:w="28" w:type="dxa"/>
          <w:right w:w="28" w:type="dxa"/>
        </w:tblCellMar>
      </w:tblPr>
      <w:tblGrid>
        <w:gridCol w:w="1826"/>
        <w:gridCol w:w="1613"/>
        <w:gridCol w:w="1630"/>
        <w:gridCol w:w="381"/>
        <w:gridCol w:w="1084"/>
        <w:gridCol w:w="211"/>
        <w:gridCol w:w="211"/>
        <w:gridCol w:w="211"/>
        <w:gridCol w:w="211"/>
        <w:gridCol w:w="211"/>
        <w:gridCol w:w="201"/>
        <w:gridCol w:w="572"/>
        <w:gridCol w:w="112"/>
        <w:gridCol w:w="109"/>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1366" w:type="dxa"/>
            <w:gridSpan w:val="7"/>
            <w:tcBorders/>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allocated to preferred shareholders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attributable to participating securities</w:t>
            </w:r>
            <w:r>
              <w:rPr>
                <w:rFonts w:ascii="Times New Roman;serif" w:hAnsi="Times New Roman;serif"/>
                <w:b w:val="false"/>
                <w:color w:val="000000"/>
                <w:sz w:val="12"/>
              </w:rPr>
              <w:t>(1)</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shareholders - basic</w:t>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Re-allocation of participating securities considered potentially dilutive </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shareholders - diluted</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w:t>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PSUs, ESPP, and Convertible Notes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Participating securities in the prior year period consisted of Preferred Shares because, prior to their conversion, they participated on a pro rata basis in any dividends declared on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computed using (i) net income less (ii) dividends allocated to preferred shareholders less (iii) net income attributable to participating securities divided by (iv) basic weighted average shares outstanding. Diluted net income per common share is computed as (i) basic net income attributable to common shareholders plus (ii) diluted adjustments to income allocable to participating securities divided by (iii) diluted weighted average shares outstanding. The “if-converted” method is used to determine the dilutive impact for the Convertible Notes and the Preferred Shares. The treasury stock method is used to determine the dilutive impact of unvested equity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common shares include dilutive outstanding RSUs and PSUs, rights to purchase shares of common stock under the Company’s ESPP, shares issuable in connection with the Company’s Convertible Notes and Preferred Shares. For the three months ended October 2, 2026 and October 3, 2025, based on the Company’s average stock price during the period, an insignificant number of common shares subject to outstanding equity awards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12.    Legal Proceedings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Intellectual Property Litigation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October 2,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ability to predict the ultimate outcome of any legal proceeding involves judgments, estimates and inherent uncertainties. The actual outcome of these matters could differ materially from management’s estimates.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hanging="90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2026 Annual Report on Form 10-K. See also “Forward-Looking Statements” immediately prior to Part I, Item 1 in this Quarterly Report on</w:t>
      </w:r>
      <w:r>
        <w:rPr>
          <w:color w:val="000000"/>
        </w:rPr>
        <w:t xml:space="preserve"> </w:t>
      </w:r>
      <w:r>
        <w:rPr>
          <w:rFonts w:ascii="Times New Roman;serif" w:hAnsi="Times New Roman;serif"/>
          <w:b w:val="false"/>
          <w:color w:val="000000"/>
          <w:sz w:val="20"/>
        </w:rPr>
        <w:t>Form 10</w:t>
        <w:noBreakHyphen/>
        <w:t>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leading developer, manufacturer, and provider of data storage devices and solutions based on HDD technology. HDDs are critical components of the global data infrastructure market and play an essential role in enabling the AI-driven data economy. They provide reliable, cost-effective, high-capacity storage for a broad range of applications, including cloud data centers, enterprise storage systems, edge computing, smart video, client and consumer devices.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sold under the Western Digital® and WD® brands, addresses our customers’ storage needs through multiple end markets: “Cloud,” “Client” and “Consumer”. Cloud is our largest and fastest growing end market comprised primarily of products for public or private cloud environments and enterprise customers. Through the Client end market, we provide our OEM and channel customers a broad array of high-performance HDD solutions across desktop and notebooks. The Consumer end market offers a comprehensive portfolio of HDD external storage products that we offer globally through our retail and channel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Friday nearest to June 30 and typically consists of 52 weeks. Approximately every five to six years, we report a 53-week fiscal year to align the fiscal year with the foregoing policy. Fiscal year 2027, which will end on July 2, 2027, will be comprised of 52 weeks, with all quarters presented consisting of 13 weeks each. Fiscal year 2026, which ended on July 3, 2026, was comprised of 53 weeks, with the first quarter consisting of 14 weeks and the remaining quarters consisting of 13 weeks each.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Developments</w:t>
      </w:r>
    </w:p>
    <w:p>
      <w:pPr>
        <w:pStyle w:val="TextBody"/>
        <w:bidi w:val="0"/>
        <w:spacing w:before="0" w:after="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Macroeconomic Conditions and Outlook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increasing long-term demand for data storage in the cloud is benefiting our HDD business. The adoption of AI is contributing to additional data storage requirements as the development and use of AI applications increase the volume of data that is generated, collected and retained, including data used to train and operate AI models. In addition, the continued growth of cloud and other data-intensive workloads is increasing the need for scalable, cost-effective storage infrastructure. These trends are accelerating demand for high-capacity drives and are resulting in greater manufacturing complexity and longer production lead times. In response, customers are partnering with us earlier to support their future growth requirements and are extending the duration of their commercial arrangements.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Recent changes to U.S. trade policy, including with regard to tariffs, and related measures by trading partners, have not materially impacted our business and results of operations through the first quarter of 2027, but we are actively monitoring developments and assessing options to mitigate potential future actions. For additional information, please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included in our 2026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First Quarter Overview</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sets forth, for the periods presented, selected summary information from our Condensed Consolidated Statements of Income by dollars and percentage of net revenue</w:t>
      </w:r>
      <w:bookmarkStart w:id="1" w:name="i94498eb57ebe4383ac52e25641be928b_10710"/>
      <w:bookmarkEnd w:id="1"/>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14"/>
        <w:gridCol w:w="523"/>
        <w:gridCol w:w="526"/>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26"/>
        <w:gridCol w:w="229"/>
        <w:gridCol w:w="471"/>
        <w:gridCol w:w="109"/>
        <w:gridCol w:w="109"/>
        <w:gridCol w:w="109"/>
        <w:gridCol w:w="109"/>
        <w:gridCol w:w="109"/>
        <w:gridCol w:w="109"/>
        <w:gridCol w:w="109"/>
        <w:gridCol w:w="109"/>
        <w:gridCol w:w="109"/>
        <w:gridCol w:w="109"/>
        <w:gridCol w:w="109"/>
        <w:gridCol w:w="109"/>
        <w:gridCol w:w="109"/>
        <w:gridCol w:w="157"/>
      </w:tblGrid>
      <w:tr>
        <w:trPr/>
        <w:tc>
          <w:tcPr>
            <w:tcW w:w="81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12"/>
            <w:tcBorders/>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12"/>
            <w:tcBorders/>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retained interest in Sandisk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Percentages may not total due to rounding.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presented, summary information regarding our disaggregated revenue:</w:t>
      </w:r>
    </w:p>
    <w:tbl>
      <w:tblPr>
        <w:tblW w:w="4948" w:type="dxa"/>
        <w:jc w:val="left"/>
        <w:tblInd w:w="0" w:type="dxa"/>
        <w:tblLayout w:type="fixed"/>
        <w:tblCellMar>
          <w:top w:w="28" w:type="dxa"/>
          <w:left w:w="28" w:type="dxa"/>
          <w:bottom w:w="28" w:type="dxa"/>
          <w:right w:w="28" w:type="dxa"/>
        </w:tblCellMar>
      </w:tblPr>
      <w:tblGrid>
        <w:gridCol w:w="859"/>
        <w:gridCol w:w="754"/>
        <w:gridCol w:w="757"/>
        <w:gridCol w:w="201"/>
        <w:gridCol w:w="572"/>
        <w:gridCol w:w="112"/>
        <w:gridCol w:w="109"/>
        <w:gridCol w:w="109"/>
        <w:gridCol w:w="109"/>
        <w:gridCol w:w="201"/>
        <w:gridCol w:w="572"/>
        <w:gridCol w:w="112"/>
        <w:gridCol w:w="109"/>
        <w:gridCol w:w="109"/>
        <w:gridCol w:w="109"/>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end market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Client </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 by geography</w:t>
            </w:r>
            <w:r>
              <w:rPr>
                <w:rFonts w:ascii="Times New Roman;serif" w:hAnsi="Times New Roman;serif"/>
                <w:b w:val="false"/>
                <w:color w:val="000000"/>
                <w:sz w:val="12"/>
              </w:rPr>
              <w:t>(1)</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    </w:t>
      </w:r>
      <w:r>
        <w:rPr>
          <w:rFonts w:ascii="Times New Roman;serif" w:hAnsi="Times New Roman;serif"/>
          <w:b w:val="false"/>
          <w:color w:val="000000"/>
          <w:sz w:val="20"/>
        </w:rPr>
        <w:t>Net revenue is attributed to geographic regions based on the ship-to location of the customer.</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Revenue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Comparison of Three Months Ended October 2, 2026 to Three Months Ended October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increased by 55% for the three months ended October 2, 2026 from the comparable period in the prior year, driven by strong demand in our Cloud, Client and Consumer markets as further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Cloud revenue, representing 88% of total revenue, increased by 54% for the three months ended October 2, 2026 from the comparable period in the prior year, driven by a more than 20% increase in exabytes shipped along with an approximately 25% increase in average selling price per exabyte. The increase in exabytes shipped was driven by strong demand for our high-capacity products due to continued data growth, fueled by the ongoing expansion of cloud environments and the increasing storage demands from AI. The increase in average selling price per exabyte was due to an improved pricing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Client revenue, representing 7% of total revenue, increased by 119% for the three months ended October 2, 2026 from the comparable period in the prior year, driven by an approximately 15% increase in exabytes shipped and an approximately 90% increase in average selling price per exabyte. The increase in average selling price was driven by a shift in product mix to higher capacity drives and an improved pricing environment, while our exabytes shipped increase was driven by strong demand for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revenue, representing 5% of total revenue, increased by 19% for the three months ended October 2, 2026 from the comparable period in the prior year, which reflects an approximately 70% increase in average selling price per exabyte partially offset by an approximately 30% decrease in exabytes shipped. The increase in average selling price per exabyte was due to a shift in product mix to higher capacity drives and an improved pricing environment. The decrease in exabytes shipped was driven by general softness in demand in these end markets as a result of the increased pricing levels.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mix of net revenue by geography for the three months ended October 2, 2026 from the comparable periods in the prior year is largely driven by the deployment and build plans of our larger Cloud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the three months ended October 2, 2026, we updated our methodology for identifying customers for purposes of revenue concentration disclosure. Under the updated methodology, concentrations are attributed to the ultimate end customer when products are purchased on its behalf by distributors, contract manufacturers, or other resellers (collectively referred to as “intermediary purchasers”), rather than being attributed to such intermediary purchasers. We believe this presentation provides investors with a more meaningful reflection of the economic relationship with our customers. Prior year concentrations have been revised to conform to the current year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top 10 customers accounted for 64% of our net revenue for the three months ended October 2, 2026, compared to 73% of our net revenue for the three months ended October 3, 2025. For the three months ended October 2, 2026, two customers accounted for 14% and 13%, respectively, of our net revenue, and for the three months ended October 3, 2025, four customers accounted for 16%, 13%, 13% and 12%, respectively, of our net revenue.</w:t>
      </w:r>
    </w:p>
    <w:p>
      <w:pPr>
        <w:pStyle w:val="TextBody"/>
        <w:bidi w:val="0"/>
        <w:spacing w:before="0" w:after="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Gross profit increased by $1.31 billion, or 14 percentage points, for the three months ended October 2, 2026 from the comparable period in the prior yea</w:t>
      </w:r>
      <w:r>
        <w:rPr>
          <w:rFonts w:ascii="Times New Roman;serif" w:hAnsi="Times New Roman;serif"/>
          <w:b w:val="false"/>
          <w:color w:val="000000"/>
          <w:sz w:val="20"/>
          <w:shd w:fill="FFFFFF" w:val="clear"/>
        </w:rPr>
        <w:t>r, due to improved pricing, an increased volume of shipments, and a lower cost structure on our newer generation products.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decreased by $11 million for the three months ended October 2, 2026 from the comparable period in the prior year. The decrease was attributable to lower compensation-related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$24 million for the three months ended October 2, 2026 from the comparable period in the prior year. The increase was primarily attributable to higher compensation-related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information regarding Business realignment charges, see Part I, Item 1, Note 8, </w:t>
      </w:r>
      <w:r>
        <w:rPr>
          <w:rFonts w:ascii="Times New Roman;serif" w:hAnsi="Times New Roman;serif"/>
          <w:b w:val="false"/>
          <w:i/>
          <w:color w:val="000000"/>
          <w:sz w:val="20"/>
        </w:rPr>
        <w:t>Business Realignment Charges,</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changed by $553 million for the three months ended October 2, 2026 from the comparable period in the prior year. The change reflects a non-recurring gain of $611 million on our retained interest in Sandisk in the prior period based on the mark-to-market value as of October 3, 2025, partially offset by lower interest expense of $48 million, which reflects the reduction in our debt.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Income tax expense and the effective tax rate:</w:t>
      </w:r>
    </w:p>
    <w:tbl>
      <w:tblPr>
        <w:tblW w:w="4339" w:type="dxa"/>
        <w:jc w:val="left"/>
        <w:tblInd w:w="0" w:type="dxa"/>
        <w:tblLayout w:type="fixed"/>
        <w:tblCellMar>
          <w:top w:w="28" w:type="dxa"/>
          <w:left w:w="28" w:type="dxa"/>
          <w:bottom w:w="28" w:type="dxa"/>
          <w:right w:w="28" w:type="dxa"/>
        </w:tblCellMar>
      </w:tblPr>
      <w:tblGrid>
        <w:gridCol w:w="560"/>
        <w:gridCol w:w="490"/>
        <w:gridCol w:w="495"/>
        <w:gridCol w:w="419"/>
        <w:gridCol w:w="254"/>
        <w:gridCol w:w="257"/>
        <w:gridCol w:w="151"/>
        <w:gridCol w:w="151"/>
        <w:gridCol w:w="151"/>
        <w:gridCol w:w="419"/>
        <w:gridCol w:w="254"/>
        <w:gridCol w:w="257"/>
        <w:gridCol w:w="109"/>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453"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and the U.S. Federal statutory rate of 21% for the three months ended October 2, 2026 are the relative mix of earnings and losses by jurisdiction, the deduction for FDDEI, excess tax over book deductions for stock-based compensation, as well as certain tax credits. We maintain tax holidays on a portion of our earnings in the Philippines and Thailand, which are set to expire at various dates from 2029 through 2033. The tax benefits from these holidays are minimized by the implementation of the GMT and are not material to our Condensed Consolidated Financial Statements for the three months ended October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and the U.S. Federal statutory rate of 21% for the three months ended October 3, 2025 were the relative mix of earnings and losses by jurisdiction, the deduction for FDDEI, certain tax credits, and the tax-free gain on the retained interest in Sandisk.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TCJA eliminated the ability to deduct R&amp;D expenditures in the year incurred, requiring capitalization and amortization. In July 2025, the OBBBA was signed into law, which includes broad tax reform provisions that extend and modify key elements of the TCJA. Notably, the new legislation now allows an option for the immediate expensing of domestic R&amp;D expenditures, beginning in 2026. The legislation also includes favorable modifications to international tax provisions, including changes to the Global Intangible Low-Taxed Income regime, which is renamed as Net CFC Tested Income and enhancements to the FDDEI deduction that became effective for us in 2027.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2027, we became subject to CAMT of 15% on corporations as our average annual AFSI exceeded $1.0 billion for the preceding three-year period. We anticipate that our CAMT liability will exceed our regular tax liability due to tax deductions in excess tax of book deductions attributable to stock-based compensation during the year. We anticipate that any CAMT paid in 2027 will generate credit carryforwards that can be carried forward indefinitely to offset future regular tax liabilities in cases where they exceed CAMT liabilities. Because we expect regular tax liabilities to exceed CAMT liabilities in future periods, no valuation allowance is required against these credit carryforwards. As a result, the CAMT liability did not impact the effective tax rate for the three months ended October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the OECD released a side-by-side package that modifies key elements of the Pillar Two GMT by introducing new safe harbors and providing an exemption for U.S. based multinational companies from parts of the GMT. While these safe harbors and exemptions are generally favorable to us, they require local legislative action by each country before they can be considered enacted for financial accounting purposes. We evaluated the potential effects of these rules based on current local legislative developments in jurisdictions where we operate and expect the financial statement impact associated with their enactment to be immaterial. For 2027, our effective tax rate considers GMT in Malaysia and Thailand.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statements of cash flows. </w:t>
      </w:r>
    </w:p>
    <w:tbl>
      <w:tblPr>
        <w:tblW w:w="5419" w:type="dxa"/>
        <w:jc w:val="left"/>
        <w:tblInd w:w="0" w:type="dxa"/>
        <w:tblLayout w:type="fixed"/>
        <w:tblCellMar>
          <w:top w:w="28" w:type="dxa"/>
          <w:left w:w="28" w:type="dxa"/>
          <w:bottom w:w="28" w:type="dxa"/>
          <w:right w:w="28" w:type="dxa"/>
        </w:tblCellMar>
      </w:tblPr>
      <w:tblGrid>
        <w:gridCol w:w="1109"/>
        <w:gridCol w:w="973"/>
        <w:gridCol w:w="977"/>
        <w:gridCol w:w="201"/>
        <w:gridCol w:w="572"/>
        <w:gridCol w:w="112"/>
        <w:gridCol w:w="109"/>
        <w:gridCol w:w="109"/>
        <w:gridCol w:w="109"/>
        <w:gridCol w:w="239"/>
        <w:gridCol w:w="513"/>
        <w:gridCol w:w="133"/>
        <w:gridCol w:w="109"/>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475" w:type="dxa"/>
            <w:gridSpan w:val="8"/>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primarily consists of net income, adjusted for non-cash charges, plus or minus changes in operating assets and liabilities. The significant improvement in cash from operating activities for the three months ended October 2, 2026 was primarily driven by the improved profitability in the business from the comparable period in the prior year, partially offset by the increased net cash used for changes in operating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changes in operating assets and liabilities was $331 million for the three months ended October 2, 2026, compared to $99 million for the three months ended October 3, 2025. For the three months ended October 2, 2026, net cash used for changes in operating assets and liabilities primarily consisted of a $269 million increase in inventories as we ramped production in response to growing demand and a $206 million increase in accounts receivable driven by our growth in revenue. These uses were partially offset by a $131 million increase in income taxes payable resulting from the timing of tax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October 3, 2025, net cash used for changes in operating assets and liabilities primarily consisted of a $503 million decrease in income taxes payable resulting from the timing of tax payments and a $101 million increase in inventories as we ramped production in response to growing demand. These uses were partially offset by a $248 million increase in accounts payable as we ramped up purchases for production as well as more favorable payment terms with suppliers, a $141 million increase in other assets and liabilities primarily driven by timing of recognition and application of taxes receivable, and a $131 million decrease in accounts receivable driven by timing of collections.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October 2, 2026 primarily consisted of $227 million in capital expenditures. Net cash used in investing activities for the three months ended October 3, 2025 primarily consisted of $73 million in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capital expenditures to average 4% to 6% of revenue over the next five years; however, we anticipate capital expenditures as a percentage of revenue will be modestly above that range over the next two years as we invest in heads and media technology and factory automation.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three months ended October 2, 2026 primarily consisted of $1.00 billion for share repurchases, $570 million to settle a portion of our Convertible Notes, $317 million for taxes paid on vested stock awards under employee stock plans, and $56 million of dividends paid on our common stock. These uses were partially offset by $300 million of net borrowings from our Revolving Credit Facility. Net cash used in financing activities for the three months ended October 3, 2025 primarily consisted of $553 million for share repurchases, $39 million of dividends paid on our common stock and Preferred Shares, $55 million for taxes paid on vested stock awards under employee stock plans and $31 million of scheduled repayments on our term loan.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 xml:space="preserve">We believe our cash and cash equivalents and cash flows from operations will be sufficient to meet our working capital, debt, dividend and capital expenditure needs and fund our share repurchases for at least the next twelve months and for the foreseeable future thereafter. We also believe we can access the various debt and equity capital markets to further supplement our liquidity position, if necessary. Our ability to sustain our working capital position is subject to a number of risks that we discuss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2026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2024, we filed a shelf registration statement (the “Shelf Registration Statement”) with the SEC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total of $1.00 billion and $1.08 billion of our cash and cash equivalents was held by our foreign subsidiaries as of October 2, 2026 and July 3, 2026, respectively. There are no material tax consequences that were not previously accrued for on the repatriation of this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than certain indemnification provisions (see “Short- and Long-term Liquidity – </w:t>
      </w:r>
      <w:r>
        <w:rPr>
          <w:rFonts w:ascii="Times New Roman;serif" w:hAnsi="Times New Roman;serif"/>
          <w:b w:val="false"/>
          <w:i/>
          <w:color w:val="000000"/>
          <w:sz w:val="20"/>
        </w:rPr>
        <w:t>Purchase Obligations and Other Commitments</w:t>
      </w:r>
      <w:r>
        <w:rPr>
          <w:color w:val="000000"/>
        </w:rPr>
        <w:t xml:space="preserve">” </w:t>
      </w:r>
      <w:r>
        <w:rPr>
          <w:rFonts w:ascii="Times New Roman;serif" w:hAnsi="Times New Roman;serif"/>
          <w:b w:val="false"/>
          <w:color w:val="000000"/>
          <w:sz w:val="20"/>
        </w:rPr>
        <w:t>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Short- and Long-term Liquidity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Material Cash Requirements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known material cash requirements as of October 2, 2026. In addition, see the discussions further below for other potential uses of cash related to our cash dividend program, Share Repurchase Program, liability for unrecognized tax benefits, global minimum tax, foreign exchange contracts, litigation matters, and potential indemnifications.</w:t>
      </w:r>
    </w:p>
    <w:tbl>
      <w:tblPr>
        <w:tblW w:w="10205" w:type="dxa"/>
        <w:jc w:val="left"/>
        <w:tblInd w:w="0" w:type="dxa"/>
        <w:tblLayout w:type="fixed"/>
        <w:tblCellMar>
          <w:top w:w="28" w:type="dxa"/>
          <w:left w:w="28" w:type="dxa"/>
          <w:bottom w:w="28" w:type="dxa"/>
          <w:right w:w="28" w:type="dxa"/>
        </w:tblCellMar>
      </w:tblPr>
      <w:tblGrid>
        <w:gridCol w:w="883"/>
        <w:gridCol w:w="735"/>
        <w:gridCol w:w="706"/>
        <w:gridCol w:w="196"/>
        <w:gridCol w:w="556"/>
        <w:gridCol w:w="109"/>
        <w:gridCol w:w="109"/>
        <w:gridCol w:w="109"/>
        <w:gridCol w:w="109"/>
        <w:gridCol w:w="499"/>
        <w:gridCol w:w="1073"/>
        <w:gridCol w:w="279"/>
        <w:gridCol w:w="109"/>
        <w:gridCol w:w="109"/>
        <w:gridCol w:w="109"/>
        <w:gridCol w:w="312"/>
        <w:gridCol w:w="671"/>
        <w:gridCol w:w="173"/>
        <w:gridCol w:w="109"/>
        <w:gridCol w:w="109"/>
        <w:gridCol w:w="109"/>
        <w:gridCol w:w="312"/>
        <w:gridCol w:w="671"/>
        <w:gridCol w:w="173"/>
        <w:gridCol w:w="109"/>
        <w:gridCol w:w="109"/>
        <w:gridCol w:w="109"/>
        <w:gridCol w:w="399"/>
        <w:gridCol w:w="827"/>
        <w:gridCol w:w="323"/>
      </w:tblGrid>
      <w:tr>
        <w:trPr/>
        <w:tc>
          <w:tcPr>
            <w:tcW w:w="8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(Remaining Nine Months of 2027)</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 (2028-2029)</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 Years (2030-2031)</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 (Beyond 2031)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purchase obligations and other commitments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described in Part I, Item 1, Note 5, </w:t>
      </w:r>
      <w:r>
        <w:rPr>
          <w:rFonts w:ascii="Times New Roman;serif" w:hAnsi="Times New Roman;serif"/>
          <w:b w:val="false"/>
          <w:i/>
          <w:color w:val="000000"/>
          <w:sz w:val="20"/>
        </w:rPr>
        <w:t>Debt</w:t>
      </w:r>
      <w:r>
        <w:rPr>
          <w:rFonts w:ascii="Times New Roman;serif" w:hAnsi="Times New Roman;serif"/>
          <w:b w:val="false"/>
          <w:color w:val="000000"/>
          <w:sz w:val="20"/>
        </w:rPr>
        <w:t>, of the Notes to Condensed Consolidated Financial Statements included in this Quarterly Report on Form 10-Q, as of October 2, 2026, $141 million in aggregate principal amount of Convertible Notes remained outstanding. The Convertible Notes are currently convertible at the option of any holder, at a conversion price of approximately $37.70 per share of common stock as of October 2, 2026. Upon any conversion of the Convertible Notes, we will pay cash for the aggregate principal amount of the notes to be converted and pay or deliver, as the case may be, cash, shares of the Company’s common stock or a combination thereof, at our election, in respect of the remainder, if any, of our conversion obligation in excess of the aggregate principal amount of the notes being converted. Through October 2, 2026, $31 million in aggregate principal amount of these notes had been tendered for conversion. We have elected to issue shares of our common stock to satisfy the conversion obligation in excess of the principal amount for substantially all of the notes tendered for conversion, which are expected to settle in the second quarter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2026, we issued a notice of redemption to redeem at par plus unpaid and accrued interest, on November 16, 2026 (the “Redemption Date”), all then-outstanding Convertible Notes that have not been converted prior to the Redemption Date. We currently expect that holders of substantially all Convertible Notes will convert such Convertible Notes before the Redemption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as of October 2, 2026, we had $650 million outstanding on our Revolving Credit Facility maturing in January 2027 and had $600 million remaining available borrowing capacity under this facility, subject to customary conditions under the loan agreement. We believe our existing cash and cash expected to be generated from our business will be adequate to meet our debt repayment requirements.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7, </w:t>
      </w:r>
      <w:r>
        <w:rPr>
          <w:rFonts w:ascii="Times New Roman;serif" w:hAnsi="Times New Roman;serif"/>
          <w:b w:val="false"/>
          <w:i/>
          <w:color w:val="000000"/>
          <w:sz w:val="20"/>
        </w:rPr>
        <w:t>Debt</w:t>
      </w:r>
      <w:r>
        <w:rPr>
          <w:rFonts w:ascii="Times New Roman;serif" w:hAnsi="Times New Roman;serif"/>
          <w:b w:val="false"/>
          <w:color w:val="000000"/>
          <w:sz w:val="20"/>
        </w:rPr>
        <w:t xml:space="preserve">, of the Notes to Consolidated Financial Statements included in our 2026 Annual Report on Form 10-K and Note 5, </w:t>
      </w:r>
      <w:r>
        <w:rPr>
          <w:rFonts w:ascii="Times New Roman;serif" w:hAnsi="Times New Roman;serif"/>
          <w:b w:val="false"/>
          <w:i/>
          <w:color w:val="000000"/>
          <w:sz w:val="20"/>
        </w:rPr>
        <w:t>Debt</w:t>
      </w:r>
      <w:r>
        <w:rPr>
          <w:rFonts w:ascii="Times New Roman;serif" w:hAnsi="Times New Roman;serif"/>
          <w:b w:val="false"/>
          <w:color w:val="000000"/>
          <w:sz w:val="20"/>
        </w:rPr>
        <w:t>, of the Notes to Condensed Consolidated Financial Statements included in Part I, Item 1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summarized financial information for the Obligor Group. The financial information for the Obligor Group is presented on a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Obligor Group include the following:</w:t>
      </w:r>
    </w:p>
    <w:tbl>
      <w:tblPr>
        <w:tblW w:w="6272" w:type="dxa"/>
        <w:jc w:val="center"/>
        <w:tblInd w:w="0" w:type="dxa"/>
        <w:tblLayout w:type="fixed"/>
        <w:tblCellMar>
          <w:top w:w="28" w:type="dxa"/>
          <w:left w:w="28" w:type="dxa"/>
          <w:bottom w:w="28" w:type="dxa"/>
          <w:right w:w="28" w:type="dxa"/>
        </w:tblCellMar>
      </w:tblPr>
      <w:tblGrid>
        <w:gridCol w:w="1502"/>
        <w:gridCol w:w="1319"/>
        <w:gridCol w:w="1333"/>
        <w:gridCol w:w="201"/>
        <w:gridCol w:w="572"/>
        <w:gridCol w:w="112"/>
        <w:gridCol w:w="109"/>
        <w:gridCol w:w="109"/>
        <w:gridCol w:w="109"/>
        <w:gridCol w:w="196"/>
        <w:gridCol w:w="55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payables to non-guarantor subsidiaries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Obligor Group include the following:</w:t>
      </w:r>
    </w:p>
    <w:tbl>
      <w:tblPr>
        <w:tblW w:w="4316" w:type="dxa"/>
        <w:jc w:val="left"/>
        <w:tblInd w:w="0" w:type="dxa"/>
        <w:tblLayout w:type="fixed"/>
        <w:tblCellMar>
          <w:top w:w="28" w:type="dxa"/>
          <w:left w:w="28" w:type="dxa"/>
          <w:bottom w:w="28" w:type="dxa"/>
          <w:right w:w="28" w:type="dxa"/>
        </w:tblCellMar>
      </w:tblPr>
      <w:tblGrid>
        <w:gridCol w:w="498"/>
        <w:gridCol w:w="438"/>
        <w:gridCol w:w="444"/>
        <w:gridCol w:w="365"/>
        <w:gridCol w:w="1037"/>
        <w:gridCol w:w="203"/>
        <w:gridCol w:w="109"/>
        <w:gridCol w:w="109"/>
        <w:gridCol w:w="109"/>
        <w:gridCol w:w="217"/>
        <w:gridCol w:w="617"/>
        <w:gridCol w:w="170"/>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for the Obligor Group include the following transactions with non-guarantor subsidiaries:</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924"/>
        <w:gridCol w:w="812"/>
        <w:gridCol w:w="814"/>
        <w:gridCol w:w="365"/>
        <w:gridCol w:w="1037"/>
        <w:gridCol w:w="203"/>
        <w:gridCol w:w="109"/>
        <w:gridCol w:w="109"/>
        <w:gridCol w:w="109"/>
        <w:gridCol w:w="217"/>
        <w:gridCol w:w="617"/>
        <w:gridCol w:w="170"/>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interest expense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dividend income</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Obligations and Other Commitments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transfer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Dividend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April 29, 2025, our Board of Directors authorized the adoption of a cash dividend program. See Part I, Item 1, Note 10,</w:t>
      </w:r>
      <w:r>
        <w:rPr>
          <w:color w:val="000000"/>
        </w:rPr>
        <w:t xml:space="preserve">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Condensed Consolidated Financial Statements included in this Quarterly Report on Form 10-Q under the caption “Dividends to Common Shareholders” for further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Our Board of Directors has authorized a Share Repurchase Program and as of October 2, 2026, we had $2.26 billion available for repurchases under the program. See Part I, Item 1, Note 10,</w:t>
      </w:r>
      <w:r>
        <w:rPr>
          <w:color w:val="000000"/>
        </w:rPr>
        <w:t xml:space="preserve">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Condensed Consolidated Financial Statements included in this Quarterly Report on Form 10-Q under the caption “Share Repurchase Program” for further details.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Liability for Unrecognized Tax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the liability for unrecognized tax benefits (excluding accrued interest and penalties) was $635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October 2, 2026 was $126 million. Of these amounts, approximately $351 million could result in potential cash payments to be made within the next twelve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IRS settlements for the years 2008 through 2015, we expect to realize reductions to our mandatory deemed repatriation tax obligations aggregating to approximately $101 million. These tax receivables are classified in Other current assets on the Condensed Consolidated Balance Sheets as of October 2,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Global Minimum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2, 2026, we have accrued GMT liabilities of $90 million, which encompass obligations originating from both 2026 and for the three months ended October 2, 2026. Due to transitional 18-month filing extensions permitted under the OECD Pillar Two framework, initial cash payments for these obligations are not expected to be fully settled until the second quarter of 2028.</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before="0" w:after="0"/>
        <w:ind w:left="0" w:right="0" w:firstLine="225"/>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included in this Quarterly Report on Form 10-Q for additional information.</w:t>
      </w:r>
    </w:p>
    <w:p>
      <w:pPr>
        <w:pStyle w:val="TextBody"/>
        <w:bidi w:val="0"/>
        <w:spacing w:before="0" w:after="0"/>
        <w:ind w:left="0" w:right="0" w:firstLine="27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For additional information on our litigation matters, see Part I, Item 1, Note 12,</w:t>
      </w:r>
      <w:r>
        <w:rPr>
          <w:color w:val="000000"/>
        </w:rPr>
        <w:t xml:space="preserve"> </w:t>
      </w:r>
      <w:r>
        <w:rPr>
          <w:rFonts w:ascii="Times New Roman;serif" w:hAnsi="Times New Roman;serif"/>
          <w:b w:val="false"/>
          <w:i/>
          <w:color w:val="000000"/>
          <w:sz w:val="20"/>
        </w:rPr>
        <w:t>Legal Proceedings</w:t>
      </w:r>
      <w:r>
        <w:rPr>
          <w:rFonts w:ascii="Times New Roman;serif" w:hAnsi="Times New Roman;serif"/>
          <w:b w:val="false"/>
          <w:color w:val="000000"/>
          <w:sz w:val="20"/>
        </w:rPr>
        <w:t>, of the Notes to Condensed Consolidated Financial Statements included in this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new accounting standards were adopted in the quarter ended October 2,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2026, the Financial Accounting Standards Board (“FASB”) issued accounting standards update (“ASU”) No. 2026-02, “Environmental Credits and Environmental Credit Obligations (Topic 818),” which introduces specific accounting models for entities that generate, purchase, or hold environmental credits, or have an enforceable regulatory compliance obligation that may be settled with such credits. Under the new guidance, environmental credits intended for compliance are recorded at cost, while certain non-compliance credits are tested for impairment or can be subject to a fair value accounting policy election. Additionally, the standard requires gross financial statement presentation, prohibiting the netting of environmental credit assets against related compliance obligations. This standard is effective for the year beginning July 1, 2028, and interim periods within that year, with early adoption permitted. Adoption will be applied on a retrospective basis through a cumulative-effect adjustment to the opening balance of retained earnings. We are currently assessing the impact of this standard on our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which establishes guidance on the recognition, measurement, and presentation of government grants. The standard may be adopted using a full retrospective, modified retrospective, or modified prospective transition method. ASU 2025-10 is effective for the year beginning June 30, 2029, and interim periods within that year, with early adoption permitted. We are currently assessing the impact of this guidance on our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(“ASU 2025-09”), which introduces targeted improvements to better align hedge accounting with entities’ risk management activities. ASU 2025-09 is effective for the year beginning July 3, 2027, and interim periods within that year, with early adoption permitted. We are currently assessing the impact of this guidance on our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the year beginning July 3, 2027, and interim periods within that year. Early adoption is permitted and must be applied as of the beginning of the fiscal year that includes the interim period. We currently do not expect this standard to have a material impact on our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“Intangibles – Goodwill and Other – Internal-Use Software (Topic 350): Targeted Improvements to the Accounting for Internal-Use Software” (“ASU 2025-06”). ASU 2025-06 amends existing references to prescriptive and sequential software development stages to better align with current software development methods, such as agile development. Under the new standard, entities will begin to capitalize eligible software costs when (i) management has authorized and committed to funding the software project, and (ii) it is probable that the project will be completed and the software will be used to perform the function intended. ASU 2025-06 is effective for the year beginning July 1, 2028, and interim periods within that year, with early adoption permitted. We are currently assessing the impact of this standard on our consolidated financial statements and related disclosures.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with early adoption permitted. We are currently compiling the information required for these disclosures and assessing the basis of adoption and expect to adopt the guidance for annual reporting periods in our annual report on Form 10-K for the year ending June 30, 2028.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disclosed in our 2026 Annual Report on Form 10</w:t>
        <w:noBreakHyphen/>
        <w:t>K. Please refer to Part II, Item 7 of our 2026 Annual Report on Form 10</w:t>
        <w:noBreakHyphen/>
        <w:t>K for a discussion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than changes to our interest rate risk as a result of an increase in the amount of our variable-rate debt, there have been no material changes to our market risk exposure during the three months ended October 2, 2026 from those disclosed in Part II,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our 2026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as of October 2,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October 2, 2026. The sensitivity analyses indicated that a hypothetical 10% adverse movement in foreign currency exchange rates relative to the U.S. dollar would result in a foreign exchange fair value loss of $81 million at October 2,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historically held a balance of fixed and variable rate debt. As of October 2, 2026, our variable rate debt outstanding consisted of borrowings under our Revolving Credit Facility, which are based on index rates as discussed further in Note 5, </w:t>
      </w:r>
      <w:r>
        <w:rPr>
          <w:rFonts w:ascii="Times New Roman;serif" w:hAnsi="Times New Roman;serif"/>
          <w:b w:val="false"/>
          <w:i/>
          <w:color w:val="000000"/>
          <w:sz w:val="20"/>
        </w:rPr>
        <w:t>Debt</w:t>
      </w:r>
      <w:r>
        <w:rPr>
          <w:rFonts w:ascii="Times New Roman;serif" w:hAnsi="Times New Roman;serif"/>
          <w:b w:val="false"/>
          <w:color w:val="000000"/>
          <w:sz w:val="20"/>
        </w:rPr>
        <w:t>, of the Notes to Condensed Consolidated Financial Statements included in this Quarterly Report on Form 10-Q. As of October 2, 2026, the outstanding balance on our Revolving Credit Facility was $650 million, and a 1% increase in the variable rate of interest would increase annual interest expense by $7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Changes in Internal Controls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the quarter ended October 2,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Legal Proceedings</w:t>
      </w:r>
    </w:p>
    <w:p>
      <w:pPr>
        <w:pStyle w:val="TextBody"/>
        <w:bidi w:val="0"/>
        <w:spacing w:before="0" w:after="0"/>
        <w:ind w:left="0" w:right="0" w:hanging="90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disclosures regarding certain legal proceedings, which are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described under the heading “Risk Factors” in Part I, Item 1A of our 2026 Annual Report on Form 10-K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2026 Annual Report on Form 10-K.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Unregistered Sales of Equity Securities and Use of Proceeds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Repurchases of Equity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12529"/>
          <w:sz w:val="20"/>
        </w:rPr>
        <w:t xml:space="preserve">The following table provides information about repurchases by us of shares of our common stock during the quarter ended </w:t>
      </w:r>
      <w:r>
        <w:rPr>
          <w:rFonts w:ascii="Times New Roman;serif" w:hAnsi="Times New Roman;serif"/>
          <w:b w:val="false"/>
          <w:color w:val="000000"/>
          <w:sz w:val="20"/>
        </w:rPr>
        <w:t>October 2, 2026:</w:t>
      </w:r>
    </w:p>
    <w:tbl>
      <w:tblPr>
        <w:tblW w:w="10205" w:type="dxa"/>
        <w:jc w:val="left"/>
        <w:tblInd w:w="0" w:type="dxa"/>
        <w:tblLayout w:type="fixed"/>
        <w:tblCellMar>
          <w:top w:w="28" w:type="dxa"/>
          <w:left w:w="28" w:type="dxa"/>
          <w:bottom w:w="28" w:type="dxa"/>
          <w:right w:w="28" w:type="dxa"/>
        </w:tblCellMar>
      </w:tblPr>
      <w:tblGrid>
        <w:gridCol w:w="588"/>
        <w:gridCol w:w="516"/>
        <w:gridCol w:w="520"/>
        <w:gridCol w:w="468"/>
        <w:gridCol w:w="468"/>
        <w:gridCol w:w="470"/>
        <w:gridCol w:w="109"/>
        <w:gridCol w:w="109"/>
        <w:gridCol w:w="109"/>
        <w:gridCol w:w="287"/>
        <w:gridCol w:w="947"/>
        <w:gridCol w:w="159"/>
        <w:gridCol w:w="109"/>
        <w:gridCol w:w="109"/>
        <w:gridCol w:w="109"/>
        <w:gridCol w:w="802"/>
        <w:gridCol w:w="802"/>
        <w:gridCol w:w="805"/>
        <w:gridCol w:w="109"/>
        <w:gridCol w:w="109"/>
        <w:gridCol w:w="109"/>
        <w:gridCol w:w="516"/>
        <w:gridCol w:w="1463"/>
        <w:gridCol w:w="413"/>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average price paid per share)</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Value of Shares that May Yet be Purchased Under the Program</w:t>
            </w:r>
            <w:r>
              <w:rPr>
                <w:rFonts w:ascii="Times New Roman;serif" w:hAnsi="Times New Roman;serif"/>
                <w:b/>
                <w:color w:val="000000"/>
                <w:sz w:val="10"/>
              </w:rPr>
              <w:t>(2)</w:t>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 4, 2026 - Jul. 31, 2026</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 1, 2026 - Aug. 28, 2026</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 29, 2026 - Oct. 2, 2026</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1.0⁽³⁾</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 the quarter ended Oct. 2, 2026</w:t>
            </w:r>
          </w:p>
        </w:tc>
        <w:tc>
          <w:tcPr>
            <w:tcW w:w="93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8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commissions.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On May 9, 2025, our Board of Directors authorized the Share Repurchase Program for the repurchase of up to $2.0 billion of our common stock, and on February 2, 2026, our Board of Directors authorized the repurchase of up to an additional $4.0 billion of the Company’s common stock. There is no expiration date for the Share Repurchase Program. Repurchases under the Share Repurchase Program may be made in the open market or in privately negotiated transactions and may be made under a Rule 10b5-1 plan. We expect share repurchases to be funded principally by operating cash flows. The amount and timing of share repurchases will depend on market conditions and other corporate considerations. We may suspend or discontinue the Share Repurchase Program at any time.</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Amount includes an aggregate of 176,008 shares of our common stock that we received during the month ended October 2, 2026 upon the settlement of $378 million notional amount of Capped Calls in connection with the settlement of the same principal amount of Convertible Notes that had been tendered by the holders. This transaction is not part of our publicly announced Share Repurchase Program and the shares received from the settlement of these Capped Calls are not reflected in the column captioned “Average Price Paid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r>
        <w:rPr>
          <w:color w:val="000000"/>
        </w:rPr>
        <w:t xml:space="preserve"> </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October 2, 2026, the following director and officers (as defined in Rule 16a-1(f) of the Exchange Act) adopted, modified or terminated a trading arrangement for the purchase or sale of securities of Western Digital that is intended to satisfy the affirmative defense conditions of Rule 10b5-1(c) of the Exchange Act (“Rule 10b5-1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August 7, 2026, Brian Scott Davis, Executive Vice President and Chief Sales and Marketing Officer of the Company, terminated his previously reported Rule 10b5-1 Plans adopted on November 3, 2025 and June 5, 2026. The November 3, 2025 plan was scheduled to expire on August 14, 2026, and the June 5, 2026 plan was scheduled to commence on November 9,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August 14, 2026, Irving Tan, Chief Executive Officer of the Company, modified his previously reported Rule 10b5-1 Plan adopted on February 5, 2026. Mr. Tan’s plan was modified to amend the equity awards subject to the plan, with no change to the expiration date of the plan (May 31, 2027) or the total number of shares subject to the plan (up to an aggregate of 80,000 shares of the Company’s common stock, of which, 20,000 shares had already been sold prior to the plan amendment). Trades under the modified plan are subject to a cooling off period consistent with SEC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September 1, 2026, Tunç Doluca, a director of the Company, adopted a Rule 10b5-1 Plan. Under this plan, up to an aggregate of 13,440 shares of the Company’s common stock may be sold before the plan expires on December 31,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r>
        <w:rPr>
          <w:color w:val="000000"/>
        </w:rPr>
        <w:t xml:space="preserve"> </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Exhibit Index below are filed or furnished with, or incorporated by reference in, this Quarterly Report on Form 10-Q, as specified in the Exhibit List.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INDEX</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2743"/>
        <w:gridCol w:w="2634"/>
        <w:gridCol w:w="3757"/>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8"/>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Separation and Distribution Agreement, dated as of February 21, 2025, by and between Western Digital Corporation and Sandisk Corporation (incorporated by reference to Exhibit 2.1 of the Current Report on Form 8-K filed by the Company on February 24, 2025)#</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Certificate of Incorporation of Western Digital Corporation, as amended to date (incorporated by reference to Exhibit 3.1 to the Annual Report on Form 10-K filed by the Company on August 20, 2024)</w:t>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8"/>
                  <w:u w:val="single"/>
                </w:rPr>
                <w:t>3.</w:t>
              </w:r>
            </w:hyperlink>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Bylaws of Western Digital Corporation, as amended effective as of March 13, 2025 (incorporated by reference to Exhibit 3.1 to the Current Report on Form 8-K filed by the Company on March 13, 2025)</w:t>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1-fy27xpsuagreementaug.htm">
              <w:r>
                <w:rPr>
                  <w:rStyle w:val="InternetLink"/>
                  <w:rFonts w:ascii="Times New Roman;serif" w:hAnsi="Times New Roman;serif"/>
                  <w:b w:val="false"/>
                  <w:color w:val="000080"/>
                  <w:sz w:val="18"/>
                  <w:u w:val="single"/>
                </w:rPr>
                <w:t>1</w:t>
              </w:r>
            </w:hyperlink>
            <w:hyperlink w:anchor="ex101-fy27xpsuagreementaug.htm">
              <w:r>
                <w:rPr>
                  <w:rStyle w:val="InternetLink"/>
                  <w:rFonts w:ascii="Times New Roman;serif" w:hAnsi="Times New Roman;serif"/>
                  <w:b w:val="false"/>
                  <w:color w:val="000080"/>
                  <w:sz w:val="18"/>
                  <w:u w:val="single"/>
                </w:rPr>
                <w:t>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Grant Notice for Performance Stock Unit Award under the Western Digital Corporation 2021 Long-Term Incentive Plan†**</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2-fy27xrsuagreementvpf.htm">
              <w:r>
                <w:rPr>
                  <w:rStyle w:val="InternetLink"/>
                  <w:rFonts w:ascii="Times New Roman;serif" w:hAnsi="Times New Roman;serif"/>
                  <w:b w:val="false"/>
                  <w:color w:val="000080"/>
                  <w:sz w:val="18"/>
                  <w:u w:val="single"/>
                </w:rPr>
                <w:t>1</w:t>
              </w:r>
            </w:hyperlink>
            <w:hyperlink w:anchor="ex102-fy27xrsuagreementvpf.htm">
              <w:r>
                <w:rPr>
                  <w:rStyle w:val="InternetLink"/>
                  <w:rFonts w:ascii="Times New Roman;serif" w:hAnsi="Times New Roman;serif"/>
                  <w:b w:val="false"/>
                  <w:color w:val="000080"/>
                  <w:sz w:val="18"/>
                  <w:u w:val="single"/>
                </w:rPr>
                <w:t>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2021 Long-Term Incentive Plan†**</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3-wdcxnonxemployeedire.htm">
              <w:r>
                <w:rPr>
                  <w:rStyle w:val="InternetLink"/>
                  <w:rFonts w:ascii="Times New Roman;serif" w:hAnsi="Times New Roman;serif"/>
                  <w:b w:val="false"/>
                  <w:color w:val="000080"/>
                  <w:sz w:val="18"/>
                  <w:u w:val="single"/>
                </w:rPr>
                <w:t>1</w:t>
              </w:r>
            </w:hyperlink>
            <w:hyperlink w:anchor="ex103-wdcxnonxemployeedire.htm">
              <w:r>
                <w:rPr>
                  <w:rStyle w:val="InternetLink"/>
                  <w:rFonts w:ascii="Times New Roman;serif" w:hAnsi="Times New Roman;serif"/>
                  <w:b w:val="false"/>
                  <w:color w:val="000080"/>
                  <w:sz w:val="18"/>
                  <w:u w:val="single"/>
                </w:rPr>
                <w:t>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Non-Employee Director Restricted Stock Unit Grant Program, amended and restated as of August 26, 2026†**</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4-wdcespparaugust2026p.htm">
              <w:r>
                <w:rPr>
                  <w:rStyle w:val="InternetLink"/>
                  <w:rFonts w:ascii="Times New Roman;serif" w:hAnsi="Times New Roman;serif"/>
                  <w:b w:val="false"/>
                  <w:color w:val="000080"/>
                  <w:sz w:val="18"/>
                  <w:u w:val="single"/>
                </w:rPr>
                <w:t>1</w:t>
              </w:r>
            </w:hyperlink>
            <w:hyperlink w:anchor="ex104-wdcespparaugust2026p.htm">
              <w:r>
                <w:rPr>
                  <w:rStyle w:val="InternetLink"/>
                  <w:rFonts w:ascii="Times New Roman;serif" w:hAnsi="Times New Roman;serif"/>
                  <w:b w:val="false"/>
                  <w:color w:val="000080"/>
                  <w:sz w:val="18"/>
                  <w:u w:val="single"/>
                </w:rPr>
                <w:t>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2005 Employee Stock Purchase Plan, amended and restated as of August 26, 2026†**</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awdc-2027q1ex311.htm">
              <w:r>
                <w:rPr>
                  <w:rStyle w:val="InternetLink"/>
                  <w:rFonts w:ascii="Times New Roman;serif" w:hAnsi="Times New Roman;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Section 302 of the Sarbanes-Oxley Act of 2002†</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bwdc-2027q1ex312.htm">
              <w:r>
                <w:rPr>
                  <w:rStyle w:val="InternetLink"/>
                  <w:rFonts w:ascii="Times New Roman;serif" w:hAnsi="Times New Roman;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Section 302 of the Sarbanes-Oxley Act of 2002†</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cwdc-2027q1ex321.htm">
              <w:r>
                <w:rPr>
                  <w:rStyle w:val="InternetLink"/>
                  <w:rFonts w:ascii="Times New Roman;serif" w:hAnsi="Times New Roman;serif"/>
                  <w:b w:val="false"/>
                  <w:color w:val="0000FF"/>
                  <w:sz w:val="18"/>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Executive Officer Pursuant to 18 U.S.C. Section 1350, as adopted pursuant to Section 906 of the Sarbanes-Oxley Act of 2002*</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dwdc-2027q1ex322.htm">
              <w:r>
                <w:rPr>
                  <w:rStyle w:val="InternetLink"/>
                  <w:rFonts w:ascii="Times New Roman;serif" w:hAnsi="Times New Roman;serif"/>
                  <w:b w:val="false"/>
                  <w:color w:val="0000FF"/>
                  <w:sz w:val="18"/>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Financial Officer Pursuant to 18 U.S.C. Section 1350, as adopted pursuant to Section 906 of the Sarbanes-Oxley Act of 2002*</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in Inline XBRL and contained in Exhibit 101</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Filed with this report.</w:t>
      </w:r>
    </w:p>
    <w:p>
      <w:pPr>
        <w:pStyle w:val="TextBody"/>
        <w:bidi w:val="0"/>
        <w:spacing w:lineRule="auto" w:line="288" w:before="0" w:after="0"/>
        <w:jc w:val="left"/>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Furnished with this report.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Management contract or compensatory plan or arrangement required to be filed as an exhibit pursuant to applicable rules of the Securities and Exchange Commission.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e841478b4614f8d88a07d1969a7e8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Quarterly Report on Form 10-Q to be signed on its behalf by the undersigned thereunto duly authorized.</w:t>
      </w:r>
    </w:p>
    <w:tbl>
      <w:tblPr>
        <w:tblW w:w="6224" w:type="dxa"/>
        <w:jc w:val="left"/>
        <w:tblInd w:w="0" w:type="dxa"/>
        <w:tblLayout w:type="fixed"/>
        <w:tblCellMar>
          <w:top w:w="28" w:type="dxa"/>
          <w:left w:w="28" w:type="dxa"/>
          <w:bottom w:w="28" w:type="dxa"/>
          <w:right w:w="28" w:type="dxa"/>
        </w:tblCellMar>
      </w:tblPr>
      <w:tblGrid>
        <w:gridCol w:w="124"/>
        <w:gridCol w:w="109"/>
        <w:gridCol w:w="109"/>
        <w:gridCol w:w="486"/>
        <w:gridCol w:w="486"/>
        <w:gridCol w:w="486"/>
        <w:gridCol w:w="1295"/>
        <w:gridCol w:w="1295"/>
        <w:gridCol w:w="1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Brad Feller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Brad Feller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 and Duly Authorized Officer)</w:t>
            </w:r>
          </w:p>
        </w:tc>
      </w:tr>
    </w:tbl>
    <w:p>
      <w:pPr>
        <w:pStyle w:val="TextBody"/>
        <w:bidi w:val="0"/>
        <w:spacing w:lineRule="auto" w:line="288"/>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2021 LONG-TERM INCENTIVE PLAN</w:t>
      </w:r>
    </w:p>
    <w:p>
      <w:pPr>
        <w:pStyle w:val="TextBody"/>
        <w:bidi w:val="0"/>
        <w:spacing w:lineRule="auto" w:line="288" w:before="144" w:after="283"/>
        <w:jc w:val="center"/>
        <w:rPr>
          <w:rFonts w:ascii="Times New Roman;serif" w:hAnsi="Times New Roman;serif"/>
          <w:b/>
          <w:color w:val="000000"/>
          <w:sz w:val="20"/>
        </w:rPr>
      </w:pPr>
      <w:r>
        <w:rPr>
          <w:rFonts w:ascii="Times New Roman;serif" w:hAnsi="Times New Roman;serif"/>
          <w:b/>
          <w:color w:val="000000"/>
          <w:sz w:val="20"/>
        </w:rPr>
        <w:t>GRANT NOTICE FOR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STOCK UNIT AWARD</w:t>
      </w:r>
    </w:p>
    <w:p>
      <w:pPr>
        <w:pStyle w:val="TextBody"/>
        <w:bidi w:val="0"/>
        <w:spacing w:lineRule="auto" w:line="288" w:before="144" w:after="144"/>
        <w:jc w:val="both"/>
        <w:rPr/>
      </w:pPr>
      <w:r>
        <w:rPr>
          <w:rFonts w:ascii="Times New Roman;serif" w:hAnsi="Times New Roman;serif"/>
          <w:b w:val="false"/>
          <w:color w:val="000000"/>
          <w:sz w:val="20"/>
        </w:rPr>
        <w:t>FOR GOOD AND VALUABLE CONSIDERATION, Western Digital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grants to the Participant named below the number of Performance Stock Units (the “</w:t>
      </w:r>
      <w:r>
        <w:rPr>
          <w:rFonts w:ascii="Times New Roman;serif" w:hAnsi="Times New Roman;serif"/>
          <w:b/>
          <w:i/>
          <w:color w:val="000000"/>
          <w:sz w:val="20"/>
        </w:rPr>
        <w:t>PSUs</w:t>
      </w:r>
      <w:r>
        <w:rPr>
          <w:color w:val="000000"/>
        </w:rPr>
        <w:t>”</w:t>
      </w:r>
      <w:r>
        <w:rPr>
          <w:rFonts w:ascii="Times New Roman;serif" w:hAnsi="Times New Roman;serif"/>
          <w:b w:val="false"/>
          <w:color w:val="000000"/>
          <w:sz w:val="20"/>
        </w:rPr>
        <w:t>) listed below (this “</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under the Western Digital Corporation 2021 Long-Term Incentive Plan (as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Each PSU represents the right to receive one share of Common Stock, subject to the terms and conditions in this Grant Notice, the Plan and the Standard Terms and Conditions (the “</w:t>
      </w:r>
      <w:r>
        <w:rPr>
          <w:rFonts w:ascii="Times New Roman;serif" w:hAnsi="Times New Roman;serif"/>
          <w:b/>
          <w:i/>
          <w:color w:val="000000"/>
          <w:sz w:val="20"/>
        </w:rPr>
        <w:t>Standard Terms and Conditions</w:t>
      </w:r>
      <w:r>
        <w:rPr>
          <w:color w:val="000000"/>
        </w:rPr>
        <w:t>”</w:t>
      </w:r>
      <w:r>
        <w:rPr>
          <w:rFonts w:ascii="Times New Roman;serif" w:hAnsi="Times New Roman;serif"/>
          <w:b w:val="false"/>
          <w:color w:val="000000"/>
          <w:sz w:val="20"/>
        </w:rPr>
        <w:t xml:space="preserve">) of such Plan, attached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hereto. Capitalized terms not otherwise defined here shall have the meaning set forth in the Plan.</w:t>
      </w:r>
    </w:p>
    <w:tbl>
      <w:tblPr>
        <w:tblW w:w="10205" w:type="dxa"/>
        <w:jc w:val="left"/>
        <w:tblInd w:w="0" w:type="dxa"/>
        <w:tblLayout w:type="fixed"/>
        <w:tblCellMar>
          <w:top w:w="28" w:type="dxa"/>
          <w:left w:w="28" w:type="dxa"/>
          <w:bottom w:w="28" w:type="dxa"/>
          <w:right w:w="28" w:type="dxa"/>
        </w:tblCellMar>
      </w:tblPr>
      <w:tblGrid>
        <w:gridCol w:w="729"/>
        <w:gridCol w:w="491"/>
        <w:gridCol w:w="494"/>
        <w:gridCol w:w="2530"/>
        <w:gridCol w:w="2469"/>
        <w:gridCol w:w="3492"/>
      </w:tblGrid>
      <w:tr>
        <w:trPr/>
        <w:tc>
          <w:tcPr>
            <w:tcW w:w="7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Name of Participant:</w:t>
            </w:r>
          </w:p>
        </w:tc>
        <w:tc>
          <w:tcPr>
            <w:tcW w:w="84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Employee ID</w:t>
            </w:r>
          </w:p>
        </w:tc>
        <w:tc>
          <w:tcPr>
            <w:tcW w:w="84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84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Grant Number</w:t>
            </w:r>
          </w:p>
        </w:tc>
        <w:tc>
          <w:tcPr>
            <w:tcW w:w="84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Target Number of PSUs:</w:t>
            </w:r>
          </w:p>
        </w:tc>
        <w:tc>
          <w:tcPr>
            <w:tcW w:w="84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Vesting Schedule:</w:t>
            </w:r>
          </w:p>
        </w:tc>
        <w:tc>
          <w:tcPr>
            <w:tcW w:w="84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0" w:before="120" w:after="120"/>
              <w:jc w:val="both"/>
              <w:rPr/>
            </w:pPr>
            <w:r>
              <w:rPr>
                <w:rFonts w:ascii="Times New Roman;serif" w:hAnsi="Times New Roman;serif"/>
                <w:b w:val="false"/>
                <w:color w:val="000000"/>
                <w:sz w:val="20"/>
              </w:rPr>
              <w:t>The vesting date of the PSUs is [ ] (the “</w:t>
            </w:r>
            <w:r>
              <w:rPr>
                <w:rFonts w:ascii="Times New Roman;serif" w:hAnsi="Times New Roman;serif"/>
                <w:b/>
                <w:i/>
                <w:color w:val="000000"/>
                <w:sz w:val="20"/>
              </w:rPr>
              <w:t>Vesting Date</w:t>
            </w:r>
            <w:r>
              <w:rPr>
                <w:color w:val="000000"/>
              </w:rPr>
              <w:t>”</w:t>
            </w:r>
            <w:r>
              <w:rPr>
                <w:rFonts w:ascii="Times New Roman;serif" w:hAnsi="Times New Roman;serif"/>
                <w:b w:val="false"/>
                <w:color w:val="000000"/>
                <w:sz w:val="20"/>
              </w:rPr>
              <w:t xml:space="preserve">). Vesting shall be subject to Participant’s Continuous Service from the Grant Date through the Vesting Date, unless provided otherwise under Section 2 of the Standard Terms and Conditions. </w:t>
            </w:r>
          </w:p>
        </w:tc>
      </w:tr>
      <w:tr>
        <w:trPr/>
        <w:tc>
          <w:tcPr>
            <w:tcW w:w="17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Performance Period and Measurement Periods:</w:t>
            </w:r>
          </w:p>
        </w:tc>
        <w:tc>
          <w:tcPr>
            <w:tcW w:w="849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PSUs shall be eligible to vest based on performance during the three-year Performance Period, which spans the First, Second and Third Measurement Periods (the “Annual Measurement Periods”). The Performance Period begins on the first day of the First Measurement Period and ends on the last day of the Third Measurement Period.</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First Measurement Period begins [ ] and ends [ ]. </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Second Measurement Period begins [ ] and ends [ ].</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Third Measurement Period begins [ ] and ends [ ].</w:t>
            </w:r>
          </w:p>
          <w:p>
            <w:pPr>
              <w:pStyle w:val="TableContents"/>
              <w:bidi w:val="0"/>
              <w:spacing w:lineRule="atLeast" w:line="240" w:before="120" w:after="120"/>
              <w:jc w:val="both"/>
              <w:rPr/>
            </w:pPr>
            <w:r>
              <w:rPr>
                <w:rFonts w:ascii="Times New Roman;serif" w:hAnsi="Times New Roman;serif"/>
                <w:b w:val="false"/>
                <w:color w:val="000000"/>
                <w:sz w:val="20"/>
              </w:rPr>
              <w:t xml:space="preserve">The actual number of PSUs that may become eligible to vest on the Vesting Date is based on the achievement of financial metrics over each Annual Measurement Period and may range from [0%] to [200%] of the Target Number of PSUs, subject to forfeiture as provided in the Standard Terms and Conditions, and further subject to adjustment based upon a Relative TSR Modifier measured over the Performance Period, all as determined in accordance with </w:t>
            </w:r>
            <w:r>
              <w:rPr>
                <w:rFonts w:ascii="Times New Roman;serif" w:hAnsi="Times New Roman;serif"/>
                <w:b w:val="false"/>
                <w:color w:val="000000"/>
                <w:sz w:val="20"/>
                <w:u w:val="single"/>
              </w:rPr>
              <w:t>Exhibit B</w:t>
            </w:r>
            <w:r>
              <w:rPr>
                <w:rFonts w:ascii="Times New Roman;serif" w:hAnsi="Times New Roman;serif"/>
                <w:b w:val="false"/>
                <w:color w:val="000000"/>
                <w:sz w:val="20"/>
              </w:rPr>
              <w:t xml:space="preserve">, but not to exceed [220%]. </w:t>
            </w:r>
          </w:p>
        </w:tc>
      </w:tr>
    </w:tbl>
    <w:p>
      <w:pPr>
        <w:pStyle w:val="TextBody"/>
        <w:bidi w:val="0"/>
        <w:spacing w:lineRule="auto" w:line="288" w:before="144" w:after="283"/>
        <w:jc w:val="both"/>
        <w:rPr>
          <w:rFonts w:ascii="Times New Roman;serif" w:hAnsi="Times New Roman;serif"/>
          <w:b/>
          <w:color w:val="000000"/>
          <w:sz w:val="20"/>
        </w:rPr>
      </w:pPr>
      <w:r>
        <w:rPr>
          <w:rFonts w:ascii="Times New Roman;serif" w:hAnsi="Times New Roman;serif"/>
          <w:b/>
          <w:color w:val="000000"/>
          <w:sz w:val="20"/>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 Stock Unit Award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 Stock Unit Award</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br/>
        <w:t>2021 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STANDARD TERMS AND CONDITIONS FOR</w:t>
        <w:br/>
        <w:t>PERFORMANCE STOCK UNITS</w:t>
      </w:r>
    </w:p>
    <w:p>
      <w:pPr>
        <w:pStyle w:val="TextBody"/>
        <w:bidi w:val="0"/>
        <w:spacing w:lineRule="auto" w:line="288" w:before="144" w:after="283"/>
        <w:jc w:val="both"/>
        <w:rPr/>
      </w:pPr>
      <w:r>
        <w:rPr>
          <w:rFonts w:ascii="Times New Roman;serif" w:hAnsi="Times New Roman;serif"/>
          <w:b w:val="false"/>
          <w:color w:val="000000"/>
          <w:sz w:val="20"/>
        </w:rPr>
        <w:t>These Standard Terms and Conditions apply to this Award of Performance Stock Units granted under the Western Digital Corporation 2021 Long-Term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The Performance Stock Units are also subject to the terms of the Plan and the attached Grant Notice, which are incorporated here by this reference. Capitalized terms not otherwise defined here shall have the meaning set forth in the Plan.</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1.TERMS OF PERFORMANCE STOCK UNITS</w:t>
      </w:r>
    </w:p>
    <w:p>
      <w:pPr>
        <w:pStyle w:val="TextBody"/>
        <w:bidi w:val="0"/>
        <w:spacing w:lineRule="auto" w:line="288" w:before="144" w:after="283"/>
        <w:jc w:val="both"/>
        <w:rPr/>
      </w:pPr>
      <w:r>
        <w:rPr>
          <w:rFonts w:ascii="Times New Roman;serif" w:hAnsi="Times New Roman;serif"/>
          <w:b w:val="false"/>
          <w:color w:val="000000"/>
          <w:sz w:val="20"/>
        </w:rPr>
        <w:t>Western Digital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to the Participant named in the attached Grant Notice an award of Performance Stock Units (this “</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PSUs</w:t>
      </w:r>
      <w:r>
        <w:rPr>
          <w:color w:val="000000"/>
        </w:rPr>
        <w:t>”</w:t>
      </w:r>
      <w:r>
        <w:rPr>
          <w:rFonts w:ascii="Times New Roman;serif" w:hAnsi="Times New Roman;serif"/>
          <w:b w:val="false"/>
          <w:color w:val="000000"/>
          <w:sz w:val="20"/>
        </w:rPr>
        <w:t>) described in the Grant Notice, with each PSU representing the right to receive one share of Common Stock. For purposes of these Standard Terms and Conditions and the Grant Notice, any reference to the Company shall include a reference to any Subsidiary.</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2.VESTING AND SETTLEMENT OF PERFORMANCE STOCK UNITS</w:t>
      </w:r>
    </w:p>
    <w:p>
      <w:pPr>
        <w:pStyle w:val="TextBody"/>
        <w:bidi w:val="0"/>
        <w:spacing w:lineRule="auto" w:line="288" w:before="144"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Times New Roman;serif" w:hAnsi="Times New Roman;serif"/>
          <w:b/>
          <w:i/>
          <w:color w:val="000000"/>
          <w:sz w:val="20"/>
        </w:rPr>
        <w:t>Vested PSUs.</w:t>
      </w:r>
      <w:r>
        <w:rPr>
          <w:color w:val="000000"/>
        </w:rPr>
        <w:t xml:space="preserve">” </w:t>
      </w:r>
      <w:r>
        <w:rPr>
          <w:rFonts w:ascii="Times New Roman;serif" w:hAnsi="Times New Roman;serif"/>
          <w:b w:val="false"/>
          <w:color w:val="000000"/>
          <w:sz w:val="20"/>
        </w:rPr>
        <w:t>PSUs that are not vested and remain subject to forfeiture are referred to as “</w:t>
      </w:r>
      <w:r>
        <w:rPr>
          <w:rFonts w:ascii="Times New Roman;serif" w:hAnsi="Times New Roman;serif"/>
          <w:b/>
          <w:i/>
          <w:color w:val="000000"/>
          <w:sz w:val="20"/>
        </w:rPr>
        <w:t>Unvested PSUs.</w:t>
      </w:r>
      <w:r>
        <w:rPr>
          <w:color w:val="000000"/>
        </w:rPr>
        <w:t xml:space="preserve">” </w:t>
      </w:r>
      <w:r>
        <w:rPr>
          <w:rFonts w:ascii="Times New Roman;serif" w:hAnsi="Times New Roman;serif"/>
          <w:b w:val="false"/>
          <w:color w:val="000000"/>
          <w:sz w:val="20"/>
        </w:rPr>
        <w:t xml:space="preserve">No portion of this Award, nor the shares of Common Stock subject to this Award, may be deferred under the Western Digital Corporation Deferred Compensation Plan (or any applicable successor plan) or any other deferred compensation arrangement of the Company. </w:t>
      </w:r>
    </w:p>
    <w:p>
      <w:pPr>
        <w:pStyle w:val="TextBody"/>
        <w:bidi w:val="0"/>
        <w:spacing w:lineRule="auto" w:line="288" w:before="144" w:after="283"/>
        <w:jc w:val="both"/>
        <w:rPr/>
      </w:pPr>
      <w:r>
        <w:rPr>
          <w:rFonts w:ascii="Times New Roman;serif" w:hAnsi="Times New Roman;serif"/>
          <w:b w:val="false"/>
          <w:color w:val="000000"/>
          <w:sz w:val="20"/>
        </w:rPr>
        <w:t>Following the end of each Annual Measurement Period, the Administrator shall determine the extent to which the applicable performance goals have been achieved with respect to such Measurement Period. Following the end of the Performance Period, the Administrator shall determine the number of whole or fractional PSUs eligible to vest based on the average achievement of performance goals for each Annual Measurement Period over the Performance Period. Any PSUs (including any related credited dividend equivalents) that do not become eligible to vest shall terminate as of the end of the Performance Period. The PSUs that become eligible to vest based on performance during the Performance Period shall vest on the Vesting Date set forth in the Grant Notice, subject to Continuous Service through such date, except as expressly provided in Section 2(b), 2(c) or 2(d) below. The Company shall deliver to the Participant on the Settlement Date a number of whole or fractional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w:t>
      </w:r>
      <w:r>
        <w:rPr>
          <w:rFonts w:ascii="Times New Roman;serif" w:hAnsi="Times New Roman;serif"/>
          <w:b/>
          <w:i/>
          <w:color w:val="000000"/>
          <w:sz w:val="20"/>
        </w:rPr>
        <w:t>Settlement Date</w:t>
      </w:r>
      <w:r>
        <w:rPr>
          <w:color w:val="000000"/>
        </w:rPr>
        <w:t xml:space="preserve">” </w:t>
      </w:r>
      <w:r>
        <w:rPr>
          <w:rFonts w:ascii="Times New Roman;serif" w:hAnsi="Times New Roman;serif"/>
          <w:b w:val="false"/>
          <w:color w:val="000000"/>
          <w:sz w:val="20"/>
        </w:rPr>
        <w:t>means: as soon as practicable following the vesting of the PSUs on the Vesting Date but in no event later than December 31 of the calendar year in which the Vesting Date occurs.</w:t>
      </w:r>
    </w:p>
    <w:p>
      <w:pPr>
        <w:pStyle w:val="TextBody"/>
        <w:bidi w:val="0"/>
        <w:spacing w:lineRule="auto" w:line="288" w:before="144" w:after="283"/>
        <w:ind w:left="0" w:right="0" w:firstLine="720"/>
        <w:jc w:val="both"/>
        <w:rPr/>
      </w:pPr>
      <w:r>
        <w:rPr>
          <w:rFonts w:ascii="Times New Roman;serif" w:hAnsi="Times New Roman;serif"/>
          <w:b w:val="false"/>
          <w:color w:val="000000"/>
          <w:sz w:val="20"/>
        </w:rPr>
        <w:t>(b)</w:t>
      </w:r>
      <w:r>
        <w:rPr>
          <w:rFonts w:ascii="Times New Roman;serif" w:hAnsi="Times New Roman;serif"/>
          <w:b w:val="false"/>
          <w:i/>
          <w:color w:val="000000"/>
          <w:sz w:val="20"/>
        </w:rPr>
        <w:t>Termination without Cause under the Executive Severance Plan</w:t>
      </w:r>
      <w:r>
        <w:rPr>
          <w:rFonts w:ascii="Times New Roman;serif" w:hAnsi="Times New Roman;serif"/>
          <w:b w:val="false"/>
          <w:color w:val="000000"/>
          <w:sz w:val="20"/>
        </w:rPr>
        <w:t>. For a Participant who is subject to the terms of the Western Digital Corporation Amended and Restated Executive Severance Plan, as applicable (or any applicable successor plan) (the “</w:t>
      </w:r>
      <w:r>
        <w:rPr>
          <w:rFonts w:ascii="Times New Roman;serif" w:hAnsi="Times New Roman;serif"/>
          <w:b/>
          <w:i/>
          <w:color w:val="000000"/>
          <w:sz w:val="20"/>
        </w:rPr>
        <w:t>Executive Severance Plan</w:t>
      </w:r>
      <w:r>
        <w:rPr>
          <w:color w:val="000000"/>
        </w:rPr>
        <w:t>”</w:t>
      </w:r>
      <w:r>
        <w:rPr>
          <w:rFonts w:ascii="Times New Roman;serif" w:hAnsi="Times New Roman;serif"/>
          <w:b w:val="false"/>
          <w:color w:val="000000"/>
          <w:sz w:val="20"/>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pStyle w:val="TextBody"/>
        <w:bidi w:val="0"/>
        <w:spacing w:before="240" w:after="283"/>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Standard Terms and Conditions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Standard Terms and Conditions</w:t>
                      </w:r>
                    </w:p>
                  </w:txbxContent>
                </v:textbox>
                <w10:wrap type="none"/>
              </v:rect>
            </w:pict>
          </mc:Fallback>
        </mc:AlternateContent>
      </w:r>
    </w:p>
    <w:p>
      <w:pPr>
        <w:pStyle w:val="TextBody"/>
        <w:bidi w:val="0"/>
        <w:spacing w:lineRule="auto" w:line="288" w:before="144" w:after="283"/>
        <w:jc w:val="both"/>
        <w:rPr>
          <w:rFonts w:ascii="Times New Roman;serif" w:hAnsi="Times New Roman;serif"/>
          <w:b w:val="false"/>
          <w:color w:val="000000"/>
          <w:sz w:val="20"/>
        </w:rPr>
      </w:pPr>
      <w:r>
        <w:rPr>
          <w:rFonts w:ascii="Times New Roman;serif" w:hAnsi="Times New Roman;serif"/>
          <w:b w:val="false"/>
          <w:color w:val="000000"/>
          <w:sz w:val="20"/>
        </w:rPr>
        <w:t>(i)    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(ii)    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Relative TSR Modifier.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Unvested PSUs that do not vest as described above shall be forfeited as of the date of the Participant’s termination of Continuous Service.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(c)</w:t>
      </w:r>
      <w:r>
        <w:rPr>
          <w:rFonts w:ascii="Times New Roman;serif" w:hAnsi="Times New Roman;serif"/>
          <w:b w:val="false"/>
          <w:i/>
          <w:color w:val="000000"/>
          <w:sz w:val="20"/>
        </w:rPr>
        <w:t>Termination without Cause or for Good Reason under the Change in Control Severance Plan</w:t>
      </w:r>
      <w:r>
        <w:rPr>
          <w:rFonts w:ascii="Times New Roman;serif" w:hAnsi="Times New Roman;serif"/>
          <w:b w:val="false"/>
          <w:color w:val="000000"/>
          <w:sz w:val="20"/>
        </w:rPr>
        <w:t>. For a Participant who is subject to the terms of the Western Digital Corporation Amended and Restated Change in Control Severance Plan, as applicable (or any applicable successor plan) (the “</w:t>
      </w:r>
      <w:r>
        <w:rPr>
          <w:rFonts w:ascii="Times New Roman;serif" w:hAnsi="Times New Roman;serif"/>
          <w:b/>
          <w:i/>
          <w:color w:val="000000"/>
          <w:sz w:val="20"/>
        </w:rPr>
        <w:t>CIC Severance Plan</w:t>
      </w:r>
      <w:r>
        <w:rPr>
          <w:color w:val="000000"/>
        </w:rPr>
        <w:t>”</w:t>
      </w:r>
      <w:r>
        <w:rPr>
          <w:rFonts w:ascii="Times New Roman;serif" w:hAnsi="Times New Roman;serif"/>
          <w:b w:val="false"/>
          <w:color w:val="000000"/>
          <w:sz w:val="20"/>
        </w:rPr>
        <w:t>) at the time of termination of Continuous Service, then upon Participant’s termination of employment by the Company without Cause or due 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(i)If the Performance Period has not ended as of the date of termination of Continuous Service, the number of shares of Common Stock that will vest shall be equal to the greater of (x) the target number of PSUs or (y) the number of shares of Common Stock subject to the PSUs that would vest based on the treatment set forth in the definitive agreement providing for the Change in Control.</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(ii)If the Performance Period has ended as of the date of termination of Continuous Service, the PSUs will remain outstanding and will vest, if at all, based on the actual achievement of the applicable performance goals over the Performance Period, including the Relative TSR Modifier.</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i/>
          <w:color w:val="000000"/>
          <w:sz w:val="20"/>
        </w:rPr>
        <w:t>Termination due to Death; Termination due to a Qualifying Retirement</w:t>
      </w:r>
      <w:r>
        <w:rPr>
          <w:rFonts w:ascii="Times New Roman;serif" w:hAnsi="Times New Roman;serif"/>
          <w:b w:val="false"/>
          <w:color w:val="000000"/>
          <w:sz w:val="20"/>
        </w:rPr>
        <w:t>. (1) Upon Participant’s termination of Continuous Service due to death, or (2) upon Participant’s termination of employment due to a Qualifying Retirement (as defined below), the PSUs will be payable in accordance with the Vesting Schedule set forth in the Grant Notice above, with no acceleration, and vest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(ii)    If the Performance Period has ended as of the date of termination of Continuous Service, the PSUs (and any credited dividend equivalents) will remain outstanding and will vest, if at all, based on the actual </w:t>
      </w:r>
    </w:p>
    <w:p>
      <w:pPr>
        <w:pStyle w:val="TextBody"/>
        <w:bidi w:val="0"/>
        <w:spacing w:before="240" w:after="283"/>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achievement of the applicable performance goal(s) with respect to the Annual Measurement Periods over the Performance Period, including the Relative TSR Modifier.</w:t>
      </w:r>
    </w:p>
    <w:p>
      <w:pPr>
        <w:pStyle w:val="TextBody"/>
        <w:bidi w:val="0"/>
        <w:spacing w:lineRule="auto" w:line="288" w:before="240" w:after="283"/>
        <w:jc w:val="both"/>
        <w:rPr/>
      </w:pPr>
      <w:r>
        <w:rPr>
          <w:color w:val="000000"/>
        </w:rPr>
        <w:t>“</w:t>
      </w:r>
      <w:r>
        <w:rPr>
          <w:rFonts w:ascii="Times New Roman;serif" w:hAnsi="Times New Roman;serif"/>
          <w:b/>
          <w:i/>
          <w:color w:val="000000"/>
          <w:sz w:val="20"/>
        </w:rPr>
        <w:t>Qualifying Retirement</w:t>
      </w:r>
      <w:r>
        <w:rPr>
          <w:color w:val="000000"/>
        </w:rPr>
        <w:t xml:space="preserve">” </w:t>
      </w:r>
      <w:r>
        <w:rPr>
          <w:rFonts w:ascii="Times New Roman;serif" w:hAnsi="Times New Roman;serif"/>
          <w:b w:val="false"/>
          <w:color w:val="000000"/>
          <w:sz w:val="20"/>
        </w:rPr>
        <w:t xml:space="preserve">means the termination of the Participant’s employment with the Company and its Subsidiaries due to his or her retirement from 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 than as an employee. Such continued vesting is subject to the Participant’s Continuous Services through the Vesting Date.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(e)</w:t>
      </w:r>
      <w:r>
        <w:rPr>
          <w:rFonts w:ascii="Times New Roman;serif" w:hAnsi="Times New Roman;serif"/>
          <w:b w:val="false"/>
          <w:i/>
          <w:color w:val="000000"/>
          <w:sz w:val="20"/>
        </w:rPr>
        <w:t>Resignation</w:t>
      </w:r>
      <w:r>
        <w:rPr>
          <w:rFonts w:ascii="Times New Roman;serif" w:hAnsi="Times New Roman;serif"/>
          <w:b w:val="false"/>
          <w:color w:val="000000"/>
          <w:sz w:val="20"/>
        </w:rPr>
        <w:t>. Upon Participant’s termination of Continuous Service by the Company due to a resignation by Participant for any reason, other 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Upon Participant’s termination of Continuous Service by the Company for Cause, the entire Award held by the Participant shall be forfeited as of the date of the Participant’s termination of Continuous Service.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(g)</w:t>
      </w:r>
      <w:r>
        <w:rPr>
          <w:rFonts w:ascii="Times New Roman;serif" w:hAnsi="Times New Roman;serif"/>
          <w:b w:val="false"/>
          <w:i/>
          <w:color w:val="000000"/>
          <w:sz w:val="20"/>
        </w:rPr>
        <w:t>Non-U.S. Eligible Employees Participating in the Executive Severance Plan and Change in Control Severance Plan</w:t>
      </w:r>
      <w:r>
        <w:rPr>
          <w:rFonts w:ascii="Times New Roman;serif" w:hAnsi="Times New Roman;serif"/>
          <w:b w:val="false"/>
          <w:color w:val="000000"/>
          <w:sz w:val="20"/>
        </w:rPr>
        <w:t>. For avoidance of doubt, if Participant is not a U.S. Eligible Employee (as defined in the applicable severance plan), the Participant will only be eligible for the vesting treatment on a termination without Cause as described in Section 2(b) or termination without Cause or resignation for Good Reason as described in Section 2(c)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2(b) or termination without Cause or resignation for Good Reason as described in Section 2(c). For the avoidance of doubt, a Participant who is retirement-eligible and receives Local Severance Benefits shall also receive the vesting treatment described in Section 2(d) as though the Participant had experienced a Qualifying Retirement.</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3.RIGHTS AS STOCKHOLDER; DIVIDEND EQUIVALENTS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Participant shall not be, nor have any of the rights or privileges of, a stockholder of the Company in respect of any PSUs unless and until shares of Common Stock settled for such PSUs shall have been issued by the Company to Participant.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w:t>
      </w:r>
    </w:p>
    <w:p>
      <w:pPr>
        <w:pStyle w:val="TextBody"/>
        <w:bidi w:val="0"/>
        <w:spacing w:before="240" w:after="283"/>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same terms and conditions and shall be settled or forfeited in the same manner and at the same time as the PSUs to which the dividend equivalents were credited. Dividend equivalents may be settled in whole or fractional shares of Common Stock, in the sole discretion of the Administrator (with any fractional PSUs that are not settled in shares of Common Stock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4.RESTRICTIONS ON RESALES OF SHARES</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5.INCOME TAXES</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Participant may satisfy tax withholding obligations relating to the PSUs by any combination of the following: (i) a cash payment; (ii) a Company 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 </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6.NON-TRANSFERABILITY OF AWARD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7.OTHER AGREEMENTS SUPERSEDED</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The Grant Notice, these Standard Terms and Conditions and the Plan constitute the entire understanding between the Participant and the Company regarding this Award. Any prior agreements, commitments or negotiations concerning this Award are superseded.</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8.NO ADDITIONAL RIGHTS</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Participant’s receipt of the PSUs does not confer upon the Participant any right to continue to serve the Company or an Affiliate in any capacity and will not affect the right of the Company or an Affiliate to terminate the service of the Participant. </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9.GENERAL</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w:t>
      </w:r>
    </w:p>
    <w:p>
      <w:pPr>
        <w:pStyle w:val="TextBody"/>
        <w:bidi w:val="0"/>
        <w:spacing w:before="240" w:after="283"/>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order striking any portion of this Award Document and/or the Plan should modify the stricken terms as narrowly as possible to give as much effect as possible to the intentions of the parties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These Standard Terms and Conditions shall inure to the benefit of and be binding upon the parties and their respective permitted heirs, beneficiaries, successors and assigns.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These Standard Terms and Conditions shall be interpreted in accordance with and governed by the laws of the State of Delaware, without regard to principles of conflicts of law.</w:t>
      </w:r>
    </w:p>
    <w:p>
      <w:pPr>
        <w:pStyle w:val="TextBody"/>
        <w:bidi w:val="0"/>
        <w:spacing w:lineRule="auto" w:line="288" w:before="240" w:after="283"/>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pStyle w:val="TextBody"/>
        <w:bidi w:val="0"/>
        <w:spacing w:lineRule="auto" w:line="288" w:before="240" w:after="283"/>
        <w:ind w:left="0" w:right="0" w:firstLine="720"/>
        <w:jc w:val="both"/>
        <w:rPr/>
      </w:pPr>
      <w:r>
        <w:rPr>
          <w:rFonts w:ascii="Times New Roman;serif" w:hAnsi="Times New Roman;serif"/>
          <w:b w:val="false"/>
          <w:color w:val="000000"/>
          <w:sz w:val="20"/>
        </w:rPr>
        <w:t>(g)</w:t>
      </w:r>
      <w:r>
        <w:rPr>
          <w:rFonts w:ascii="Times New Roman;serif" w:hAnsi="Times New Roman;serif"/>
          <w:b w:val="false"/>
          <w:color w:val="000000"/>
          <w:sz w:val="20"/>
        </w:rPr>
        <w:t>All questions under the Plan or under these Standard Terms and Conditions shall be decided by the Administrator in its total and absolute discretion.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(h)</w:t>
      </w:r>
      <w:r>
        <w:rPr>
          <w:rFonts w:ascii="Times New Roman;serif" w:hAnsi="Times New Roman;serif"/>
          <w:b w:val="false"/>
          <w:color w:val="000000"/>
          <w:sz w:val="20"/>
        </w:rPr>
        <w:t xml:space="preserve">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 </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10.ELECTRONIC DELIVERY</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11.ARBITRATION </w:t>
      </w:r>
    </w:p>
    <w:p>
      <w:pPr>
        <w:pStyle w:val="TextBody"/>
        <w:bidi w:val="0"/>
        <w:spacing w:lineRule="auto" w:line="288" w:before="144" w:after="240"/>
        <w:jc w:val="both"/>
        <w:rPr/>
      </w:pPr>
      <w:r>
        <w:rPr>
          <w:rFonts w:ascii="Times New Roman;serif" w:hAnsi="Times New Roman;serif"/>
          <w:b w:val="false"/>
          <w:color w:val="000000"/>
          <w:sz w:val="20"/>
        </w:rPr>
        <w:t>Any controversy arising out of or relating to the Grant Notice, these Standard Terms and Conditions, and/or the Plan (“</w:t>
      </w:r>
      <w:r>
        <w:rPr>
          <w:rFonts w:ascii="Times New Roman;serif" w:hAnsi="Times New Roman;serif"/>
          <w:b/>
          <w:i/>
          <w:color w:val="000000"/>
          <w:sz w:val="20"/>
        </w:rPr>
        <w:t>Covered Claims</w:t>
      </w:r>
      <w:r>
        <w:rPr>
          <w:color w:val="000000"/>
        </w:rPr>
        <w:t>”</w:t>
      </w:r>
      <w:r>
        <w:rPr>
          <w:rFonts w:ascii="Times New Roman;serif" w:hAnsi="Times New Roman;serif"/>
          <w:b w:val="false"/>
          <w:color w:val="000000"/>
          <w:sz w:val="20"/>
        </w:rPr>
        <w:t>), shall be resolved in accordance with the terms and conditions of the Western Digital Technologies, Inc. Dispute Resolution Agreement (the “</w:t>
      </w:r>
      <w:r>
        <w:rPr>
          <w:rFonts w:ascii="Times New Roman;serif" w:hAnsi="Times New Roman;serif"/>
          <w:b/>
          <w:i/>
          <w:color w:val="000000"/>
          <w:sz w:val="20"/>
        </w:rPr>
        <w:t>DRA</w:t>
      </w:r>
      <w:r>
        <w:rPr>
          <w:color w:val="000000"/>
        </w:rPr>
        <w:t>”</w:t>
      </w:r>
      <w:r>
        <w:rPr>
          <w:rFonts w:ascii="Times New Roman;serif" w:hAnsi="Times New Roman;serif"/>
          <w:b w:val="false"/>
          <w:color w:val="000000"/>
          <w:sz w:val="20"/>
        </w:rPr>
        <w:t xml:space="preserve">), except with respect to any specific performance provided for in Section 13(d) below. </w:t>
      </w:r>
    </w:p>
    <w:p>
      <w:pPr>
        <w:pStyle w:val="TextBody"/>
        <w:bidi w:val="0"/>
        <w:spacing w:lineRule="auto" w:line="288" w:before="144" w:after="240"/>
        <w:jc w:val="both"/>
        <w:rPr/>
      </w:pPr>
      <w:r>
        <w:rPr>
          <w:rFonts w:ascii="Times New Roman;serif" w:hAnsi="Times New Roman;serif"/>
          <w:b w:val="false"/>
          <w:color w:val="000000"/>
          <w:sz w:val="20"/>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Times New Roman;serif" w:hAnsi="Times New Roman;serif"/>
          <w:b/>
          <w:i/>
          <w:color w:val="000000"/>
          <w:sz w:val="20"/>
        </w:rPr>
        <w:t>JAMS</w:t>
      </w:r>
      <w:r>
        <w:rPr>
          <w:color w:val="000000"/>
        </w:rPr>
        <w:t>”</w:t>
      </w:r>
      <w:r>
        <w:rPr>
          <w:rFonts w:ascii="Times New Roman;serif" w:hAnsi="Times New Roman;serif"/>
          <w:b w:val="false"/>
          <w:color w:val="000000"/>
          <w:sz w:val="20"/>
        </w:rPr>
        <w:t xml:space="preserve">),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w:t>
      </w:r>
    </w:p>
    <w:p>
      <w:pPr>
        <w:pStyle w:val="TextBody"/>
        <w:bidi w:val="0"/>
        <w:spacing w:before="240" w:after="283"/>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 </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 </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12.NON-U.S. EMPLOYEES </w:t>
      </w:r>
    </w:p>
    <w:p>
      <w:pPr>
        <w:pStyle w:val="TextBody"/>
        <w:bidi w:val="0"/>
        <w:spacing w:lineRule="auto" w:line="288" w:before="144" w:after="240"/>
        <w:jc w:val="both"/>
        <w:rPr/>
      </w:pPr>
      <w:r>
        <w:rPr>
          <w:rFonts w:ascii="Times New Roman;serif" w:hAnsi="Times New Roman;serif"/>
          <w:b w:val="false"/>
          <w:color w:val="000000"/>
          <w:sz w:val="20"/>
        </w:rPr>
        <w:t xml:space="preserve">The Award shall be subject to any additional terms and conditions for non-U.S. employees set forth in </w:t>
      </w:r>
      <w:r>
        <w:rPr>
          <w:rFonts w:ascii="Times New Roman;serif" w:hAnsi="Times New Roman;serif"/>
          <w:b w:val="false"/>
          <w:color w:val="000000"/>
          <w:sz w:val="20"/>
          <w:u w:val="single"/>
        </w:rPr>
        <w:t>Appendix A</w:t>
      </w:r>
      <w:r>
        <w:rPr>
          <w:color w:val="000000"/>
        </w:rPr>
        <w:t xml:space="preserve"> </w:t>
      </w:r>
      <w:r>
        <w:rPr>
          <w:rFonts w:ascii="Times New Roman;serif" w:hAnsi="Times New Roman;serif"/>
          <w:b w:val="false"/>
          <w:color w:val="000000"/>
          <w:sz w:val="20"/>
        </w:rPr>
        <w:t>(“</w:t>
      </w:r>
      <w:r>
        <w:rPr>
          <w:rFonts w:ascii="Times New Roman;serif" w:hAnsi="Times New Roman;serif"/>
          <w:b/>
          <w:i/>
          <w:color w:val="000000"/>
          <w:sz w:val="20"/>
        </w:rPr>
        <w:t>Appendix A</w:t>
      </w:r>
      <w:r>
        <w:rPr>
          <w:color w:val="000000"/>
        </w:rPr>
        <w:t>”</w:t>
      </w:r>
      <w:r>
        <w:rPr>
          <w:rFonts w:ascii="Times New Roman;serif" w:hAnsi="Times New Roman;serif"/>
          <w:b w:val="false"/>
          <w:color w:val="000000"/>
          <w:sz w:val="20"/>
        </w:rPr>
        <w:t xml:space="preserve">) and any terms and conditions for the Participant’s country set forth in </w:t>
      </w:r>
      <w:r>
        <w:rPr>
          <w:rFonts w:ascii="Times New Roman;serif" w:hAnsi="Times New Roman;serif"/>
          <w:b w:val="false"/>
          <w:color w:val="000000"/>
          <w:sz w:val="20"/>
          <w:u w:val="single"/>
        </w:rPr>
        <w:t>Appendix B</w:t>
      </w:r>
      <w:r>
        <w:rPr>
          <w:color w:val="000000"/>
        </w:rPr>
        <w:t xml:space="preserve"> </w:t>
      </w:r>
      <w:r>
        <w:rPr>
          <w:rFonts w:ascii="Times New Roman;serif" w:hAnsi="Times New Roman;serif"/>
          <w:b w:val="false"/>
          <w:color w:val="000000"/>
          <w:sz w:val="20"/>
        </w:rPr>
        <w:t>(“</w:t>
      </w:r>
      <w:r>
        <w:rPr>
          <w:rFonts w:ascii="Times New Roman;serif" w:hAnsi="Times New Roman;serif"/>
          <w:b/>
          <w:i/>
          <w:color w:val="000000"/>
          <w:sz w:val="20"/>
        </w:rPr>
        <w:t>Appendix B</w:t>
      </w:r>
      <w:r>
        <w:rPr>
          <w:color w:val="000000"/>
        </w:rPr>
        <w:t>”</w:t>
      </w:r>
      <w:r>
        <w:rPr>
          <w:rFonts w:ascii="Times New Roman;serif" w:hAnsi="Times New Roman;serif"/>
          <w:b w:val="false"/>
          <w:color w:val="000000"/>
          <w:sz w:val="20"/>
        </w:rPr>
        <w:t xml:space="preserve">). Moreover, if the Participant relocates to one of the countries included in </w:t>
      </w:r>
      <w:r>
        <w:rPr>
          <w:rFonts w:ascii="Times New Roman;serif" w:hAnsi="Times New Roman;serif"/>
          <w:b w:val="false"/>
          <w:color w:val="000000"/>
          <w:sz w:val="20"/>
          <w:u w:val="single"/>
        </w:rPr>
        <w:t>Appendix B</w:t>
      </w:r>
      <w:r>
        <w:rPr>
          <w:rFonts w:ascii="Times New Roman;serif" w:hAnsi="Times New Roman;serif"/>
          <w:b w:val="false"/>
          <w:color w:val="000000"/>
          <w:sz w:val="20"/>
        </w:rPr>
        <w:t xml:space="preserve">, the terms and conditions for such country will apply to the Participant to the extent the Company determines that the application of such terms and conditions is necessary or advisable for legal or administrative reasons. </w:t>
      </w:r>
      <w:r>
        <w:rPr>
          <w:rFonts w:ascii="Times New Roman;serif" w:hAnsi="Times New Roman;serif"/>
          <w:b w:val="false"/>
          <w:color w:val="000000"/>
          <w:sz w:val="20"/>
          <w:u w:val="single"/>
        </w:rPr>
        <w:t>Appendix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Appendix B</w:t>
      </w:r>
      <w:r>
        <w:rPr>
          <w:color w:val="000000"/>
        </w:rPr>
        <w:t xml:space="preserve"> </w:t>
      </w:r>
      <w:r>
        <w:rPr>
          <w:rFonts w:ascii="Times New Roman;serif" w:hAnsi="Times New Roman;serif"/>
          <w:b w:val="false"/>
          <w:color w:val="000000"/>
          <w:sz w:val="20"/>
        </w:rPr>
        <w:t>constitute part of the Agreement.</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13.ADDITIONAL PARTICIPANT OBLIGATIONS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The Participant, in accepting this Award, (i) agrees to the terms of this Award as set forth in this Award Document generally, and (ii) specifically (and without limiting the generality of clause (i)) agrees to the provisions of this Section 13.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     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    Without limiting the generality of the Participant’s agreement in Section 13(b),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t>
      </w:r>
    </w:p>
    <w:p>
      <w:pPr>
        <w:pStyle w:val="TextBody"/>
        <w:bidi w:val="0"/>
        <w:spacing w:before="240" w:after="283"/>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would prevent the Participant from otherwise earning a living. The Participant agrees that the Restrictive Covenants do not confer a benefit upon the Company and its Subsidiaries that is disproportionate to the detriment of the Participant.</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    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B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STOCK UNIT AWARD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Measures and Goals</w:t>
      </w:r>
    </w:p>
    <w:p>
      <w:pPr>
        <w:pStyle w:val="TextBody"/>
        <w:bidi w:val="0"/>
        <w:spacing w:before="0" w:after="0"/>
        <w:jc w:val="center"/>
        <w:rPr/>
      </w:pPr>
      <w:r>
        <w:rPr/>
      </w:r>
    </w:p>
    <w:p>
      <w:pPr>
        <w:pStyle w:val="TextBody"/>
        <w:bidi w:val="0"/>
        <w:spacing w:lineRule="auto" w:line="288"/>
        <w:jc w:val="left"/>
        <w:rPr/>
      </w:pPr>
      <w:r>
        <w:rPr>
          <w:rFonts w:ascii="Times New Roman;serif" w:hAnsi="Times New Roman;serif"/>
          <w:b/>
          <w:color w:val="000000"/>
          <w:sz w:val="24"/>
        </w:rPr>
        <w:t>[</w:t>
      </w:r>
      <w:r>
        <w:rPr>
          <w:rFonts w:ascii="Times New Roman;serif" w:hAnsi="Times New Roman;serif"/>
          <w:b/>
          <w:i/>
          <w:color w:val="000000"/>
          <w:sz w:val="24"/>
        </w:rPr>
        <w:t>To be inserted</w:t>
      </w:r>
      <w:r>
        <w:rPr>
          <w:rFonts w:ascii="Times New Roman;serif" w:hAnsi="Times New Roman;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 Measures and Goals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 Measures and Goals</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B-1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STOCK UNIT AWARD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Measures and Goals </w:t>
      </w:r>
    </w:p>
    <w:p>
      <w:pPr>
        <w:pStyle w:val="TextBody"/>
        <w:bidi w:val="0"/>
        <w:spacing w:before="0" w:after="0"/>
        <w:jc w:val="center"/>
        <w:rPr/>
      </w:pPr>
      <w:r>
        <w:rPr/>
      </w:r>
    </w:p>
    <w:p>
      <w:pPr>
        <w:pStyle w:val="TextBody"/>
        <w:bidi w:val="0"/>
        <w:spacing w:lineRule="auto" w:line="288"/>
        <w:jc w:val="left"/>
        <w:rPr/>
      </w:pPr>
      <w:r>
        <w:rPr>
          <w:rFonts w:ascii="Times New Roman;serif" w:hAnsi="Times New Roman;serif"/>
          <w:b/>
          <w:color w:val="000000"/>
          <w:sz w:val="24"/>
        </w:rPr>
        <w:t>[</w:t>
      </w:r>
      <w:r>
        <w:rPr>
          <w:rFonts w:ascii="Times New Roman;serif" w:hAnsi="Times New Roman;serif"/>
          <w:b/>
          <w:i/>
          <w:color w:val="000000"/>
          <w:sz w:val="24"/>
        </w:rPr>
        <w:t>To be inserted</w:t>
      </w:r>
      <w:r>
        <w:rPr>
          <w:rFonts w:ascii="Times New Roman;serif" w:hAnsi="Times New Roman;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B-2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STOCK UNIT AWARD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Measures and Goals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w:t>
      </w:r>
      <w:r>
        <w:rPr>
          <w:rFonts w:ascii="Times New Roman;serif" w:hAnsi="Times New Roman;serif"/>
          <w:b/>
          <w:i/>
          <w:color w:val="000000"/>
          <w:sz w:val="24"/>
        </w:rPr>
        <w:t>To be inserted</w:t>
      </w:r>
      <w:r>
        <w:rPr>
          <w:rFonts w:ascii="Times New Roman;serif" w:hAnsi="Times New Roman;serif"/>
          <w:b/>
          <w:color w:val="000000"/>
          <w:sz w:val="24"/>
        </w:rPr>
        <w:t>]</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B-3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STOCK UNIT AWARD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Measures and Goals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w:t>
      </w:r>
      <w:r>
        <w:rPr>
          <w:rFonts w:ascii="Times New Roman;serif" w:hAnsi="Times New Roman;serif"/>
          <w:b/>
          <w:i/>
          <w:color w:val="000000"/>
          <w:sz w:val="24"/>
        </w:rPr>
        <w:t>To be inserted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ind w:left="0" w:right="0" w:hanging="720"/>
        <w:jc w:val="both"/>
        <w:rPr/>
      </w:pPr>
      <w:r>
        <w:rPr/>
      </w:r>
    </w:p>
    <w:p>
      <w:pPr>
        <w:pStyle w:val="TextBody"/>
        <w:bidi w:val="0"/>
        <w:spacing w:before="0" w:after="12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2021 LONG-TERM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 NOTICE FOR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AWARD – VICE PRESIDENT AND ABOVE</w:t>
      </w:r>
    </w:p>
    <w:p>
      <w:pPr>
        <w:pStyle w:val="TextBody"/>
        <w:bidi w:val="0"/>
        <w:spacing w:lineRule="auto" w:line="288" w:before="288" w:after="240"/>
        <w:jc w:val="both"/>
        <w:rPr/>
      </w:pPr>
      <w:r>
        <w:rPr>
          <w:rFonts w:ascii="Times New Roman;serif" w:hAnsi="Times New Roman;serif"/>
          <w:b w:val="false"/>
          <w:color w:val="000000"/>
          <w:sz w:val="20"/>
        </w:rPr>
        <w:t>FOR GOOD AND VALUABLE CONSIDERATION, Western Digital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grants to the Participant named below the number of Restricted Stock Units (the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listed below (this “</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under the Western Digital Corporation Amended and Restated 2021 Long-Term Incentive Plan (as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Each RSU represents the right to receive one share of Common Stock, subject to the terms and conditions in this Grant Notice, the Plan and the Standard Terms and Conditions (the “</w:t>
      </w:r>
      <w:r>
        <w:rPr>
          <w:rFonts w:ascii="Times New Roman;serif" w:hAnsi="Times New Roman;serif"/>
          <w:b/>
          <w:i/>
          <w:color w:val="000000"/>
          <w:sz w:val="20"/>
        </w:rPr>
        <w:t>Standard Terms and Conditions</w:t>
      </w:r>
      <w:r>
        <w:rPr>
          <w:color w:val="000000"/>
        </w:rPr>
        <w:t>”</w:t>
      </w:r>
      <w:r>
        <w:rPr>
          <w:rFonts w:ascii="Times New Roman;serif" w:hAnsi="Times New Roman;serif"/>
          <w:b w:val="false"/>
          <w:color w:val="000000"/>
          <w:sz w:val="20"/>
        </w:rPr>
        <w:t xml:space="preserve">) of such Plan, attached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hereto. Capitalized terms not otherwise defined here shall have the meaning set forth in the Plan.</w:t>
      </w:r>
    </w:p>
    <w:tbl>
      <w:tblPr>
        <w:tblW w:w="10205" w:type="dxa"/>
        <w:jc w:val="left"/>
        <w:tblInd w:w="0" w:type="dxa"/>
        <w:tblLayout w:type="fixed"/>
        <w:tblCellMar>
          <w:top w:w="28" w:type="dxa"/>
          <w:left w:w="28" w:type="dxa"/>
          <w:bottom w:w="28" w:type="dxa"/>
          <w:right w:w="28" w:type="dxa"/>
        </w:tblCellMar>
      </w:tblPr>
      <w:tblGrid>
        <w:gridCol w:w="505"/>
        <w:gridCol w:w="444"/>
        <w:gridCol w:w="447"/>
        <w:gridCol w:w="2579"/>
        <w:gridCol w:w="2579"/>
        <w:gridCol w:w="365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Name of Participant:</w:t>
            </w:r>
          </w:p>
        </w:tc>
        <w:tc>
          <w:tcPr>
            <w:tcW w:w="8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Employee ID</w:t>
            </w:r>
          </w:p>
        </w:tc>
        <w:tc>
          <w:tcPr>
            <w:tcW w:w="8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8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Grant Number</w:t>
            </w:r>
          </w:p>
        </w:tc>
        <w:tc>
          <w:tcPr>
            <w:tcW w:w="8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Number of RSUs:</w:t>
            </w:r>
          </w:p>
        </w:tc>
        <w:tc>
          <w:tcPr>
            <w:tcW w:w="8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3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Vesting Schedule:</w:t>
            </w:r>
          </w:p>
        </w:tc>
        <w:tc>
          <w:tcPr>
            <w:tcW w:w="88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RSUs shall vest in accordance with the following schedule: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 </w:t>
            </w:r>
          </w:p>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Vesting shall be subject to Participant’s Continuous Service from the Grant Date through each applicable vesting date, unless provided otherwise under Section 2 of the Standard Terms and Conditions.</w:t>
            </w:r>
          </w:p>
        </w:tc>
      </w:tr>
    </w:tbl>
    <w:p>
      <w:pPr>
        <w:pStyle w:val="TextBody"/>
        <w:bidi w:val="0"/>
        <w:spacing w:lineRule="auto" w:line="288" w:before="144" w:after="283"/>
        <w:jc w:val="both"/>
        <w:rPr>
          <w:rFonts w:ascii="Times New Roman;serif" w:hAnsi="Times New Roman;serif"/>
          <w:b/>
          <w:color w:val="000000"/>
          <w:sz w:val="20"/>
        </w:rPr>
      </w:pPr>
      <w:r>
        <w:rPr>
          <w:rFonts w:ascii="Times New Roman;serif" w:hAnsi="Times New Roman;serif"/>
          <w:b/>
          <w:color w:val="000000"/>
          <w:sz w:val="20"/>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THIS AWARD DOCUMENT.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Restricted Stock Unit Award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Restricted Stock Unit Award</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br/>
        <w:t>2021 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STANDARD TERMS AND CONDITIONS FOR</w:t>
        <w:br/>
        <w:t>RESTRICTED STOCK UNITS</w:t>
      </w:r>
    </w:p>
    <w:p>
      <w:pPr>
        <w:pStyle w:val="TextBody"/>
        <w:bidi w:val="0"/>
        <w:spacing w:lineRule="auto" w:line="288" w:before="288" w:after="240"/>
        <w:jc w:val="both"/>
        <w:rPr/>
      </w:pPr>
      <w:r>
        <w:rPr>
          <w:rFonts w:ascii="Times New Roman;serif" w:hAnsi="Times New Roman;serif"/>
          <w:b w:val="false"/>
          <w:color w:val="000000"/>
          <w:sz w:val="20"/>
        </w:rPr>
        <w:t>These Standard Terms and Conditions apply to this Award of Restricted Stock Units granted under the Western Digital Corporation Amended and Restated 2021 Long-Term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The Restricted Stock Units are also subject to the terms of the Plan and the attached Grant Notice, which are incorporated here by this reference. Capitalized terms not otherwise defined here shall have the meaning set forth in the Plan.</w:t>
      </w:r>
    </w:p>
    <w:p>
      <w:pPr>
        <w:pStyle w:val="TextBody"/>
        <w:bidi w:val="0"/>
        <w:spacing w:lineRule="auto" w:line="288" w:before="0" w:after="0"/>
        <w:ind w:left="0" w:right="0" w:hanging="576"/>
        <w:jc w:val="both"/>
        <w:rPr/>
      </w:pPr>
      <w:r>
        <w:rPr>
          <w:rFonts w:ascii="Times New Roman;serif" w:hAnsi="Times New Roman;serif"/>
          <w:b/>
          <w:color w:val="000000"/>
          <w:sz w:val="20"/>
        </w:rPr>
        <w:t>1.</w:t>
      </w:r>
      <w:r>
        <w:rPr>
          <w:color w:val="000000"/>
        </w:rPr>
        <w:t>    </w:t>
      </w:r>
      <w:r>
        <w:rPr>
          <w:rFonts w:ascii="Times New Roman;serif" w:hAnsi="Times New Roman;serif"/>
          <w:b/>
          <w:color w:val="000000"/>
          <w:sz w:val="20"/>
        </w:rPr>
        <w:t>TERMS OF RESTRICTED STOCK UNITS</w:t>
      </w:r>
    </w:p>
    <w:p>
      <w:pPr>
        <w:pStyle w:val="TextBody"/>
        <w:bidi w:val="0"/>
        <w:spacing w:lineRule="auto" w:line="288" w:before="240" w:after="240"/>
        <w:jc w:val="both"/>
        <w:rPr/>
      </w:pPr>
      <w:r>
        <w:rPr>
          <w:rFonts w:ascii="Times New Roman;serif" w:hAnsi="Times New Roman;serif"/>
          <w:b w:val="false"/>
          <w:color w:val="000000"/>
          <w:sz w:val="20"/>
        </w:rPr>
        <w:t>Western Digital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to the Participant named in the attached Grant Notice an award of Restricted Stock Units (this “</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described in the Grant Notice, with each Restricted Stock Unit representing the right to receive one share of Common Stock. For purposes of these Standard Terms and Conditions and the Grant Notice, any reference to the Company shall include a reference to any Subsidiary.</w:t>
      </w:r>
    </w:p>
    <w:p>
      <w:pPr>
        <w:pStyle w:val="TextBody"/>
        <w:bidi w:val="0"/>
        <w:spacing w:lineRule="auto" w:line="288" w:before="240" w:after="283"/>
        <w:ind w:left="0" w:right="0" w:hanging="576"/>
        <w:jc w:val="both"/>
        <w:rPr/>
      </w:pPr>
      <w:r>
        <w:rPr>
          <w:rFonts w:ascii="Times New Roman;serif" w:hAnsi="Times New Roman;serif"/>
          <w:b/>
          <w:color w:val="000000"/>
          <w:sz w:val="20"/>
        </w:rPr>
        <w:t>2.</w:t>
      </w:r>
      <w:r>
        <w:rPr>
          <w:color w:val="000000"/>
        </w:rPr>
        <w:t>    </w:t>
      </w:r>
      <w:r>
        <w:rPr>
          <w:rFonts w:ascii="Times New Roman;serif" w:hAnsi="Times New Roman;serif"/>
          <w:b/>
          <w:color w:val="000000"/>
          <w:sz w:val="20"/>
        </w:rPr>
        <w:t>VESTING AND SETTLEMENT OF RESTRICTED STOCK UNITS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RSUs that have vested and are no longer subject to forfeiture are referred to as “</w:t>
      </w:r>
      <w:r>
        <w:rPr>
          <w:rFonts w:ascii="Times New Roman;serif" w:hAnsi="Times New Roman;serif"/>
          <w:b/>
          <w:i/>
          <w:color w:val="000000"/>
          <w:sz w:val="20"/>
        </w:rPr>
        <w:t>Vested RSUs</w:t>
      </w:r>
      <w:r>
        <w:rPr>
          <w:rFonts w:ascii="Times New Roman;serif" w:hAnsi="Times New Roman;serif"/>
          <w:b w:val="false"/>
          <w:color w:val="000000"/>
          <w:sz w:val="20"/>
        </w:rPr>
        <w:t>.” RSUs that are not vested and remain subject to forfeiture are referred to as “</w:t>
      </w:r>
      <w:r>
        <w:rPr>
          <w:rFonts w:ascii="Times New Roman;serif" w:hAnsi="Times New Roman;serif"/>
          <w:b/>
          <w:i/>
          <w:color w:val="000000"/>
          <w:sz w:val="20"/>
        </w:rPr>
        <w:t>Unvested RSUs</w:t>
      </w:r>
      <w:r>
        <w:rPr>
          <w:rFonts w:ascii="Times New Roman;serif" w:hAnsi="Times New Roman;serif"/>
          <w:b w:val="false"/>
          <w:color w:val="000000"/>
          <w:sz w:val="20"/>
        </w:rPr>
        <w:t xml:space="preserve">.” No portion of this Award, nor the shares of Common Stock subject to this Award, may be deferred under the Western Digital Corporation Deferred Compensation Plan (or any applicable successor plan) or any other deferred compensation arrangement of the Company.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Following the vesting of the RSUs on a vesting date, the Company shall deliver to the Participant on the Settlement Date a number of shares of Common Stock equal to the number of RSUs that vested on such vesting date. The Company may, in its sole discretion, settle any whole or fractional RSUs accrued as dividend equivalents by a cash payment equal to the Fair Market Value of a share of Common Stock on the date of payment (as opposed to payment in the form of shares of Common Stock). “</w:t>
      </w:r>
      <w:r>
        <w:rPr>
          <w:rFonts w:ascii="Times New Roman;serif" w:hAnsi="Times New Roman;serif"/>
          <w:b/>
          <w:i/>
          <w:color w:val="000000"/>
          <w:sz w:val="20"/>
        </w:rPr>
        <w:t>Settlement Date</w:t>
      </w:r>
      <w:r>
        <w:rPr>
          <w:color w:val="000000"/>
        </w:rPr>
        <w:t xml:space="preserve">” </w:t>
      </w:r>
      <w:r>
        <w:rPr>
          <w:rFonts w:ascii="Times New Roman;serif" w:hAnsi="Times New Roman;serif"/>
          <w:b w:val="false"/>
          <w:color w:val="000000"/>
          <w:sz w:val="20"/>
        </w:rPr>
        <w:t xml:space="preserve">means as soon as practicable following the vesting of the RSUs on the applicable vesting date but in no event later than 60 days after the applicable vesting date.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(c)</w:t>
      </w:r>
      <w:r>
        <w:rPr>
          <w:color w:val="000000"/>
        </w:rPr>
        <w:t>    </w:t>
      </w:r>
      <w:r>
        <w:rPr>
          <w:rFonts w:ascii="Times New Roman;serif" w:hAnsi="Times New Roman;serif"/>
          <w:b w:val="false"/>
          <w:i/>
          <w:color w:val="000000"/>
          <w:sz w:val="20"/>
        </w:rPr>
        <w:t>Termination without Cause under the Executive Severance Plan</w:t>
      </w:r>
      <w:r>
        <w:rPr>
          <w:rFonts w:ascii="Times New Roman;serif" w:hAnsi="Times New Roman;serif"/>
          <w:b w:val="false"/>
          <w:color w:val="000000"/>
          <w:sz w:val="20"/>
        </w:rPr>
        <w:t>. For a Participant who is subject to the terms of the Western Digital Corporation Amended and Restated Executive Severance Plan, as applicable (or any applicable successor plan) (the “</w:t>
      </w:r>
      <w:r>
        <w:rPr>
          <w:rFonts w:ascii="Times New Roman;serif" w:hAnsi="Times New Roman;serif"/>
          <w:b/>
          <w:i/>
          <w:color w:val="000000"/>
          <w:sz w:val="20"/>
        </w:rPr>
        <w:t>Executive Severance Plan</w:t>
      </w:r>
      <w:r>
        <w:rPr>
          <w:color w:val="000000"/>
        </w:rPr>
        <w:t>”</w:t>
      </w:r>
      <w:r>
        <w:rPr>
          <w:rFonts w:ascii="Times New Roman;serif" w:hAnsi="Times New Roman;serif"/>
          <w:b w:val="false"/>
          <w:color w:val="000000"/>
          <w:sz w:val="20"/>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any then Unvested RSUs and any credited dividend equivalents held by the Participant shall vest in accordance with the following formula:</w:t>
      </w:r>
    </w:p>
    <w:p>
      <w:pPr>
        <w:pStyle w:val="TextBody"/>
        <w:bidi w:val="0"/>
        <w:spacing w:lineRule="auto" w:line="288" w:before="240" w:after="240"/>
        <w:jc w:val="both"/>
        <w:rPr/>
      </w:pPr>
      <w:r>
        <w:rPr>
          <w:rFonts w:ascii="Times New Roman;serif" w:hAnsi="Times New Roman;serif"/>
          <w:b w:val="false"/>
          <w:color w:val="000000"/>
          <w:sz w:val="20"/>
        </w:rPr>
        <w:t xml:space="preserve">(i)    (x) a fraction with a numerator equal to the total number of calendar days from the Grant Date of this Award through and including the Participant’s termination of Continuous Service and a denominator equal to the total number of calendar days from the Grant Date of this Award through and including the last scheduled vesting date applicable to this Award </w:t>
      </w:r>
      <w:r>
        <w:rPr>
          <w:rFonts w:ascii="Times New Roman;serif" w:hAnsi="Times New Roman;serif"/>
          <w:b/>
          <w:i/>
          <w:color w:val="000000"/>
          <w:sz w:val="20"/>
          <w:u w:val="single"/>
        </w:rPr>
        <w:t>multiplied by</w:t>
      </w:r>
      <w:r>
        <w:rPr>
          <w:color w:val="000000"/>
        </w:rPr>
        <w:t xml:space="preserve"> </w:t>
      </w:r>
      <w:r>
        <w:rPr>
          <w:rFonts w:ascii="Times New Roman;serif" w:hAnsi="Times New Roman;serif"/>
          <w:b w:val="false"/>
          <w:color w:val="000000"/>
          <w:sz w:val="20"/>
        </w:rPr>
        <w:t xml:space="preserve">(y) the total number of shares of Common Stock originally subject to this Award (subject to adjustment as provided in the Plan but before taking into account any crediting of dividend equivalents); </w:t>
      </w:r>
      <w:r>
        <w:rPr>
          <w:rFonts w:ascii="Times New Roman;serif" w:hAnsi="Times New Roman;serif"/>
          <w:b/>
          <w:i/>
          <w:color w:val="000000"/>
          <w:sz w:val="20"/>
          <w:u w:val="single"/>
        </w:rPr>
        <w:t>minus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(ii)    (z) the number of shares of Common Stock that have already vested on or prior to the Participant’s termination of Continuous Service (before taking any accelerated vesting contemplated by this subsection into account and before taking into account any crediting (if applicable) of dividend equivalent rights).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Any Unvested RSUs that do not vest as described above shall be forfeited as of the date of the Participant’s termination of Continuous Service.</w:t>
      </w:r>
    </w:p>
    <w:p>
      <w:pPr>
        <w:pStyle w:val="TextBody"/>
        <w:bidi w:val="0"/>
        <w:spacing w:lineRule="auto" w:line="288" w:before="240" w:after="240"/>
        <w:ind w:left="0" w:right="0" w:firstLine="720"/>
        <w:jc w:val="both"/>
        <w:rPr/>
      </w:pPr>
      <w:r>
        <w:rPr>
          <w:rFonts w:ascii="Times New Roman;serif" w:hAnsi="Times New Roman;serif"/>
          <w:b w:val="false"/>
          <w:color w:val="000000"/>
          <w:sz w:val="20"/>
        </w:rPr>
        <w:t>(d)</w:t>
      </w:r>
      <w:r>
        <w:rPr>
          <w:color w:val="000000"/>
        </w:rPr>
        <w:t>    </w:t>
      </w:r>
      <w:r>
        <w:rPr>
          <w:rFonts w:ascii="Times New Roman;serif" w:hAnsi="Times New Roman;serif"/>
          <w:b w:val="false"/>
          <w:i/>
          <w:color w:val="000000"/>
          <w:sz w:val="20"/>
        </w:rPr>
        <w:t>Termination without Cause or for Good Reason under the Change in Control Severance Plan</w:t>
      </w:r>
      <w:r>
        <w:rPr>
          <w:rFonts w:ascii="Times New Roman;serif" w:hAnsi="Times New Roman;serif"/>
          <w:b w:val="false"/>
          <w:color w:val="000000"/>
          <w:sz w:val="20"/>
        </w:rPr>
        <w:t>. For a Participant who is subject to the terms of the Western Digital Corporation Amended and Restated Change in Control Severance Plan, as applicable (or any applicable successor plan) (the “</w:t>
      </w:r>
      <w:r>
        <w:rPr>
          <w:rFonts w:ascii="Times New Roman;serif" w:hAnsi="Times New Roman;serif"/>
          <w:b/>
          <w:i/>
          <w:color w:val="000000"/>
          <w:sz w:val="20"/>
        </w:rPr>
        <w:t>CIC Severance Plan</w:t>
      </w:r>
      <w:r>
        <w:rPr>
          <w:color w:val="000000"/>
        </w:rPr>
        <w:t>”</w:t>
      </w:r>
      <w:r>
        <w:rPr>
          <w:rFonts w:ascii="Times New Roman;serif" w:hAnsi="Times New Roman;serif"/>
          <w:b w:val="false"/>
          <w:color w:val="000000"/>
          <w:sz w:val="20"/>
        </w:rPr>
        <w:t>) at the time of termination of Continuous Service, then upon Participant’s termination of employment by the Company without Cause or due to a resignation by Participant for Good Reason (both as defined in the CIC Severance Plan) under circumstances that would entitle the Participant to severance benefits under the CIC Severance Plan, subject to compliance with the terms of the CIC Severance Plan, any then Unvested RSUs held by the Participant and any credited dividend equivalents will vest in full.</w:t>
      </w:r>
    </w:p>
    <w:p>
      <w:pPr>
        <w:pStyle w:val="TextBody"/>
        <w:bidi w:val="0"/>
        <w:spacing w:lineRule="auto" w:line="288" w:before="240" w:after="240"/>
        <w:ind w:left="0" w:right="0" w:firstLine="720"/>
        <w:jc w:val="both"/>
        <w:rPr/>
      </w:pPr>
      <w:r>
        <w:rPr>
          <w:rFonts w:ascii="Times New Roman;serif" w:hAnsi="Times New Roman;serif"/>
          <w:b w:val="false"/>
          <w:color w:val="000000"/>
          <w:sz w:val="20"/>
        </w:rPr>
        <w:t>(e)</w:t>
      </w:r>
      <w:r>
        <w:rPr>
          <w:color w:val="000000"/>
        </w:rPr>
        <w:t>    </w:t>
      </w:r>
      <w:r>
        <w:rPr>
          <w:rFonts w:ascii="Times New Roman;serif" w:hAnsi="Times New Roman;serif"/>
          <w:b w:val="false"/>
          <w:i/>
          <w:color w:val="000000"/>
          <w:sz w:val="20"/>
        </w:rPr>
        <w:t>Resignation</w:t>
      </w:r>
      <w:r>
        <w:rPr>
          <w:rFonts w:ascii="Times New Roman;serif" w:hAnsi="Times New Roman;serif"/>
          <w:b w:val="false"/>
          <w:color w:val="000000"/>
          <w:sz w:val="20"/>
        </w:rPr>
        <w:t>. Upon Participant’s termination of Continuous Service by the Company due to a resignation by Participant for any reason, other than a resignation for Good Reason under circumstances that would entitle the Participant to severance benefits under the CIC Severance Plan, subject to compliance with the terms of the CIC Severance Plan, the Unvested RSUs held by the Participant shall be forfeited as of the date of the Participant’s termination of Continuous Service.</w:t>
      </w:r>
    </w:p>
    <w:p>
      <w:pPr>
        <w:pStyle w:val="TextBody"/>
        <w:bidi w:val="0"/>
        <w:spacing w:lineRule="auto" w:line="288" w:before="240" w:after="240"/>
        <w:ind w:left="0" w:right="0" w:firstLine="720"/>
        <w:jc w:val="both"/>
        <w:rPr/>
      </w:pPr>
      <w:r>
        <w:rPr>
          <w:rFonts w:ascii="Times New Roman;serif" w:hAnsi="Times New Roman;serif"/>
          <w:b w:val="false"/>
          <w:color w:val="000000"/>
          <w:sz w:val="20"/>
        </w:rPr>
        <w:t>(f)</w:t>
      </w:r>
      <w:r>
        <w:rPr>
          <w:color w:val="000000"/>
        </w:rPr>
        <w:t>    </w:t>
      </w:r>
      <w:r>
        <w:rPr>
          <w:rFonts w:ascii="Times New Roman;serif" w:hAnsi="Times New Roman;serif"/>
          <w:b w:val="false"/>
          <w:i/>
          <w:color w:val="000000"/>
          <w:sz w:val="20"/>
        </w:rPr>
        <w:t xml:space="preserve">Termination due to Death. </w:t>
      </w:r>
      <w:r>
        <w:rPr>
          <w:rFonts w:ascii="Times New Roman;serif" w:hAnsi="Times New Roman;serif"/>
          <w:b w:val="false"/>
          <w:color w:val="000000"/>
          <w:sz w:val="20"/>
        </w:rPr>
        <w:t>Upon Participant’s termination of Continuous Service due to death, 50% of the Participant’s then Unvested RSUs (including any credited dividend equivalents held by the Participant) shall vest. Any Unvested RSUs that do not vest as described shall be forfeited as of the date of the Participant’s termination due to death.</w:t>
      </w:r>
    </w:p>
    <w:p>
      <w:pPr>
        <w:pStyle w:val="TextBody"/>
        <w:bidi w:val="0"/>
        <w:spacing w:lineRule="auto" w:line="288" w:before="240" w:after="240"/>
        <w:ind w:left="0" w:right="0" w:firstLine="720"/>
        <w:jc w:val="both"/>
        <w:rPr/>
      </w:pPr>
      <w:r>
        <w:rPr>
          <w:rFonts w:ascii="Times New Roman;serif" w:hAnsi="Times New Roman;serif"/>
          <w:b w:val="false"/>
          <w:color w:val="000000"/>
          <w:sz w:val="20"/>
        </w:rPr>
        <w:t>(g)</w:t>
      </w:r>
      <w:r>
        <w:rPr>
          <w:color w:val="000000"/>
        </w:rPr>
        <w:t>    </w:t>
      </w:r>
      <w:r>
        <w:rPr>
          <w:rFonts w:ascii="Times New Roman;serif" w:hAnsi="Times New Roman;serif"/>
          <w:b w:val="false"/>
          <w:i/>
          <w:color w:val="000000"/>
          <w:sz w:val="20"/>
        </w:rPr>
        <w:t>Termination for Cause.</w:t>
      </w:r>
      <w:r>
        <w:rPr>
          <w:color w:val="000000"/>
        </w:rPr>
        <w:t xml:space="preserve"> </w:t>
      </w:r>
      <w:r>
        <w:rPr>
          <w:rFonts w:ascii="Times New Roman;serif" w:hAnsi="Times New Roman;serif"/>
          <w:b w:val="false"/>
          <w:color w:val="000000"/>
          <w:sz w:val="20"/>
        </w:rPr>
        <w:t>Upon Participant’s termination of Continuous Service by the Company for Cause, the entire Award (both Vested RSUs that have yet to be settled and Unvested RSUs) held by the Participant shall be forfeited as of the date of the Participant’s termination of Continuous Service.</w:t>
      </w:r>
    </w:p>
    <w:p>
      <w:pPr>
        <w:pStyle w:val="TextBody"/>
        <w:bidi w:val="0"/>
        <w:spacing w:lineRule="auto" w:line="288" w:before="240" w:after="240"/>
        <w:ind w:left="0" w:right="0" w:firstLine="720"/>
        <w:jc w:val="both"/>
        <w:rPr/>
      </w:pPr>
      <w:r>
        <w:rPr>
          <w:rFonts w:ascii="Times New Roman;serif" w:hAnsi="Times New Roman;serif"/>
          <w:b w:val="false"/>
          <w:color w:val="000000"/>
          <w:sz w:val="20"/>
        </w:rPr>
        <w:t>(h)</w:t>
      </w:r>
      <w:r>
        <w:rPr>
          <w:color w:val="000000"/>
        </w:rPr>
        <w:t>    </w:t>
      </w:r>
      <w:r>
        <w:rPr>
          <w:rFonts w:ascii="Times New Roman;serif" w:hAnsi="Times New Roman;serif"/>
          <w:b w:val="false"/>
          <w:i/>
          <w:color w:val="000000"/>
          <w:sz w:val="20"/>
        </w:rPr>
        <w:t>Non</w:t>
      </w:r>
      <w:r>
        <w:rPr>
          <w:rFonts w:ascii="Times New Roman;serif" w:hAnsi="Times New Roman;serif"/>
          <w:b w:val="false"/>
          <w:color w:val="000000"/>
          <w:sz w:val="20"/>
        </w:rPr>
        <w:t>-</w:t>
      </w:r>
      <w:r>
        <w:rPr>
          <w:rFonts w:ascii="Times New Roman;serif" w:hAnsi="Times New Roman;serif"/>
          <w:b w:val="false"/>
          <w:i/>
          <w:color w:val="000000"/>
          <w:sz w:val="20"/>
        </w:rPr>
        <w:t>U.S. Eligible Employees Participating in the Executive Severance Plan and Change in Control Severance Plan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avoidance of 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w:t>
      </w:r>
    </w:p>
    <w:p>
      <w:pPr>
        <w:pStyle w:val="TextBody"/>
        <w:bidi w:val="0"/>
        <w:spacing w:lineRule="auto" w:line="288" w:before="240" w:after="283"/>
        <w:ind w:left="0" w:right="0" w:hanging="576"/>
        <w:jc w:val="both"/>
        <w:rPr/>
      </w:pPr>
      <w:r>
        <w:rPr>
          <w:rFonts w:ascii="Times New Roman;serif" w:hAnsi="Times New Roman;serif"/>
          <w:b/>
          <w:color w:val="000000"/>
          <w:sz w:val="20"/>
        </w:rPr>
        <w:t>3.</w:t>
      </w:r>
      <w:r>
        <w:rPr>
          <w:color w:val="000000"/>
        </w:rPr>
        <w:t>    </w:t>
      </w:r>
      <w:r>
        <w:rPr>
          <w:rFonts w:ascii="Times New Roman;serif" w:hAnsi="Times New Roman;serif"/>
          <w:b/>
          <w:color w:val="000000"/>
          <w:sz w:val="20"/>
        </w:rPr>
        <w:t>RIGHTS AS STOCKHOLDER; DIVIDEND EQUIVALENTS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Participant shall not be, nor have any of the rights or privileges of, a stockholder of the Company in respect of any RSUs unless and until shares of Common Stock settled for such RSUs shall have been issued by the Company to Participant.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Notwithstanding Section 3(a), from and after the Grant Date and until the earlier of (i) the Participant’s receipt of Common Stock upon settlement of the RSUs and (ii) the time when the Participant’s right to receive Common Stock upon settlement of the RSUs is forfeited, the Participant shall be entitled to receive as a dividend equivalent a number of additional RSUs on the date(s) that the Company pays a cash dividend (if any) to Common Stock holders generally. Such dividend equivalent shall be determined by dividing (i) the product of (A) the dollar amount of the cash dividend paid per share of Common Stock on such date and (B) the total number of RSUs (including dividend equivalents accrued thereon) previously credited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 Dividend equivalents may be settled in whole or fractional shares of Common Stock, in the sole discretion of the Administrator (with any fractional RSUs that are not settled in shares of Common Stock to be settled in cash). However, for the avoidance of doubt, the Company may, in its sole discretion, settle any RSUs credited as dividend equivalents by a cash payment equal to the Fair Market Value of a share of Common Stock on the date of payment (as opposed to payment in the form of shares of Common Stock). For the avoidance of doubt, in no event will any dividend equivalents credited to RSUs be delivered to the Participant unless and until such RSUs vest and settle.</w:t>
      </w:r>
    </w:p>
    <w:p>
      <w:pPr>
        <w:pStyle w:val="TextBody"/>
        <w:bidi w:val="0"/>
        <w:spacing w:lineRule="auto" w:line="288" w:before="240" w:after="283"/>
        <w:ind w:left="0" w:right="0" w:hanging="576"/>
        <w:jc w:val="both"/>
        <w:rPr/>
      </w:pPr>
      <w:r>
        <w:rPr>
          <w:rFonts w:ascii="Times New Roman;serif" w:hAnsi="Times New Roman;serif"/>
          <w:b/>
          <w:color w:val="000000"/>
          <w:sz w:val="20"/>
        </w:rPr>
        <w:t>4.</w:t>
      </w:r>
      <w:r>
        <w:rPr>
          <w:color w:val="000000"/>
        </w:rPr>
        <w:t>    </w:t>
      </w:r>
      <w:r>
        <w:rPr>
          <w:rFonts w:ascii="Times New Roman;serif" w:hAnsi="Times New Roman;serif"/>
          <w:b/>
          <w:color w:val="000000"/>
          <w:sz w:val="20"/>
        </w:rPr>
        <w:t>RESTRICTIONS ON RESALES OF SHARES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may impose such restrictions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88" w:before="240" w:after="283"/>
        <w:ind w:left="0" w:right="0" w:hanging="576"/>
        <w:jc w:val="both"/>
        <w:rPr/>
      </w:pPr>
      <w:r>
        <w:rPr>
          <w:rFonts w:ascii="Times New Roman;serif" w:hAnsi="Times New Roman;serif"/>
          <w:b/>
          <w:color w:val="000000"/>
          <w:sz w:val="20"/>
        </w:rPr>
        <w:t>5.</w:t>
      </w:r>
      <w:r>
        <w:rPr>
          <w:color w:val="000000"/>
        </w:rPr>
        <w:t>    </w:t>
      </w:r>
      <w:r>
        <w:rPr>
          <w:rFonts w:ascii="Times New Roman;serif" w:hAnsi="Times New Roman;serif"/>
          <w:b/>
          <w:color w:val="000000"/>
          <w:sz w:val="20"/>
        </w:rPr>
        <w:t>INCOME TAXES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Participant may satisfy tax withholding obligations relating to the RSUs by any combination of the following: (i) a cash payment; (ii) a Company deduction from any amounts payable to Participant; (iii) Company withholding of shares from the Common Stock issuable to the Participant in connection with the RSUs (only up to the amount permitted that will not cause an adverse accounting consequence); or (iv) Company withholding a payment from the proceeds from the sale of shares of Common Stock issued pursuant to the RSUs. In addition, the Administrator may, in its sole discretion but only to the extent consistent with Section 409A of the Code, reduce the number of RSUs remaining subject to this Award, with each such RSU to have a value for such purpose equal to the then Fair Market Value of a share of Common Stock, to satisfy such withholding obligation at the applicable withholding rates. </w:t>
      </w:r>
    </w:p>
    <w:p>
      <w:pPr>
        <w:pStyle w:val="TextBody"/>
        <w:bidi w:val="0"/>
        <w:spacing w:lineRule="auto" w:line="288" w:before="240" w:after="283"/>
        <w:ind w:left="0" w:right="0" w:hanging="576"/>
        <w:jc w:val="both"/>
        <w:rPr/>
      </w:pPr>
      <w:r>
        <w:rPr>
          <w:rFonts w:ascii="Times New Roman;serif" w:hAnsi="Times New Roman;serif"/>
          <w:b/>
          <w:color w:val="000000"/>
          <w:sz w:val="20"/>
        </w:rPr>
        <w:t>6.</w:t>
      </w:r>
      <w:r>
        <w:rPr>
          <w:color w:val="000000"/>
        </w:rPr>
        <w:t>    </w:t>
      </w:r>
      <w:r>
        <w:rPr>
          <w:rFonts w:ascii="Times New Roman;serif" w:hAnsi="Times New Roman;serif"/>
          <w:b/>
          <w:color w:val="000000"/>
          <w:sz w:val="20"/>
        </w:rPr>
        <w:t>NON-TRANSFERABILITY OF AWARD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pStyle w:val="TextBody"/>
        <w:bidi w:val="0"/>
        <w:spacing w:lineRule="auto" w:line="288" w:before="240" w:after="283"/>
        <w:ind w:left="0" w:right="0" w:hanging="576"/>
        <w:jc w:val="both"/>
        <w:rPr/>
      </w:pPr>
      <w:r>
        <w:rPr>
          <w:rFonts w:ascii="Times New Roman;serif" w:hAnsi="Times New Roman;serif"/>
          <w:b/>
          <w:color w:val="000000"/>
          <w:sz w:val="20"/>
        </w:rPr>
        <w:t>7.</w:t>
      </w:r>
      <w:r>
        <w:rPr>
          <w:color w:val="000000"/>
        </w:rPr>
        <w:t>    </w:t>
      </w:r>
      <w:r>
        <w:rPr>
          <w:rFonts w:ascii="Times New Roman;serif" w:hAnsi="Times New Roman;serif"/>
          <w:b/>
          <w:color w:val="000000"/>
          <w:sz w:val="20"/>
        </w:rPr>
        <w:t>OTHER AGREEMENTS SUPERSEDED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Grant Notice, these Standard Terms and Conditions and the Plan constitute the entire understanding between the Participant and the Company regarding this Award. Any prior agreements, commitments or negotiations concerning this Award are superseded.</w:t>
      </w:r>
    </w:p>
    <w:p>
      <w:pPr>
        <w:pStyle w:val="TextBody"/>
        <w:bidi w:val="0"/>
        <w:spacing w:lineRule="auto" w:line="288" w:before="240" w:after="283"/>
        <w:ind w:left="0" w:right="0" w:hanging="576"/>
        <w:jc w:val="both"/>
        <w:rPr/>
      </w:pPr>
      <w:r>
        <w:rPr>
          <w:rFonts w:ascii="Times New Roman;serif" w:hAnsi="Times New Roman;serif"/>
          <w:b/>
          <w:color w:val="000000"/>
          <w:sz w:val="20"/>
        </w:rPr>
        <w:t>8.</w:t>
      </w:r>
      <w:r>
        <w:rPr>
          <w:color w:val="000000"/>
        </w:rPr>
        <w:t>    </w:t>
      </w:r>
      <w:r>
        <w:rPr>
          <w:rFonts w:ascii="Times New Roman;serif" w:hAnsi="Times New Roman;serif"/>
          <w:b/>
          <w:color w:val="000000"/>
          <w:sz w:val="20"/>
        </w:rPr>
        <w:t>NO ADDITIONAL RIGHTS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Participant’s receipt of the RSUs does not confer upon the Participant any right to continue to serve the Company or an Affiliate in any capacity and will not affect the right of the Company or an Affiliate to terminate the service of the Participant. </w:t>
      </w:r>
    </w:p>
    <w:p>
      <w:pPr>
        <w:pStyle w:val="TextBody"/>
        <w:bidi w:val="0"/>
        <w:spacing w:lineRule="auto" w:line="288" w:before="240" w:after="283"/>
        <w:ind w:left="0" w:right="0" w:hanging="576"/>
        <w:jc w:val="both"/>
        <w:rPr/>
      </w:pPr>
      <w:r>
        <w:rPr>
          <w:rFonts w:ascii="Times New Roman;serif" w:hAnsi="Times New Roman;serif"/>
          <w:b/>
          <w:color w:val="000000"/>
          <w:sz w:val="20"/>
        </w:rPr>
        <w:t>9.</w:t>
      </w:r>
      <w:r>
        <w:rPr>
          <w:color w:val="000000"/>
        </w:rPr>
        <w:t>    </w:t>
      </w:r>
      <w:r>
        <w:rPr>
          <w:rFonts w:ascii="Times New Roman;serif" w:hAnsi="Times New Roman;serif"/>
          <w:b/>
          <w:color w:val="000000"/>
          <w:sz w:val="20"/>
        </w:rPr>
        <w:t>GENERAL</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These Standard Terms and Conditions shall inure to the benefit of and be binding upon the parties and their respective permitted heirs, beneficiaries, successors and assigns.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These Standard Terms and Conditions shall be interpreted in accordance with and governed by the laws of the State of Delaware, without regard to principles of conflicts of law.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    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    All questions under the Plan or under these Standard Terms and Conditions shall be decided by the Administrator in its total and absolute discretion.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    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 </w:t>
      </w:r>
    </w:p>
    <w:p>
      <w:pPr>
        <w:pStyle w:val="TextBody"/>
        <w:bidi w:val="0"/>
        <w:spacing w:lineRule="auto" w:line="288" w:before="240" w:after="283"/>
        <w:ind w:left="0" w:right="0" w:hanging="576"/>
        <w:jc w:val="both"/>
        <w:rPr/>
      </w:pPr>
      <w:r>
        <w:rPr>
          <w:rFonts w:ascii="Times New Roman;serif" w:hAnsi="Times New Roman;serif"/>
          <w:b/>
          <w:color w:val="000000"/>
          <w:sz w:val="20"/>
        </w:rPr>
        <w:t>10.</w:t>
      </w:r>
      <w:r>
        <w:rPr>
          <w:color w:val="000000"/>
        </w:rPr>
        <w:t>    </w:t>
      </w:r>
      <w:r>
        <w:rPr>
          <w:rFonts w:ascii="Times New Roman;serif" w:hAnsi="Times New Roman;serif"/>
          <w:b/>
          <w:color w:val="000000"/>
          <w:sz w:val="20"/>
        </w:rPr>
        <w:t>ELECTRONIC DELIVERY</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RSUs via Company web site or other electronic delivery.</w:t>
      </w:r>
    </w:p>
    <w:p>
      <w:pPr>
        <w:pStyle w:val="TextBody"/>
        <w:bidi w:val="0"/>
        <w:spacing w:lineRule="auto" w:line="288" w:before="240" w:after="283"/>
        <w:ind w:left="0" w:right="0" w:hanging="576"/>
        <w:jc w:val="both"/>
        <w:rPr/>
      </w:pPr>
      <w:r>
        <w:rPr>
          <w:rFonts w:ascii="Times New Roman;serif" w:hAnsi="Times New Roman;serif"/>
          <w:b/>
          <w:color w:val="000000"/>
          <w:sz w:val="20"/>
        </w:rPr>
        <w:t>11.</w:t>
      </w:r>
      <w:r>
        <w:rPr>
          <w:color w:val="000000"/>
        </w:rPr>
        <w:t>    </w:t>
      </w:r>
      <w:r>
        <w:rPr>
          <w:rFonts w:ascii="Times New Roman;serif" w:hAnsi="Times New Roman;serif"/>
          <w:b/>
          <w:color w:val="000000"/>
          <w:sz w:val="20"/>
        </w:rPr>
        <w:t xml:space="preserve">ARBITRATION </w:t>
      </w:r>
    </w:p>
    <w:p>
      <w:pPr>
        <w:pStyle w:val="TextBody"/>
        <w:bidi w:val="0"/>
        <w:spacing w:lineRule="auto" w:line="288" w:before="144" w:after="240"/>
        <w:jc w:val="both"/>
        <w:rPr/>
      </w:pPr>
      <w:r>
        <w:rPr>
          <w:rFonts w:ascii="Times New Roman;serif" w:hAnsi="Times New Roman;serif"/>
          <w:b w:val="false"/>
          <w:color w:val="000000"/>
          <w:sz w:val="20"/>
        </w:rPr>
        <w:t>Any controversy arising out of or relating to the Grant Notice, these Standard Terms and Conditions, and/or the Plan (“</w:t>
      </w:r>
      <w:r>
        <w:rPr>
          <w:rFonts w:ascii="Times New Roman;serif" w:hAnsi="Times New Roman;serif"/>
          <w:b/>
          <w:i/>
          <w:color w:val="000000"/>
          <w:sz w:val="20"/>
        </w:rPr>
        <w:t>Covered Claims</w:t>
      </w:r>
      <w:r>
        <w:rPr>
          <w:color w:val="000000"/>
        </w:rPr>
        <w:t>”</w:t>
      </w:r>
      <w:r>
        <w:rPr>
          <w:rFonts w:ascii="Times New Roman;serif" w:hAnsi="Times New Roman;serif"/>
          <w:b w:val="false"/>
          <w:color w:val="000000"/>
          <w:sz w:val="20"/>
        </w:rPr>
        <w:t>), shall be resolved in accordance with the terms and conditions of the Western Digital Technologies, Inc. Dispute Resolution Agreement (the “</w:t>
      </w:r>
      <w:r>
        <w:rPr>
          <w:rFonts w:ascii="Times New Roman;serif" w:hAnsi="Times New Roman;serif"/>
          <w:b/>
          <w:i/>
          <w:color w:val="000000"/>
          <w:sz w:val="20"/>
        </w:rPr>
        <w:t>DRA</w:t>
      </w:r>
      <w:r>
        <w:rPr>
          <w:color w:val="000000"/>
        </w:rPr>
        <w:t>”</w:t>
      </w:r>
      <w:r>
        <w:rPr>
          <w:rFonts w:ascii="Times New Roman;serif" w:hAnsi="Times New Roman;serif"/>
          <w:b w:val="false"/>
          <w:color w:val="000000"/>
          <w:sz w:val="20"/>
        </w:rPr>
        <w:t xml:space="preserve">). </w:t>
      </w:r>
    </w:p>
    <w:p>
      <w:pPr>
        <w:pStyle w:val="TextBody"/>
        <w:bidi w:val="0"/>
        <w:spacing w:lineRule="auto" w:line="288" w:before="144" w:after="240"/>
        <w:jc w:val="both"/>
        <w:rPr/>
      </w:pPr>
      <w:r>
        <w:rPr>
          <w:rFonts w:ascii="Times New Roman;serif" w:hAnsi="Times New Roman;serif"/>
          <w:b w:val="false"/>
          <w:color w:val="000000"/>
          <w:sz w:val="20"/>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Times New Roman;serif" w:hAnsi="Times New Roman;serif"/>
          <w:b/>
          <w:i/>
          <w:color w:val="000000"/>
          <w:sz w:val="20"/>
        </w:rPr>
        <w:t>JAMS</w:t>
      </w:r>
      <w:r>
        <w:rPr>
          <w:color w:val="000000"/>
        </w:rPr>
        <w:t>”</w:t>
      </w:r>
      <w:r>
        <w:rPr>
          <w:rFonts w:ascii="Times New Roman;serif" w:hAnsi="Times New Roman;serif"/>
          <w:b w:val="false"/>
          <w:color w:val="000000"/>
          <w:sz w:val="20"/>
        </w:rPr>
        <w:t xml:space="preserve">),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 </w:t>
      </w:r>
    </w:p>
    <w:p>
      <w:pPr>
        <w:pStyle w:val="TextBody"/>
        <w:bidi w:val="0"/>
        <w:spacing w:lineRule="auto" w:line="288" w:before="144"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 </w:t>
      </w:r>
    </w:p>
    <w:p>
      <w:pPr>
        <w:pStyle w:val="TextBody"/>
        <w:bidi w:val="0"/>
        <w:spacing w:lineRule="auto" w:line="288" w:before="240" w:after="283"/>
        <w:ind w:left="0" w:right="0" w:hanging="540"/>
        <w:jc w:val="both"/>
        <w:rPr/>
      </w:pPr>
      <w:r>
        <w:rPr>
          <w:rFonts w:ascii="Times New Roman;serif" w:hAnsi="Times New Roman;serif"/>
          <w:b/>
          <w:color w:val="000000"/>
          <w:sz w:val="20"/>
        </w:rPr>
        <w:t>12.</w:t>
      </w:r>
      <w:r>
        <w:rPr>
          <w:color w:val="000000"/>
        </w:rPr>
        <w:t>    </w:t>
      </w:r>
      <w:r>
        <w:rPr>
          <w:rFonts w:ascii="Times New Roman;serif" w:hAnsi="Times New Roman;serif"/>
          <w:b/>
          <w:color w:val="000000"/>
          <w:sz w:val="20"/>
        </w:rPr>
        <w:t xml:space="preserve">NON-U.S. EMPLOYEES </w:t>
      </w:r>
    </w:p>
    <w:p>
      <w:pPr>
        <w:pStyle w:val="TextBody"/>
        <w:bidi w:val="0"/>
        <w:spacing w:lineRule="auto" w:line="288" w:before="144" w:after="240"/>
        <w:jc w:val="both"/>
        <w:rPr/>
      </w:pPr>
      <w:r>
        <w:rPr>
          <w:rFonts w:ascii="Times New Roman;serif" w:hAnsi="Times New Roman;serif"/>
          <w:b w:val="false"/>
          <w:color w:val="000000"/>
          <w:sz w:val="20"/>
        </w:rPr>
        <w:t xml:space="preserve">The Award shall be subject to any additional terms and conditions for non-U.S. employees set forth in </w:t>
      </w:r>
      <w:r>
        <w:rPr>
          <w:rFonts w:ascii="Times New Roman;serif" w:hAnsi="Times New Roman;serif"/>
          <w:b w:val="false"/>
          <w:color w:val="000000"/>
          <w:sz w:val="20"/>
          <w:u w:val="single"/>
        </w:rPr>
        <w:t>Appendix A</w:t>
      </w:r>
      <w:r>
        <w:rPr>
          <w:color w:val="000000"/>
        </w:rPr>
        <w:t xml:space="preserve"> </w:t>
      </w:r>
      <w:r>
        <w:rPr>
          <w:rFonts w:ascii="Times New Roman;serif" w:hAnsi="Times New Roman;serif"/>
          <w:b w:val="false"/>
          <w:color w:val="000000"/>
          <w:sz w:val="20"/>
        </w:rPr>
        <w:t>(“</w:t>
      </w:r>
      <w:r>
        <w:rPr>
          <w:rFonts w:ascii="Times New Roman;serif" w:hAnsi="Times New Roman;serif"/>
          <w:b/>
          <w:i/>
          <w:color w:val="000000"/>
          <w:sz w:val="20"/>
        </w:rPr>
        <w:t>Appendix A</w:t>
      </w:r>
      <w:r>
        <w:rPr>
          <w:color w:val="000000"/>
        </w:rPr>
        <w:t>”</w:t>
      </w:r>
      <w:r>
        <w:rPr>
          <w:rFonts w:ascii="Times New Roman;serif" w:hAnsi="Times New Roman;serif"/>
          <w:b w:val="false"/>
          <w:color w:val="000000"/>
          <w:sz w:val="20"/>
        </w:rPr>
        <w:t>) and any terms and conditions for the Participant’s country set forth in Appendix B (“</w:t>
      </w:r>
      <w:r>
        <w:rPr>
          <w:rFonts w:ascii="Times New Roman;serif" w:hAnsi="Times New Roman;serif"/>
          <w:b/>
          <w:i/>
          <w:color w:val="000000"/>
          <w:sz w:val="20"/>
        </w:rPr>
        <w:t>Appendix B</w:t>
      </w:r>
      <w:r>
        <w:rPr>
          <w:color w:val="000000"/>
        </w:rPr>
        <w:t>”</w:t>
      </w:r>
      <w:r>
        <w:rPr>
          <w:rFonts w:ascii="Times New Roman;serif" w:hAnsi="Times New Roman;serif"/>
          <w:b w:val="false"/>
          <w:color w:val="000000"/>
          <w:sz w:val="20"/>
        </w:rPr>
        <w:t xml:space="preserve">). Moreover, if the Participant relocates to one of the countries included in Appendix B, the terms and conditions for such country will apply to the Participant to the extent the Company determines that the application of such terms and conditions is necessary or advisable for legal or administrative reasons. Appendix A and Appendix B constitute part of the Agreement.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24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WESTERN DIGITAL CORPORATION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2021 LONG-TERM INCENTIVE PLAN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AMENDED AND RESTATED NON-EMPLOYEE DIRECTOR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RESTRICTED STOCK UNIT GRANT PROGRAM</w:t>
      </w:r>
    </w:p>
    <w:p>
      <w:pPr>
        <w:pStyle w:val="TextBody"/>
        <w:bidi w:val="0"/>
        <w:spacing w:before="0" w:after="0"/>
        <w:jc w:val="center"/>
        <w:rPr/>
      </w:pPr>
      <w:r>
        <w:rPr/>
      </w:r>
    </w:p>
    <w:p>
      <w:pPr>
        <w:pStyle w:val="TextBody"/>
        <w:bidi w:val="0"/>
        <w:spacing w:lineRule="auto" w:line="268" w:before="0" w:after="240"/>
        <w:jc w:val="both"/>
        <w:rPr/>
      </w:pPr>
      <w:r>
        <w:rPr>
          <w:rFonts w:ascii="Times New Roman;serif" w:hAnsi="Times New Roman;serif"/>
          <w:b/>
          <w:color w:val="000000"/>
          <w:sz w:val="24"/>
        </w:rPr>
        <w:t>1.</w:t>
      </w:r>
      <w:r>
        <w:rPr>
          <w:rFonts w:ascii="Times New Roman;serif" w:hAnsi="Times New Roman;serif"/>
          <w:b/>
          <w:color w:val="000000"/>
          <w:sz w:val="24"/>
          <w:u w:val="single"/>
        </w:rPr>
        <w:t>Establishment</w:t>
      </w:r>
      <w:r>
        <w:rPr>
          <w:rFonts w:ascii="Times New Roman;serif" w:hAnsi="Times New Roman;serif"/>
          <w:b w:val="false"/>
          <w:color w:val="000000"/>
          <w:sz w:val="24"/>
        </w:rPr>
        <w:t>. The Company maintains the Western Digital Corporation Non-Employee Director Restricted Stock Unit Program (the “</w:t>
      </w:r>
      <w:r>
        <w:rPr>
          <w:rFonts w:ascii="Times New Roman;serif" w:hAnsi="Times New Roman;serif"/>
          <w:b/>
          <w:color w:val="000000"/>
          <w:sz w:val="24"/>
        </w:rPr>
        <w:t>Program</w:t>
      </w:r>
      <w:r>
        <w:rPr>
          <w:color w:val="000000"/>
        </w:rPr>
        <w:t>”</w:t>
      </w:r>
      <w:r>
        <w:rPr>
          <w:rFonts w:ascii="Times New Roman;serif" w:hAnsi="Times New Roman;serif"/>
          <w:b w:val="false"/>
          <w:color w:val="000000"/>
          <w:sz w:val="24"/>
        </w:rPr>
        <w:t>), which is hereby amended and restated in its entirety effective as of August 26,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This amendment and restatement of the Program is effective as to grants on and after the Effective Date; awards granted under the Program prior to the Effective Date are governed by the applicable terms of the Program as in effect on the date of grant of the award. Any shares of Common Stock issued with respect to Restricted Stock Unit Awards granted under the Program shall be charged against the applicable share limits of the Western Digital Corporation 2021 Long-Term Incentive Plan, as may be amended and/or restated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For the avoidance of doubt, the grant of a Cash Award, and its subsequent settlement, shall in no event reduce the number of shares of Common Stock available for issuance under the Plan. Except as otherwise expressly provided herein, the provisions of the Plan shall govern all awards made pursuant to the Program. Capitalized terms are defined in the Plan if not defined herein.</w:t>
      </w:r>
    </w:p>
    <w:p>
      <w:pPr>
        <w:pStyle w:val="TextBody"/>
        <w:bidi w:val="0"/>
        <w:spacing w:lineRule="auto" w:line="268" w:before="0" w:after="240"/>
        <w:jc w:val="both"/>
        <w:rPr/>
      </w:pPr>
      <w:r>
        <w:rPr>
          <w:rFonts w:ascii="Times New Roman;serif" w:hAnsi="Times New Roman;serif"/>
          <w:b/>
          <w:color w:val="000000"/>
          <w:sz w:val="24"/>
        </w:rPr>
        <w:t>2.</w:t>
      </w:r>
      <w:r>
        <w:rPr>
          <w:rFonts w:ascii="Times New Roman;serif" w:hAnsi="Times New Roman;serif"/>
          <w:b/>
          <w:color w:val="000000"/>
          <w:sz w:val="24"/>
          <w:u w:val="single"/>
        </w:rPr>
        <w:t>Purpose</w:t>
      </w:r>
      <w:r>
        <w:rPr>
          <w:rFonts w:ascii="Times New Roman;serif" w:hAnsi="Times New Roman;serif"/>
          <w:b w:val="false"/>
          <w:color w:val="000000"/>
          <w:sz w:val="24"/>
        </w:rPr>
        <w:t>. The purpose of the Program is to promote the success of the Company and the interests of its stockholders by providing a means to attract and retain qualified persons who are not officers or employees of the Company or one of its Subsidiaries to serve as members of the Board (“</w:t>
      </w:r>
      <w:r>
        <w:rPr>
          <w:rFonts w:ascii="Times New Roman;serif" w:hAnsi="Times New Roman;serif"/>
          <w:b/>
          <w:color w:val="000000"/>
          <w:sz w:val="24"/>
        </w:rPr>
        <w:t>Non-Employee Directors</w:t>
      </w:r>
      <w:r>
        <w:rPr>
          <w:color w:val="000000"/>
        </w:rPr>
        <w:t>”</w:t>
      </w:r>
      <w:r>
        <w:rPr>
          <w:rFonts w:ascii="Times New Roman;serif" w:hAnsi="Times New Roman;serif"/>
          <w:b w:val="false"/>
          <w:color w:val="000000"/>
          <w:sz w:val="24"/>
        </w:rPr>
        <w:t>) through an opportunity to receive Cash Awards or to acquire an ownership interest in the Company and more closely aligning the interests of Non-Employee Directors and stockholders.</w:t>
      </w:r>
    </w:p>
    <w:p>
      <w:pPr>
        <w:pStyle w:val="TextBody"/>
        <w:bidi w:val="0"/>
        <w:spacing w:lineRule="auto" w:line="268"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Participation</w:t>
      </w:r>
      <w:r>
        <w:rPr>
          <w:rFonts w:ascii="Times New Roman;serif" w:hAnsi="Times New Roman;serif"/>
          <w:b w:val="false"/>
          <w:color w:val="000000"/>
          <w:sz w:val="24"/>
        </w:rPr>
        <w:t xml:space="preserve">. A Restricted Stock Unit Award under the Program shall be made only to Non-Employee Directors, shall be evidenced by a Notice of Award of Restricted Stock Units substantially in the form attached as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hereto and shall be further subject to such other terms and conditions set forth therein. As used in the Program, the term “</w:t>
      </w:r>
      <w:r>
        <w:rPr>
          <w:rFonts w:ascii="Times New Roman;serif" w:hAnsi="Times New Roman;serif"/>
          <w:b/>
          <w:color w:val="000000"/>
          <w:sz w:val="24"/>
        </w:rPr>
        <w:t>Restricted Stock Unit</w:t>
      </w:r>
      <w:r>
        <w:rPr>
          <w:color w:val="000000"/>
        </w:rPr>
        <w:t xml:space="preserve">” </w:t>
      </w:r>
      <w:r>
        <w:rPr>
          <w:rFonts w:ascii="Times New Roman;serif" w:hAnsi="Times New Roman;serif"/>
          <w:b w:val="false"/>
          <w:color w:val="000000"/>
          <w:sz w:val="24"/>
        </w:rPr>
        <w:t>shall mean a non-voting unit of measurement which is deemed for bookkeeping purposes to be equivalent to one outstanding share of Common Stock (subject to adjustment as provided in Section 9 of the Plan) solely for purposes of the Program. Restricted Stock Units shall be used solely as a device for the determination of the number of whole or fractional shares of Common Stock to eventually be delivered to a Non-Employee Director if Restricted Stock Units held by such Non-Employee Director vest pursuant to Section 7 or Section 9. Restricted Stock Units shall not be treated as property or as a trust fund of any kind. Restricted Stock Units granted to a Non-Employee Director pursuant to the Program shall be credited to an unfunded bookkeeping account maintained by the Company on behalf of the Non-Employee Director (a “</w:t>
      </w:r>
      <w:r>
        <w:rPr>
          <w:rFonts w:ascii="Times New Roman;serif" w:hAnsi="Times New Roman;serif"/>
          <w:b/>
          <w:color w:val="000000"/>
          <w:sz w:val="24"/>
        </w:rPr>
        <w:t>Program Account</w:t>
      </w:r>
      <w:r>
        <w:rPr>
          <w:color w:val="000000"/>
        </w:rPr>
        <w:t>”</w:t>
      </w:r>
      <w:r>
        <w:rPr>
          <w:rFonts w:ascii="Times New Roman;serif" w:hAnsi="Times New Roman;serif"/>
          <w:b w:val="false"/>
          <w:color w:val="000000"/>
          <w:sz w:val="24"/>
        </w:rPr>
        <w:t xml:space="preserve">). </w:t>
      </w:r>
    </w:p>
    <w:p>
      <w:pPr>
        <w:pStyle w:val="TextBody"/>
        <w:bidi w:val="0"/>
        <w:spacing w:lineRule="auto" w:line="268" w:before="0" w:after="240"/>
        <w:jc w:val="both"/>
        <w:rPr/>
      </w:pPr>
      <w:r>
        <w:rPr>
          <w:rFonts w:ascii="Times New Roman;serif" w:hAnsi="Times New Roman;serif"/>
          <w:b w:val="false"/>
          <w:color w:val="000000"/>
          <w:sz w:val="24"/>
        </w:rPr>
        <w:t>Notwithstanding anything to the contrary herein, any Non-Employee Director who serves as a member of the Board pursuant to a contractual right of an investor of the Company (an “</w:t>
      </w:r>
      <w:r>
        <w:rPr>
          <w:rFonts w:ascii="Times New Roman;serif" w:hAnsi="Times New Roman;serif"/>
          <w:b/>
          <w:color w:val="000000"/>
          <w:sz w:val="24"/>
        </w:rPr>
        <w:t>Investor Designated Director</w:t>
      </w:r>
      <w:r>
        <w:rPr>
          <w:color w:val="000000"/>
        </w:rPr>
        <w:t>”</w:t>
      </w:r>
      <w:r>
        <w:rPr>
          <w:rFonts w:ascii="Times New Roman;serif" w:hAnsi="Times New Roman;serif"/>
          <w:b w:val="false"/>
          <w:color w:val="000000"/>
          <w:sz w:val="24"/>
        </w:rPr>
        <w:t xml:space="preserve">) shall receive his or her award in the form of a Cash Award in lieu of a Restricted Stock Unit Award. As used in the Program, the term “Cash Award” shall mean an award of cash that is granted under the Plan. A Cash Award under the Program shall be made </w:t>
      </w:r>
    </w:p>
    <w:p>
      <w:pPr>
        <w:pStyle w:val="TextBody"/>
        <w:bidi w:val="0"/>
        <w:spacing w:before="0" w:after="24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4"/>
        </w:rPr>
      </w:pPr>
      <w:r>
        <w:rPr>
          <w:rFonts w:ascii="Times New Roman;serif" w:hAnsi="Times New Roman;serif"/>
          <w:b w:val="false"/>
          <w:color w:val="000000"/>
          <w:sz w:val="24"/>
        </w:rPr>
        <w:t>only to Investor Designated Directors and shall be further subject to such other terms and conditions set forth therein.</w:t>
      </w:r>
    </w:p>
    <w:p>
      <w:pPr>
        <w:pStyle w:val="TextBody"/>
        <w:bidi w:val="0"/>
        <w:spacing w:lineRule="auto" w:line="268" w:before="0" w:after="240"/>
        <w:jc w:val="both"/>
        <w:rPr/>
      </w:pPr>
      <w:r>
        <w:rPr>
          <w:rFonts w:ascii="Times New Roman;serif" w:hAnsi="Times New Roman;serif"/>
          <w:b/>
          <w:color w:val="000000"/>
          <w:sz w:val="24"/>
        </w:rPr>
        <w:t>4.</w:t>
      </w:r>
      <w:r>
        <w:rPr>
          <w:rFonts w:ascii="Times New Roman;serif" w:hAnsi="Times New Roman;serif"/>
          <w:b/>
          <w:color w:val="000000"/>
          <w:sz w:val="24"/>
          <w:u w:val="single"/>
        </w:rPr>
        <w:t>Annual Restricted Stock Unit Awards.</w:t>
      </w:r>
    </w:p>
    <w:p>
      <w:pPr>
        <w:pStyle w:val="TextBody"/>
        <w:bidi w:val="0"/>
        <w:spacing w:lineRule="auto" w:line="268" w:before="0" w:after="240"/>
        <w:jc w:val="both"/>
        <w:rPr/>
      </w:pPr>
      <w:r>
        <w:rPr>
          <w:rFonts w:ascii="Times New Roman;serif" w:hAnsi="Times New Roman;serif"/>
          <w:b/>
          <w:color w:val="000000"/>
          <w:sz w:val="24"/>
        </w:rPr>
        <w:t>4.1</w:t>
      </w:r>
      <w:r>
        <w:rPr>
          <w:rFonts w:ascii="Times New Roman;serif" w:hAnsi="Times New Roman;serif"/>
          <w:b/>
          <w:i/>
          <w:color w:val="000000"/>
          <w:sz w:val="24"/>
        </w:rPr>
        <w:t>Annual Awards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On the date of and immediately following the Company’s regular annual meeting of stockholders in each year during the term of the Plan commencing with 2021, each Non-Employee Director who is not an Investor Designated Director then in office shall be granted automatically (without any action by the Board or the Administrator) a Restricted Stock Unit Award with respect to a number (rounded down to the nearest whole number) of Restricted Stock Units equal to (i) $240,000 ($290,000 in the case of a Non-Employee Director then serving as Chair of the Board and $280,000 in the case of a Non-Employee Director then serving as Lead Independent Director), divided by (ii) the 20-day trailing average of the closing prices (in regular trading) of a share of Common Stock on The Nasdaq Stock Market prior to, and exclusive of, the applicable annual meeting date (subject to adjustment as provided in Section 9 of the Plan). An individual who was previously a member of the Board, who then ceased to be a member of the Board for any reason, and who then again becomes a Non-Employee Director shall thereupon again become eligible to be granted Restricted Stock Units under this Section 4.1.</w:t>
      </w:r>
    </w:p>
    <w:p>
      <w:pPr>
        <w:pStyle w:val="TextBody"/>
        <w:bidi w:val="0"/>
        <w:spacing w:lineRule="auto" w:line="268" w:before="0" w:after="240"/>
        <w:jc w:val="both"/>
        <w:rPr/>
      </w:pPr>
      <w:r>
        <w:rPr>
          <w:rFonts w:ascii="Times New Roman;serif" w:hAnsi="Times New Roman;serif"/>
          <w:b/>
          <w:color w:val="000000"/>
          <w:sz w:val="24"/>
        </w:rPr>
        <w:t>4.2</w:t>
      </w:r>
      <w:r>
        <w:rPr>
          <w:rFonts w:ascii="Times New Roman;serif" w:hAnsi="Times New Roman;serif"/>
          <w:b/>
          <w:i/>
          <w:color w:val="000000"/>
          <w:sz w:val="24"/>
        </w:rPr>
        <w:t>Initial Award for New Directors</w:t>
      </w:r>
      <w:r>
        <w:rPr>
          <w:rFonts w:ascii="Times New Roman;serif" w:hAnsi="Times New Roman;serif"/>
          <w:b w:val="false"/>
          <w:color w:val="000000"/>
          <w:sz w:val="24"/>
        </w:rPr>
        <w:t xml:space="preserve">. Upon first being appointed or elected to the Board, a Non-Employee Director who is not an Investor Designated Director and who has not previously served on the Board shall be granted automatically (without any action by the Board or the Administrator) a Restricted Stock Unit Award with respect to a number of Restricted Stock Units equal to (i) the number of Restricted Stock Units in the annual Restricted Stock Unit Award immediately preceding the date such Non-Employee Director is first appointed or elected to the Board, divided by (ii) 365, multiplied by (iii) the number of days from the date such Non-Employee Director is first appointed or elected to the Board to the scheduled date of the Company’s next annual meeting of stockholders. </w:t>
      </w:r>
    </w:p>
    <w:p>
      <w:pPr>
        <w:pStyle w:val="TextBody"/>
        <w:bidi w:val="0"/>
        <w:spacing w:lineRule="auto" w:line="268" w:before="0" w:after="240"/>
        <w:jc w:val="both"/>
        <w:rPr/>
      </w:pPr>
      <w:r>
        <w:rPr>
          <w:rFonts w:ascii="Times New Roman;serif" w:hAnsi="Times New Roman;serif"/>
          <w:b/>
          <w:color w:val="000000"/>
          <w:sz w:val="24"/>
        </w:rPr>
        <w:t>4.3</w:t>
      </w:r>
      <w:r>
        <w:rPr>
          <w:rFonts w:ascii="Times New Roman;serif" w:hAnsi="Times New Roman;serif"/>
          <w:b/>
          <w:i/>
          <w:color w:val="000000"/>
          <w:sz w:val="24"/>
        </w:rPr>
        <w:t>Transfer Restrictions</w:t>
      </w:r>
      <w:r>
        <w:rPr>
          <w:rFonts w:ascii="Times New Roman;serif" w:hAnsi="Times New Roman;serif"/>
          <w:b/>
          <w:color w:val="000000"/>
          <w:sz w:val="24"/>
        </w:rPr>
        <w:t xml:space="preserve">. </w:t>
      </w:r>
      <w:r>
        <w:rPr>
          <w:rFonts w:ascii="Times New Roman;serif" w:hAnsi="Times New Roman;serif"/>
          <w:b w:val="false"/>
          <w:color w:val="000000"/>
          <w:sz w:val="24"/>
        </w:rPr>
        <w:t xml:space="preserve">Restricted Stock Units granted pursuant to this Section 4 shall be non-transferable and shall not be subject in any manner to sale, transfer, anticipation, alienation, assignment, pledge, encumbrance or charge and any shares of Common Stock issuable pursuant to the Restricted Stock Units shall be delivered only to (or for the account of) the Non-Employee Director to whom such Restricted Stock Units were granted. </w:t>
      </w:r>
    </w:p>
    <w:p>
      <w:pPr>
        <w:pStyle w:val="TextBody"/>
        <w:bidi w:val="0"/>
        <w:spacing w:lineRule="auto" w:line="268"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Annual Cash Awards</w:t>
      </w:r>
      <w:r>
        <w:rPr>
          <w:rFonts w:ascii="Times New Roman;serif" w:hAnsi="Times New Roman;serif"/>
          <w:b w:val="false"/>
          <w:color w:val="000000"/>
          <w:sz w:val="24"/>
        </w:rPr>
        <w:t xml:space="preserve">. </w:t>
      </w:r>
    </w:p>
    <w:p>
      <w:pPr>
        <w:pStyle w:val="TextBody"/>
        <w:bidi w:val="0"/>
        <w:spacing w:lineRule="auto" w:line="268" w:before="0" w:after="240"/>
        <w:jc w:val="both"/>
        <w:rPr/>
      </w:pPr>
      <w:r>
        <w:rPr>
          <w:rFonts w:ascii="Times New Roman;serif" w:hAnsi="Times New Roman;serif"/>
          <w:b/>
          <w:color w:val="000000"/>
          <w:sz w:val="24"/>
        </w:rPr>
        <w:t>5.1</w:t>
      </w:r>
      <w:r>
        <w:rPr>
          <w:color w:val="000000"/>
        </w:rPr>
        <w:t xml:space="preserve"> </w:t>
      </w:r>
      <w:r>
        <w:rPr>
          <w:rFonts w:ascii="Times New Roman;serif" w:hAnsi="Times New Roman;serif"/>
          <w:b/>
          <w:i/>
          <w:color w:val="000000"/>
          <w:sz w:val="24"/>
        </w:rPr>
        <w:t>Annual Awards</w:t>
      </w:r>
      <w:r>
        <w:rPr>
          <w:rFonts w:ascii="Times New Roman;serif" w:hAnsi="Times New Roman;serif"/>
          <w:b w:val="false"/>
          <w:color w:val="000000"/>
          <w:sz w:val="24"/>
        </w:rPr>
        <w:t xml:space="preserve">. On the date of and immediately following the Company’s regular annual meeting of stockholders in each year during the term of the Plan commencing with 2023, each Investor Designated Director then in office shall be granted automatically (without any action by the Board or the Administrator) a Cash Award with a value equal to $240,000 ($290,000 in the case of an Investor Designated Director then serving as Chair of the Board and $280,000 in the case of an Investor Designated Director then serving as Lead Independent Director). An individual who was previously a member of the Board, who then ceased to be a member of the Board for any reason, and </w:t>
      </w:r>
    </w:p>
    <w:p>
      <w:pPr>
        <w:pStyle w:val="TextBody"/>
        <w:bidi w:val="0"/>
        <w:spacing w:before="0" w:after="24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4"/>
        </w:rPr>
      </w:pPr>
      <w:r>
        <w:rPr>
          <w:rFonts w:ascii="Times New Roman;serif" w:hAnsi="Times New Roman;serif"/>
          <w:b w:val="false"/>
          <w:color w:val="000000"/>
          <w:sz w:val="24"/>
        </w:rPr>
        <w:t>who then again becomes an Investor Designated Director shall thereupon again become eligible to be granted a Cash Award under this Section 5.1.</w:t>
      </w:r>
    </w:p>
    <w:p>
      <w:pPr>
        <w:pStyle w:val="TextBody"/>
        <w:bidi w:val="0"/>
        <w:spacing w:lineRule="auto" w:line="268" w:before="0" w:after="240"/>
        <w:jc w:val="both"/>
        <w:rPr/>
      </w:pPr>
      <w:r>
        <w:rPr>
          <w:rFonts w:ascii="Times New Roman;serif" w:hAnsi="Times New Roman;serif"/>
          <w:b/>
          <w:color w:val="000000"/>
          <w:sz w:val="24"/>
        </w:rPr>
        <w:t>5.2</w:t>
      </w:r>
      <w:r>
        <w:rPr>
          <w:rFonts w:ascii="Times New Roman;serif" w:hAnsi="Times New Roman;serif"/>
          <w:b/>
          <w:i/>
          <w:color w:val="000000"/>
          <w:sz w:val="24"/>
        </w:rPr>
        <w:t>Initial Award for New Directors</w:t>
      </w:r>
      <w:r>
        <w:rPr>
          <w:rFonts w:ascii="Times New Roman;serif" w:hAnsi="Times New Roman;serif"/>
          <w:b w:val="false"/>
          <w:color w:val="000000"/>
          <w:sz w:val="24"/>
        </w:rPr>
        <w:t>. Upon first being appointed or elected to the Board, an Investor Designated Director who has not previously served on the Board shall be granted automatically (without any action by the Board or the Administrator) a Cash Award in an amount equal to (i) $240,000 ($290,000 in the case of an Investor Designated Director then serving as Chair of the Board and $280,000 in the case of an Investor Designated Director then serving as Lead Independent Director) divided by (ii) 365, multiplied by (iii) the number of days from the date such Investor Designated Director is first appointed or elected to the Board to the scheduled date of the Company’s next annual meeting of stockholders.</w:t>
      </w:r>
    </w:p>
    <w:p>
      <w:pPr>
        <w:pStyle w:val="TextBody"/>
        <w:bidi w:val="0"/>
        <w:spacing w:lineRule="auto" w:line="268" w:before="0" w:after="240"/>
        <w:jc w:val="both"/>
        <w:rPr/>
      </w:pPr>
      <w:r>
        <w:rPr>
          <w:rFonts w:ascii="Times New Roman;serif" w:hAnsi="Times New Roman;serif"/>
          <w:b/>
          <w:color w:val="000000"/>
          <w:sz w:val="24"/>
        </w:rPr>
        <w:t>5.3</w:t>
      </w:r>
      <w:r>
        <w:rPr>
          <w:rFonts w:ascii="Times New Roman;serif" w:hAnsi="Times New Roman;serif"/>
          <w:b/>
          <w:i/>
          <w:color w:val="000000"/>
          <w:sz w:val="24"/>
        </w:rPr>
        <w:t>Transfer Restrictions</w:t>
      </w:r>
      <w:r>
        <w:rPr>
          <w:rFonts w:ascii="Times New Roman;serif" w:hAnsi="Times New Roman;serif"/>
          <w:b/>
          <w:color w:val="000000"/>
          <w:sz w:val="24"/>
        </w:rPr>
        <w:t xml:space="preserve">. </w:t>
      </w:r>
      <w:r>
        <w:rPr>
          <w:rFonts w:ascii="Times New Roman;serif" w:hAnsi="Times New Roman;serif"/>
          <w:b w:val="false"/>
          <w:color w:val="000000"/>
          <w:sz w:val="24"/>
        </w:rPr>
        <w:t xml:space="preserve">Cash Awards granted pursuant to this Section 5 shall be non-transferable and shall not be subject in any manner to sale, transfer, anticipation, alienation, assignment, pledge, encumbrance or charge and any cash payable pursuant to the Cash Award shall be delivered only to the Investor Designated Director to whom such Cash Award was granted, or his or her designee, if applicable. </w:t>
      </w:r>
    </w:p>
    <w:p>
      <w:pPr>
        <w:pStyle w:val="TextBody"/>
        <w:bidi w:val="0"/>
        <w:spacing w:lineRule="auto" w:line="26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Dividend and Voting Rights</w:t>
      </w:r>
      <w:r>
        <w:rPr>
          <w:rFonts w:ascii="Times New Roman;serif" w:hAnsi="Times New Roman;serif"/>
          <w:b w:val="false"/>
          <w:color w:val="000000"/>
          <w:sz w:val="24"/>
        </w:rPr>
        <w:t>.</w:t>
      </w:r>
    </w:p>
    <w:p>
      <w:pPr>
        <w:pStyle w:val="TextBody"/>
        <w:bidi w:val="0"/>
        <w:spacing w:lineRule="auto" w:line="268" w:before="0" w:after="240"/>
        <w:jc w:val="both"/>
        <w:rPr/>
      </w:pPr>
      <w:r>
        <w:rPr>
          <w:rFonts w:ascii="Times New Roman;serif" w:hAnsi="Times New Roman;serif"/>
          <w:b/>
          <w:color w:val="000000"/>
          <w:sz w:val="24"/>
        </w:rPr>
        <w:t>6.1</w:t>
      </w:r>
      <w:r>
        <w:rPr>
          <w:rFonts w:ascii="Times New Roman;serif" w:hAnsi="Times New Roman;serif"/>
          <w:b/>
          <w:i/>
          <w:color w:val="000000"/>
          <w:sz w:val="24"/>
        </w:rPr>
        <w:t>Limitation of Rights Associated with Restricted Stock Units</w:t>
      </w:r>
      <w:r>
        <w:rPr>
          <w:rFonts w:ascii="Times New Roman;serif" w:hAnsi="Times New Roman;serif"/>
          <w:b w:val="false"/>
          <w:color w:val="000000"/>
          <w:sz w:val="24"/>
        </w:rPr>
        <w:t>. A Non-Employee Director shall have no rights as a stockholder of the Company, no dividend rights (except as expressly provided in Section 6.2 with respect to dividend equivalent rights) and no voting rights, with respect to Restricted Stock Units granted pursuant to the Program and any shares of Common Stock underlying or issuable in respect of such Restricted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pStyle w:val="TextBody"/>
        <w:bidi w:val="0"/>
        <w:spacing w:lineRule="auto" w:line="268" w:before="0" w:after="240"/>
        <w:jc w:val="both"/>
        <w:rPr/>
      </w:pPr>
      <w:r>
        <w:rPr>
          <w:rFonts w:ascii="Times New Roman;serif" w:hAnsi="Times New Roman;serif"/>
          <w:b/>
          <w:color w:val="000000"/>
          <w:sz w:val="24"/>
        </w:rPr>
        <w:t>6.2</w:t>
      </w:r>
      <w:r>
        <w:rPr>
          <w:rFonts w:ascii="Times New Roman;serif" w:hAnsi="Times New Roman;serif"/>
          <w:b/>
          <w:i/>
          <w:color w:val="000000"/>
          <w:sz w:val="24"/>
        </w:rPr>
        <w:t>Dividend Equivalent Rights</w:t>
      </w:r>
      <w:r>
        <w:rPr>
          <w:rFonts w:ascii="Times New Roman;serif" w:hAnsi="Times New Roman;serif"/>
          <w:b w:val="false"/>
          <w:color w:val="000000"/>
          <w:sz w:val="24"/>
        </w:rPr>
        <w:t xml:space="preserve">. As of any date that the Company pays a dividend (other than in shares of Common Stock) upon issued and outstanding Common Stock, or makes a distribution (other than in shares of Common Stock) with respect thereto, a Non-Employee Director’s Program Account shall be credited with an additional number of whole and/or fractional Restricted Stock Units equal to (i) the “fair value” of any dividend (or other distribution) with respect to one share of Common Stock, multiplied by (ii) the number of unpaid Restricted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Restricted Stock Units credited pursuant to the foregoing provisions of this Section 6.2 shall be subject to the same vesting, payment and other terms, conditions and restrictions as the original Restricted Stock Units to which they relate. No adjustment shall be made pursuant to Section 9 of the Plan as to Restricted Stock Units granted pursuant to the Program in connection with any dividend (other than in shares of Common Stock) or distribution </w:t>
      </w:r>
    </w:p>
    <w:p>
      <w:pPr>
        <w:pStyle w:val="TextBody"/>
        <w:bidi w:val="0"/>
        <w:spacing w:before="0" w:after="24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than in shares of Common Stock) for which dividend equivalents are credited pursuant to the foregoing provisions of this Section 6.2. Restricted Stock Units granted pursuant to the Program shall otherwise be subject to adjustment pursuant to Section 9 of the Plan (for example, and without limitation, in connection with a split or reverse split of the outstanding Common Stock). </w:t>
      </w:r>
    </w:p>
    <w:p>
      <w:pPr>
        <w:pStyle w:val="TextBody"/>
        <w:bidi w:val="0"/>
        <w:spacing w:lineRule="auto" w:line="268" w:before="0" w:after="240"/>
        <w:jc w:val="both"/>
        <w:rPr/>
      </w:pPr>
      <w:r>
        <w:rPr>
          <w:rFonts w:ascii="Times New Roman;serif" w:hAnsi="Times New Roman;serif"/>
          <w:b/>
          <w:color w:val="000000"/>
          <w:sz w:val="24"/>
        </w:rPr>
        <w:t>7.</w:t>
      </w:r>
      <w:r>
        <w:rPr>
          <w:rFonts w:ascii="Times New Roman;serif" w:hAnsi="Times New Roman;serif"/>
          <w:b/>
          <w:color w:val="000000"/>
          <w:sz w:val="24"/>
          <w:u w:val="single"/>
        </w:rPr>
        <w:t>Vesting</w:t>
      </w:r>
      <w:r>
        <w:rPr>
          <w:rFonts w:ascii="Times New Roman;serif" w:hAnsi="Times New Roman;serif"/>
          <w:b w:val="false"/>
          <w:color w:val="000000"/>
          <w:sz w:val="24"/>
        </w:rPr>
        <w:t>. Subject to Section 9 hereof and Section 9 of the Plan, a Restricted Stock Unit Award or Cash Award granted to a Non-Employee Director pursuant to the Program (whether pursuant to Section 4, Section 5 or Section 6.2) (an “</w:t>
      </w:r>
      <w:r>
        <w:rPr>
          <w:rFonts w:ascii="Times New Roman;serif" w:hAnsi="Times New Roman;serif"/>
          <w:b/>
          <w:color w:val="000000"/>
          <w:sz w:val="24"/>
        </w:rPr>
        <w:t>Award</w:t>
      </w:r>
      <w:r>
        <w:rPr>
          <w:color w:val="000000"/>
        </w:rPr>
        <w:t>”</w:t>
      </w:r>
      <w:r>
        <w:rPr>
          <w:rFonts w:ascii="Times New Roman;serif" w:hAnsi="Times New Roman;serif"/>
          <w:b w:val="false"/>
          <w:color w:val="000000"/>
          <w:sz w:val="24"/>
        </w:rPr>
        <w:t>) shall vest and become payable as to 100% of the total number of Restricted Stock Units or cash, as applicable, subject thereto on the first to occur of (i) the first anniversary of the date of grant of the Award or (ii) immediately prior to the Company’s first regular meeting of stockholders following the date of grant of the Award.</w:t>
      </w:r>
    </w:p>
    <w:p>
      <w:pPr>
        <w:pStyle w:val="TextBody"/>
        <w:bidi w:val="0"/>
        <w:spacing w:lineRule="auto" w:line="268" w:before="0" w:after="240"/>
        <w:jc w:val="both"/>
        <w:rPr/>
      </w:pPr>
      <w:r>
        <w:rPr>
          <w:rFonts w:ascii="Times New Roman;serif" w:hAnsi="Times New Roman;serif"/>
          <w:b/>
          <w:color w:val="000000"/>
          <w:sz w:val="24"/>
        </w:rPr>
        <w:t>8.</w:t>
      </w:r>
      <w:r>
        <w:rPr>
          <w:rFonts w:ascii="Times New Roman;serif" w:hAnsi="Times New Roman;serif"/>
          <w:b/>
          <w:color w:val="000000"/>
          <w:sz w:val="24"/>
          <w:u w:val="single"/>
        </w:rPr>
        <w:t>Continuation of Services</w:t>
      </w:r>
      <w:r>
        <w:rPr>
          <w:rFonts w:ascii="Times New Roman;serif" w:hAnsi="Times New Roman;serif"/>
          <w:b w:val="false"/>
          <w:color w:val="000000"/>
          <w:sz w:val="24"/>
        </w:rPr>
        <w:t>. The vesting schedule requires continued service through each applicable vesting date as a condition to the vesting of the applicable installment of an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9 below. Nothing contained in the Program constitutes a continued service commitment by the Company, confers upon a Non-Employee Director any right to remain in service to the Company, interferes with the right of the Company at any time to terminate such service, or affects the right of the Company to increase or decrease a Non-Employee Director’s other compensation.</w:t>
      </w:r>
    </w:p>
    <w:p>
      <w:pPr>
        <w:pStyle w:val="TextBody"/>
        <w:bidi w:val="0"/>
        <w:spacing w:lineRule="auto" w:line="268" w:before="0" w:after="240"/>
        <w:jc w:val="both"/>
        <w:rPr/>
      </w:pPr>
      <w:r>
        <w:rPr>
          <w:rFonts w:ascii="Times New Roman;serif" w:hAnsi="Times New Roman;serif"/>
          <w:b/>
          <w:color w:val="000000"/>
          <w:sz w:val="24"/>
        </w:rPr>
        <w:t>9.</w:t>
      </w:r>
      <w:r>
        <w:rPr>
          <w:rFonts w:ascii="Times New Roman;serif" w:hAnsi="Times New Roman;serif"/>
          <w:b/>
          <w:color w:val="000000"/>
          <w:sz w:val="24"/>
          <w:u w:val="single"/>
        </w:rPr>
        <w:t>Termination of Directorship</w:t>
      </w:r>
      <w:r>
        <w:rPr>
          <w:rFonts w:ascii="Times New Roman;serif" w:hAnsi="Times New Roman;serif"/>
          <w:b w:val="false"/>
          <w:color w:val="000000"/>
          <w:sz w:val="24"/>
        </w:rPr>
        <w:t>. Subject to earlier termination pursuant to Section 9 of the Plan, if a Non-Employee Director incurs a Separation from Service (as defined below) for any reason, the following rules shall apply with respect to any Award granted to the Non-Employee Director pursuant to Section 4 or 5 above:</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4"/>
        </w:rPr>
        <w:t>other than as expressly provided below in this Section 9, all Awards granted to the Non-Employee Director pursuant to the Program that have not vested as of the Non-Employee Director’s Separation from Service, shall immediately terminate without payment therefor;</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4"/>
        </w:rPr>
        <w:t>if the Non-Employee Director’s Separation from Service occurs due to his or her death or Disability (as defined below), all Awards granted to the Non-Employee Director pursuant to the Program shall immediately vest and become payable as provided in Section 10 below; and</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4"/>
        </w:rPr>
        <w:t>if the Non-Employee Director ceases to be a member of the Board due to his or her Removal (as defined below), all then-unvested Awards granted to the Non-Employee Director pursuant to the Program shall immediately terminate without payment therefor.</w:t>
      </w:r>
    </w:p>
    <w:p>
      <w:pPr>
        <w:pStyle w:val="TextBody"/>
        <w:bidi w:val="0"/>
        <w:spacing w:lineRule="auto" w:line="268" w:before="0" w:after="240"/>
        <w:ind w:left="0" w:right="0" w:firstLine="720"/>
        <w:jc w:val="both"/>
        <w:rPr/>
      </w:pPr>
      <w:r>
        <w:rPr>
          <w:rFonts w:ascii="Times New Roman;serif" w:hAnsi="Times New Roman;serif"/>
          <w:b w:val="false"/>
          <w:color w:val="000000"/>
          <w:sz w:val="24"/>
        </w:rPr>
        <w:t>For purposes of this Section 9, the term “</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 xml:space="preserve">shall mean a period of disability during which a Non-Employee Director qualified for permanent disability benefits under the Company’s long-term disability plan, or, if the Non-Employee Director does not participate in such a plan, a period of disability during which the Non-Employee Director would have qualified for permanent disability benefits under such a plan had the Non-Employee Director been a </w:t>
      </w:r>
    </w:p>
    <w:p>
      <w:pPr>
        <w:pStyle w:val="TextBody"/>
        <w:bidi w:val="0"/>
        <w:spacing w:before="0" w:after="24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240"/>
        <w:jc w:val="both"/>
        <w:rPr/>
      </w:pPr>
      <w:r>
        <w:rPr>
          <w:rFonts w:ascii="Times New Roman;serif" w:hAnsi="Times New Roman;serif"/>
          <w:b w:val="false"/>
          <w:color w:val="000000"/>
          <w:sz w:val="24"/>
        </w:rPr>
        <w:t>participant in such a plan, as determined in the sole discretion of the Administrator. If the Company does not sponsor such a plan, or discontinues to sponsor such a plan, Disability shall be determined by the Administrator in its sole discretion. For purposes of this Section 9, the term “</w:t>
      </w:r>
      <w:r>
        <w:rPr>
          <w:rFonts w:ascii="Times New Roman;serif" w:hAnsi="Times New Roman;serif"/>
          <w:b/>
          <w:color w:val="000000"/>
          <w:sz w:val="24"/>
        </w:rPr>
        <w:t>Removal</w:t>
      </w:r>
      <w:r>
        <w:rPr>
          <w:color w:val="000000"/>
        </w:rPr>
        <w:t xml:space="preserve">” </w:t>
      </w:r>
      <w:r>
        <w:rPr>
          <w:rFonts w:ascii="Times New Roman;serif" w:hAnsi="Times New Roman;serif"/>
          <w:b w:val="false"/>
          <w:color w:val="000000"/>
          <w:sz w:val="24"/>
        </w:rPr>
        <w:t>shall mean the removal of a Non-Employee Director from the Board, with or without cause, in accordance with the Company’s Certificate of Incorporation, Bylaws or the Delaware General Corporation Law. For purposes of this Section 9, the term “</w:t>
      </w:r>
      <w:r>
        <w:rPr>
          <w:rFonts w:ascii="Times New Roman;serif" w:hAnsi="Times New Roman;serif"/>
          <w:b/>
          <w:color w:val="000000"/>
          <w:sz w:val="24"/>
        </w:rPr>
        <w:t>Separation from Service</w:t>
      </w:r>
      <w:r>
        <w:rPr>
          <w:rFonts w:ascii="Times New Roman;serif" w:hAnsi="Times New Roman;serif"/>
          <w:b w:val="false"/>
          <w:color w:val="000000"/>
          <w:sz w:val="24"/>
        </w:rPr>
        <w:t>,” with respect to a Non-Employee Director, shall mean the date the Non-Employee Director ceases to be a member of the Board (regardless of the reason); provided, however, that if the Non-Employee Director is immediately thereafter employed by the Company or one of its Subsidiaries, such director’s Separation from Service shall be the date such director incurs a “separation from service” as such term is defined for purposes of Section 409A of the Code.</w:t>
      </w:r>
    </w:p>
    <w:p>
      <w:pPr>
        <w:pStyle w:val="TextBody"/>
        <w:bidi w:val="0"/>
        <w:spacing w:lineRule="auto" w:line="268" w:before="0" w:after="240"/>
        <w:jc w:val="both"/>
        <w:rPr/>
      </w:pPr>
      <w:r>
        <w:rPr>
          <w:rFonts w:ascii="Times New Roman;serif" w:hAnsi="Times New Roman;serif"/>
          <w:b/>
          <w:color w:val="000000"/>
          <w:sz w:val="24"/>
        </w:rPr>
        <w:t>10.</w:t>
      </w:r>
      <w:r>
        <w:rPr>
          <w:rFonts w:ascii="Times New Roman;serif" w:hAnsi="Times New Roman;serif"/>
          <w:b/>
          <w:color w:val="000000"/>
          <w:sz w:val="24"/>
          <w:u w:val="single"/>
        </w:rPr>
        <w:t>Timing and Manner of Payment of Awards</w:t>
      </w:r>
      <w:r>
        <w:rPr>
          <w:rFonts w:ascii="Times New Roman;serif" w:hAnsi="Times New Roman;serif"/>
          <w:b w:val="false"/>
          <w:color w:val="000000"/>
          <w:sz w:val="24"/>
        </w:rPr>
        <w:t>. Except as provided in Section 11 below, on or within thirty (30) business days following the first to occur of (i) the first anniversary of the date of grant of the Award, or (ii) the Non-Employee Director’s Separation from Service, the Company shall deliver to the Non-Employee Director a number of shares of Common Stock (either by delivering one or more certificates for such shares or by entering such shares in book entry form, as determined by the Company in its sole discretion) equal to the number of Restricted Stock Units (if any), or an amount in cash, as applicable, that vested with respect to the corresponding Award in accordance with the provisions hereof, subject to adjustment as provided in Section 9 of the Plan; provided, however, that, to the extent permitted by the Company’s Amended and Restated Deferred Compensation Plan, as it may be amended from time to time (the “</w:t>
      </w:r>
      <w:r>
        <w:rPr>
          <w:rFonts w:ascii="Times New Roman;serif" w:hAnsi="Times New Roman;serif"/>
          <w:b/>
          <w:color w:val="000000"/>
          <w:sz w:val="24"/>
        </w:rPr>
        <w:t>Deferred Compensation Plan</w:t>
      </w:r>
      <w:r>
        <w:rPr>
          <w:color w:val="000000"/>
        </w:rPr>
        <w:t>”</w:t>
      </w:r>
      <w:r>
        <w:rPr>
          <w:rFonts w:ascii="Times New Roman;serif" w:hAnsi="Times New Roman;serif"/>
          <w:b w:val="false"/>
          <w:color w:val="000000"/>
          <w:sz w:val="24"/>
        </w:rPr>
        <w:t>), a Non-Employee Director may elect to defer receipt of any or all shares of Common Stock payable, or cash payable, as applicable, with respect to an Award that vests pursuant to the Program. Such elections shall be made, and any such deferral shall be effected and administered, in accordance with the Deferred Compensation Plan. The Company’s obligation to deliver shares of Common Stock or cash, as applicable, with respect to a vested Award is subject to the condition precedent that the Non-Employee Director (or other person entitled under the Plan to receive shares of Common Stock or cash, as applicable, with respect to the vested Award) deliver to the Company any representations or other documents or assurances the Company may require with respect to compliance with applicable laws. A Non-Employee Director shall have no further rights with respect to any Restricted Stock Units that are paid or that are terminated pursuant to Section 9 hereof or Section 9 of the Plan, and such Restricted Stock Units shall be removed from the Non-Employee Director’s Program Account upon the date of such payment or termination.</w:t>
      </w:r>
    </w:p>
    <w:p>
      <w:pPr>
        <w:pStyle w:val="TextBody"/>
        <w:bidi w:val="0"/>
        <w:spacing w:lineRule="auto" w:line="268" w:before="0" w:after="240"/>
        <w:jc w:val="both"/>
        <w:rPr/>
      </w:pPr>
      <w:r>
        <w:rPr>
          <w:rFonts w:ascii="Times New Roman;serif" w:hAnsi="Times New Roman;serif"/>
          <w:b/>
          <w:color w:val="000000"/>
          <w:sz w:val="24"/>
        </w:rPr>
        <w:t>11.</w:t>
      </w:r>
      <w:r>
        <w:rPr>
          <w:rFonts w:ascii="Times New Roman;serif" w:hAnsi="Times New Roman;serif"/>
          <w:b/>
          <w:color w:val="000000"/>
          <w:sz w:val="24"/>
          <w:u w:val="single"/>
        </w:rPr>
        <w:t>Change in Control Events</w:t>
      </w:r>
      <w:r>
        <w:rPr>
          <w:rFonts w:ascii="Times New Roman;serif" w:hAnsi="Times New Roman;serif"/>
          <w:b w:val="false"/>
          <w:color w:val="000000"/>
          <w:sz w:val="24"/>
        </w:rPr>
        <w:t xml:space="preserve">. An Award may vest and become payable in connection with the occurrence of certain events involving the Company as provided for in Section 9 of the Plan; provided, however, that, notwithstanding anything to the contrary in the Program or the Plan, if the event giving rise to such accelerated vesting is not also a “change in the ownership or effective control” of the Company or a “change in the ownership of a substantial portion of the assets” of the Company for purposes of Section 409A of the Code, or an acceleration of payment of the Award would otherwise result in any tax liability pursuant to Section 409A of the Code, then payment with respect to such vested Award shall not be made until such Award would have become vested and payable without regard to this Section 11 or Section 9 of the Plan. </w:t>
      </w:r>
    </w:p>
    <w:p>
      <w:pPr>
        <w:pStyle w:val="TextBody"/>
        <w:bidi w:val="0"/>
        <w:spacing w:lineRule="auto" w:line="268" w:before="0" w:after="240"/>
        <w:jc w:val="both"/>
        <w:rPr/>
      </w:pPr>
      <w:r>
        <w:rPr>
          <w:rFonts w:ascii="Times New Roman;serif" w:hAnsi="Times New Roman;serif"/>
          <w:b/>
          <w:color w:val="000000"/>
          <w:sz w:val="24"/>
        </w:rPr>
        <w:t>12.</w:t>
      </w:r>
      <w:r>
        <w:rPr>
          <w:rFonts w:ascii="Times New Roman;serif" w:hAnsi="Times New Roman;serif"/>
          <w:b/>
          <w:color w:val="000000"/>
          <w:sz w:val="24"/>
          <w:u w:val="single"/>
        </w:rPr>
        <w:t>Plan Provisions; Maximum Number of Shares; Amendment; Administration; Construction</w:t>
      </w:r>
      <w:r>
        <w:rPr>
          <w:rFonts w:ascii="Times New Roman;serif" w:hAnsi="Times New Roman;serif"/>
          <w:b w:val="false"/>
          <w:color w:val="000000"/>
          <w:sz w:val="24"/>
        </w:rPr>
        <w:t xml:space="preserve">. Awards granted under the Program shall otherwise be subject to the terms of the </w:t>
      </w:r>
    </w:p>
    <w:p>
      <w:pPr>
        <w:pStyle w:val="TextBody"/>
        <w:bidi w:val="0"/>
        <w:spacing w:before="0" w:after="24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4"/>
        </w:rPr>
      </w:pPr>
      <w:r>
        <w:rPr>
          <w:rFonts w:ascii="Times New Roman;serif" w:hAnsi="Times New Roman;serif"/>
          <w:b w:val="false"/>
          <w:color w:val="000000"/>
          <w:sz w:val="24"/>
        </w:rPr>
        <w:t>Plan (including, without limitation, the provisions of Section 9 of the Plan). If Restricted Stock Unit Awards otherwise required pursuant to the Program would otherwise exceed any applicable share limit under Section 3(a)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an Award granted under the Program before the adoption of such amendment. The Board may amend, modify, suspend or terminate outstanding Awards; provided, however, that outstanding Awards shall not be amended, modified, suspended or terminated so as to impair any rights of the recipient of the Award without the consent of such recipient. If any such amendment or modification to an outstanding Award has the result of accelerating the vesting of such Award, then any election that had been made to defer receipt of payment with respect to all or any portion of the Award pursuant to the Deferred Compensation Plan shall be disregarded. The Program does not limit the Board’s authority to make other, discretionary grants of Awards to Non-Employee Directors pursuant to the Plan. The Administrator’s power and authority to construe and interpret the Plan and Awards thereunder pursuant to Section 2 of the Plan shall extend to the Program and Awards granted hereunder. As provided in Section 2(f) of the Plan, all determinations, interpretations and constructions made by the Administrator in good faith will not be subject to review by any person and will be final, binding and conclusive on all persons. It is intended that the terms of the Program and all Awards granted under the Program will not result in the imposition of any tax liability pursuant to Section 409A of the Code. The Program and all Awards granted hereunder shall be construed and interpreted consistent with that intent.</w:t>
      </w:r>
    </w:p>
    <w:p>
      <w:pPr>
        <w:pStyle w:val="TextBody"/>
        <w:bidi w:val="0"/>
        <w:spacing w:lineRule="auto" w:line="26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WESTERN DIGITAL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AMENDED AND RESTATED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2005 EMPLOYEE STOCK PURCHASE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Western Digital Corporation Amended and Restated 2005 Employee Stock Purchase Plan, as amended and restated from time to time (the “Plan”) shall be established and operated in accordance with the following terms and provisions.</w:t>
      </w:r>
    </w:p>
    <w:p>
      <w:pPr>
        <w:pStyle w:val="TextBody"/>
        <w:bidi w:val="0"/>
        <w:spacing w:lineRule="auto" w:line="288" w:before="0" w:after="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used in the Plan the following terms shall have the meanings set forth below:</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“Board” means the Board of Directors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“Code” means the Internal Revenue Code of 1986, as amended.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“Committee” means the committee appointed by the Board to administer the Plan as described in Section 4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“Common Stock” means the common stock, $0.01 par value,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“Company” means Western Digital Corporation, a Delaware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“Continuous Employment” means the absence of any interruption or termination of service as an Employee with the Company and/or its Participating Subsidiaries. Continuous Employment shall not be considered interrupted in the case of a leave of absence agreed to in writing by the Company, provided that such leave is for a period of not more than three months or reemployment upon the expiration of such leave is guaranteed by contract or statute. If a Participating Subsidiary ceases to be a Subsidiary, each person employed by that Subsidiary will be deemed to have had a break in Continuous Employment for purposes of the Plan at the time the Participating Subsidiary ceased to be a Subsidiary, unless such person continues as an Employee in respect of another Company entity.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“Eligible Compensation” means, with respect to each Participant for each pay period, the full salary and wages paid to such Participant by the Company or a Participating Subsidiary, including commissions, bonuses (to the extent not excluded below), overtime pay and shift differentials. Except as otherwise determined by the Committee, “Eligible Compensation” does not include: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(i)    any amounts contributed by the Company or a Participating Subsidiary to any pension plan or plan of deferred compensation,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5780"/>
                <wp:effectExtent l="0" t="0" r="0" b="0"/>
                <wp:wrapNone/>
                <wp:docPr id="75" name="Frame7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(ii)    any automobile or relocation allowances (or reimbursement for any such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(iii)    any amounts paid that are non-regularly scheduled items of compensation (for example, starting bonus, finder’s fee, or other special bonuses),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(iv)    any amounts realized under or with respect to any qualified or non-qualified stock options or any other equity-based awards,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(v)    any amounts paid by the Company or a Participating Subsidiary for other fringe benefits, such as health and welfare, hospitalization and group life insurance benefits, or perquisites, or paid in lieu of such benefits, such as cash-out of credits generated under a plan qualified under Code Section 125.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“Eligible Employee” means an Employee who 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(i)    customarily employed for at least twenty (20) hours per week and more than five months in a calendar year, and</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left"/>
        <w:rPr>
          <w:color w:val="000000"/>
        </w:rPr>
      </w:pPr>
      <w:r>
        <w:rPr>
          <w:color w:val="000000"/>
        </w:rPr>
        <w:t>    </w:t>
      </w:r>
      <w:r>
        <w:rPr>
          <w:rFonts w:ascii="Times New Roman;serif" w:hAnsi="Times New Roman;serif"/>
          <w:b w:val="false"/>
          <w:color w:val="000000"/>
          <w:sz w:val="24"/>
        </w:rPr>
        <w:t>(ii)    eligible to participate in the Plan as described in Section 5 below.</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any person is (a) an Employee due to any classification or reclassification of the person as an employee or common-law employee of the Company or one of its Participating Subsidiaries by reason of action taken by any tax or other governmental authority, or (b) an Employee who has a written employment agreement providing that the Employee shall not participate in the Plan until at least two (2) years of Continuous Employment, then such Employee must be employed for at least two (2) years by the Company or one of its Participating Subsidiaries as well as meet the criteria set forth above in subsections (i) and (ii) in order to be an Eligible Employee. “Eligible Employee” shall not include an Employee who is a citizen or resident of a foreign jurisdiction to whom the grant of an option under the Plan would be prohibited under the laws of such foreign jurisdiction, or compliance with the laws of such foreign jurisdiction would cause the Plan to violate the requirements of Section 423 of the Code. Any exclusions under this Section 1(h) shall be applied in an identical manner to all Employees who are granted options under the Plan, to the extent required pursuant to Treasury Regulation Section 1.423-2(e).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“Employee” means each person currently employed by the Company or one of its Participating Subsidiaries. It shall not include any person who is recorded on the books and records of the Company or one of its Participating Subsidiaries as an independent contractor or consultant or a worker provided by a temporary staffing agency.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“Enrollment Date” means the first day of each Offering Period.</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2740"/>
                <wp:effectExtent l="0" t="0" r="0" b="0"/>
                <wp:wrapNone/>
                <wp:docPr id="76" name="Frame7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“Exercise Date” means one or more dates during an Offering Period, as established by the Committee in accordance with Section 6 hereof, on which options to purchase Common Stock granted under the Plan shall be exercised as provided in Section 11 hereof.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“Exercise Period” means one or more periods during an Offering Period, the duration of which shall be established by the Committee in accordance with Section 6 hereof, during which payroll deductions are accumulated for purposes of purchasing Common Stock under the Plan on each Exercise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    “Exercise Price” means the price per share of shares offered in a given Offering Period determined as provided in Section 10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    “Fair Market Value” means, with respect to a share of Common Stock as of any Enrollment Date or Exercise Date (or New Exercise Date, as the case may be), the closing price (in regular trading) of such Common Stock on the NASDAQ Stock Market (or, if the Common Stock is not then traded on the NASDAQ Stock Market, on the principal national securities exchange on which the Common Stock is then listed or admitted to trade (the “Exchange”)). In the event that such a closing price is not available for an Enrollment Date or an Exercise Date, or New Exercise Date, the Fair Market Value of a share of Common Stock on such date shall be the closing price (in regular trading) of a share of the Common Stock on the Exchange for the next preceding day on which sales of Common Stock were made. If the Common Stock is no longer listed or is no longer actively traded on the Exchange as of the applicable date, the fair market value of the Common Stock shall be the value as reasonably determined by the Committee for purposes of the option in the circumstances.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“New Exercise Date” means the new exercise date set by the Board in the case of a sale of all or substantially all of the assets of the Company, or the merger of the Company with or into another corporation or other entity in certain circumstances as described in Section 16(b).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    “Offering Period” means a period of time with respect to which options are granted under the Plan, the time and duration of which shall be established by the Committee in accordance with Section 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(q)    “Parent” means any corporation, domestic or foreign, which owns, directly or indirectly, not less than 50% of the total combined voting power of all classes of stock or other equity interests of the Company and that otherwise qualifies as a “parent corporation” within the meaning of Section 424(e) of the Code or any successor thereto.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    “Participant” means an Eligible Employee who has elected to participate in the Plan by filing an enrollment agreement with the Company as provided in Section 7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    “Participating Subsidiary” means any Subsidiary other than a Subsidiary excluded from participation in the Plan by the Committee, in its sole discretion.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    “Plan” means this Western Digital Corporation Amended and Restated 2005 Employee Stock Purchase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    “Subsidiary”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Purpose of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pStyle w:val="TextBody"/>
        <w:bidi w:val="0"/>
        <w:spacing w:lineRule="auto" w:line="28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Shares Reserved for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There shall be reserved for issuance and purchase by Participants under the Plan an aggregate of 52,296,610 shares of Common Stock, subject to adjustment as provided in Section 16 below.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purposes of the Plan unless the Plan shall have been terminated, but all shares sold under the Plan, regardless of source, shall be counted against the limitation set forth above.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From time to time and without stockholder approval, the Committee may fix a maximum limit on the number of shares that may be acquired by any individual during an Exercise Period under the Plan, which limit shall be effective no earlier than the first Offering Period that commences after the determination of such limit by the Committee; provided, however, that any adjustment to such limit pursuant to Section 16 shall apply to any Exercise Period in progress at the time such adjustment is made.</w:t>
      </w:r>
    </w:p>
    <w:p>
      <w:pPr>
        <w:pStyle w:val="TextBody"/>
        <w:bidi w:val="0"/>
        <w:spacing w:lineRule="auto" w:line="288" w:before="0" w:after="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Administration of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20"/>
        <w:jc w:val="left"/>
        <w:rPr/>
      </w:pPr>
      <w:r>
        <w:rPr>
          <w:rFonts w:ascii="Times New Roman;serif" w:hAnsi="Times New Roman;serif"/>
          <w:b w:val="false"/>
          <w:color w:val="000000"/>
          <w:sz w:val="24"/>
        </w:rPr>
        <w:t xml:space="preserve">(a)    The Plan shall be administered by a Committee appointed by, and which shall serve at the pleasure of, the Board. The Committee shall consist of </w:t>
      </w:r>
      <w:r>
        <w:rPr>
          <w:rFonts w:ascii="New York;sans-serif" w:hAnsi="New York;sans-serif"/>
          <w:b w:val="false"/>
          <w:color w:val="000000"/>
          <w:sz w:val="24"/>
        </w:rPr>
        <w:t>two or more directors, each of whom is a “Non-Employee Director” within the meaning of Rule 16b-3 promulgated under the Securities Exchange Act of 1934, as amended, as such rule may be amended from time to time.</w:t>
      </w:r>
      <w:r>
        <w:rPr>
          <w:color w:val="000000"/>
        </w:rPr>
        <w:t xml:space="preserve"> </w:t>
      </w:r>
      <w:r>
        <w:rPr>
          <w:rFonts w:ascii="Times New Roman;serif" w:hAnsi="Times New Roman;serif"/>
          <w:b w:val="false"/>
          <w:color w:val="000000"/>
          <w:sz w:val="24"/>
        </w:rPr>
        <w:t xml:space="preserve">The Committee shall have authority to interpret the Plan, to prescribe, amend and rescind rules and regulations relating to the Plan, and to make all other determinations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necessary or advisable for the administration of the Plan, all of which actions and determinations shall be final, conclusive and binding on all persons.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Committee may request advice or assistance or employ such other persons as it in its absolute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Neither the Board nor any Committee, nor any member thereof or person acting at the direction thereof, shall be liable for any act, omission, interpretation, construction or determination made in good faith in connection with the Plan, and all such persons shall be entitled to indemnification and reimbursement by the Company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Eligibility to Participate in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During the term of the Plan, the Company will grant options to purchase shares of Common Stock in each Offering Period to all Participants in that Offering Period. The Committee shall determine from time to time, subject to the requirements of Section 423 of the Code, when Offering Periods will be offered during the term of the Plan and shall establish the Enrollment Date(s), the number and duration of the Exercise Period(s), and the Exercise Date(s) for each such Offering Period, which determinations shall be effective no earlier than the first Offering Period that commences after they are made by the Committee and provided, however, that no Offering Period may exceed twenty-four (24) months in duration. To the extent consistent with Section 423 of the Code, the Committee may provide for a new Offering Period to commence prior to the termination of one or more preceding Offering Periods.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Election to Participate in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Each Eligible Employee may elect to participate in an Offering Period by completing an enrollment agreement on a form approved by and in a manner prescribed by the Committee (or its delegate) or, if the Committee does not require enrollment forms, by otherwise completing such enrollment procedures as the Committee may prescribe. Such agreement must be filed with the Company or such other procedures must be completed, as applicable, prior to the applicable Enrollment Date, unless the Committee establishes an earlier deadline for filing the enrollment form for all Eligible Employees with respect to a given Offering Period. An Eligible Employee may participate in an Offering Period only if, as of the Enrollment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such Offering Period, such Eligible Employee is not participating in any prior Offering Period which is continuing at the time of such proposed enrollment.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Payroll deductions for a Participant shall commence on the first payroll date on or following the Enrollment Date and shall end on the last payroll date in the Offering Period to which such authorization is applicable, unless sooner terminated by the Participant as provided in Section 13.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Unless a Participant elects otherwise prior to the Enrollment Date of the immediately succeeding Offering Period, an Eligible Employee who is participating in an Offering Period as of the last Exercise Date of such Offering Period (the “Prior Offering Period”) shall be deemed (i) to have elected to participate in the immediately succeeding Offering Period and (ii) to have authorized the same payroll deduction for such immediately succeeding Offering Period as was in effect for such Participant immediately prior to the expiration or termination of the Prior Offering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its discretion, the Committee may determine (with such determination to be effective no earlier than the first Offering Period that commences after such determination by the Committee) that the participation of all Participants on an Exercise Date in an Offering Period that includes more than one Exercise Period shall terminate and such Participants shall be enrolled in a new Offering Period commencing immediately following such Exercise Date if, during such Offering Period, the Fair Market Value determined as of such Exercise Date within such Offering Period is lower than the Fair Market Value determined as of the Enrollment Date of such Offering Period. In such event, each of such Participants shall be deemed for purposes of this Plan (i) to have elected to participate in such new Offering Period, and (ii) to have authorized the same payroll deduction for such new Offering Period as was in effect for such Participant immediately prior to the termination of the prior Offering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Payroll Deductions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up to 10% (or such other limit as the Committee may establish prior to the start of the applicable Offering Period) of the Eligible Compensation which the Participant receives on each payroll date during such Offering Period. The Committee also may prescribe other limits, rules or procedures for payroll deductions. Unless otherwise provided by the Committee, the amount of such payroll deductions shall be a whole percentage (i.e., 1%, 2%, 3%, etc.) of the Participant’s Eligible Compensation. </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corporate purpose, and the Company shall not be obligated to segregate such payroll deductions.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 Participant may discontinue participation in the Plan as provided in Section 13. Unless otherwise provided by the Committee in advance of an Offering Period, a Participant may at any time during the Offering Period (but no more than four times in any calendar year) reduce or increase (subject to the limitations of Section 8(a) above) the rate of his or her payroll deductions by completing and filing with the Company a change notice in the form provided by the Company. Any such reduction in the rate of a Participant’s payroll deductions shall be effective as soon as administratively feasible following receipt by the Company of the Participant’s change notice, but in no event later than the second payroll date of the Company (or Participating Subsidiary, as the case may be) applicable to the Participant following the date that the Participant files the change notice with the Company. Any such increase in the rate of a Participant’s payroll deductions shall be effective as of the first date of the next Exercise Period within such Offering Period (or, if such election is made in the final Exercise Period of such Offering Period, the Enrollment Date of the next Offering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Grant of Options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On the Enrollment Date of each Offering Period, subject to the limitations set forth in Sections 3, 9(b) and 18 hereof, each Participant shall be granted an option to purchase on each Exercise Date during such Offering Period up to a number of shares of the Common Stock determined by dividing such Participant’s payroll deductions accumulated during the Exercise Period ending on such Exercise Date by the Exercise Price for such Exercise Period (determined as provided in Section 10 below), provided that the number of shares subject to the option shall not exceed five (5) times the number of shares determined by dividing (i) $40,000, by (ii) the Fair Market Value of a share of the Common Stock on the Enrollment Date multiplied by the percentage (not less than 85%) used to calculate the Exercise Price for that Offering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Notwithstanding any provision of the Plan to the contrary, no Participant shall be granted an option under the Plan (i) if, immediately after the grant, such Participant (or any other person whose stock would be attributed to such Participant pursuant to Section 424(d) of the Code) would own stock and/or hold outstanding options to purchase stock possessing 5% or more of the total combined voting power or value of all classes of stock of the Company or of any Parent or any Subsidiary of the Company, or (ii) which permits such Participant’s rights to purchase stock under all employee stock purchase plans of the Company, its Subsidiaries and any Parent to accrue at a rate which exceeds $25,000 of fair market value of such stock (determined at the time such option is granted, before giving effect to any discounted purchase price under any such plan) for each calendar year in which such option is outstanding at any time. For purposes of the foregoing clause (ii), a right to purchase stock accrues when it first becomes exercisable during the calendar year.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Exercise Price</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The Committee shall establish from time to time the method for determining the Exercise Price for each Offering Period under the Plan in accordance with this Section 10, which determination shall be effective no earlier than the first Offering Period that commences after such determination is made by the Committee. In making its determination, the Committee may provide that the Exercise Price for an Offering Period shall be determined by applying a discount amount (not to exceed 15%) to either (1) the Fair Market Value of a share of Common Stock on the Enrollment Date of such Offering Period, or (2) the Fair Market Value of a share of Common Stock on the applicable Exercise Date, or (3) the </w:t>
      </w:r>
      <w:r>
        <w:rPr>
          <w:rFonts w:ascii="Times New Roman;serif" w:hAnsi="Times New Roman;serif"/>
          <w:b w:val="false"/>
          <w:color w:val="000000"/>
          <w:sz w:val="24"/>
          <w:u w:val="single"/>
        </w:rPr>
        <w:t>lesser</w:t>
      </w:r>
      <w:r>
        <w:rPr>
          <w:color w:val="000000"/>
        </w:rPr>
        <w:t xml:space="preserve"> </w:t>
      </w:r>
      <w:r>
        <w:rPr>
          <w:rFonts w:ascii="Times New Roman;serif" w:hAnsi="Times New Roman;serif"/>
          <w:b w:val="false"/>
          <w:color w:val="000000"/>
          <w:sz w:val="24"/>
        </w:rPr>
        <w:t>of the Fair Market Value of a share on the Enrollment Date of such Offering Period or the Fair Market Value of a share on the applicable Exercise Date. Notwithstanding anything to the contrary in the preceding provisions of this Section 10, in no event shall the Exercise Price per share be less than the par value of a share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Exercise of Options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Unless a Participant withdraws from the Plan as provided in Section 13, the Participant’s option for the purchase of shares will be exercised automatically on each Exercise Date of the Offering Period, and the maximum number of shares subject to option will be purchased for the Participant at the applicable Exercise Price with the accumulated payroll deductions in the Participant’s account. In the event that an Exercise Period has been over-subscribed or that any other applicable Plan limit has been exceeded by a Participant in an Exercise Period, any amount remaining in such Participant’s account shall be refunded to the Participant as soon as administratively practicable after the end of the Offering Period.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Delivery of Shares</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soon as administratively practicable after the Exercise Date, the Company shall, in its discretion, either deliver to each Participant a certificate representing the shares of Common Stock purchased upon exercise of his or her option, provide for the crediting of such shares of Common Stock in book entry form in the name of the Participant, or provide for an alternative arrangement for the delivery of such shares of Common Stock to a broker or recordkeeping service for the benefit of the Participant. In the event the Company is required to obtain from any commission or agency authority to issue any such certificate or otherwise deliver such shares, the Company will seek to obtain such authority. If the Company is unable to obtain from any such commission or agency authority which counsel for the Company deems necessary for the lawful issuance of any such certificate or other delivery of such Common Shares, or if for any reason the Company cannot issue or deliver shares of Common Stock and satisfy Section 20(a), the Company shall be relieved from liability to any Participant except that the Company shall return to each Participant to whom such shares of Common Stock cannot be issued or delivered the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amount of the balance credited to his or her account that would have otherwise been used for the purchase of such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Withdrawal; Termination of Employment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or her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open enrollment period preceding the commencement of an Exercise Period directing the Company to resume payroll deductions.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Upon termination of the Participant’s Continuous Employment during an Exercise Period for any reason, including retirement or death, the payroll deductions credited to the Participant’s account for that Exercise Period will be returned to the Participant or, in the case of death, to the Participant’s estate, and the Participant’s options to purchase shares under the Plan will be automatically terminated as of the date of such termination of Continuous Employment.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In the event a Participant fails to maintain Continuous Employment for at least twenty (20) hours per week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A Participant’s withdrawal from an Offering Period will not have any effect upon the Participant’s eligibility to participate in a succeeding Offering Period or in any similar plan which may hereafter be adopted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payroll deductions credited to a Participant’s account nor options to purchase Common Stock granted under the Plan may be transferred, assigned, pledged or otherwise disposed of by a Participant other than by will or the laws of descent and distribution. Options granted under the Plan are exercisable during a Participant’s lifetime only by the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Reports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Individual accounts will be maintained for each Participant in the Plan. Statements of account will be made available to Participants promptly following each Exercise Date, which statements will set forth the amounts of payroll deductions, the per share Exercise Price, the number of shares purchased and the remaining cash balance, if any.</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Adjustments Upon Changes in Capitalization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Subject to Section 16(b),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Company, or any similar, unusual or extraordinary corporate transaction in respect of the Common Stock; then the Committee shall equitably and proportionately adjust (1) the number and type of shares of Common Stock (or other securities) that thereafter may be made the subject of options (including the specific share limits, maximums and numbers of shares set forth elsewhere in this Plan), (2) the number, amount and type of shares of Common Stock (or other securities or property) subject to any outstanding options, and (3) the Exercise Price of any outstanding options, in each case to the extent necessary to preserve (but not increase) the level of incentives intended by this Plan and the then-outstanding options.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of the proposed dissolution or liquidation of the Company, each Offering Period then in progress will terminate immediately prior to the consummation of such proposed action, unless otherwise provided by the Committee. Upon any event in which the Company does not survive, or does not survive as a public company in respect of its Common Stock (including, without limitation, a merger, combination, consolidation, or other reorganization; any exchange of Common Stock or other securities of the Company; a sale of all or substantially all the business, stock or assets of the Company; or other event in which the Company does not survive or does not survive as a public company in respect of its Common Stock), then, unless the Committee provides that each option under the Plan shall be assumed or an equivalent option shall be substituted by such successor corporation or entity or a parent or subsidiary of such successor corporation or entity, each Exercise Period then in progress shall be shortened and a new Exercise Date shall be set by the Committee to occur upon or immediately prior to such transaction or event (the “New Exercise Date”), as of which date the Plan and any Exercise Period and related Offering Period then in progress will terminate. The New Exercise Date shall be on or before the date of consummation of the transaction and the Committee shall notify each participant in writing, at least ten (10) days prior to the New Exercise Date (to the extent administratively practicable), that the Exercise Date for his or her option has been changed to the New Exercise Date and that his or her option will be exercised automatically on the New Exercise Date, unless prior to such date he or she has withdrawn from the Offering Period as provided in Section 13. The Exercise Price on the New Exercise Date shall be determined as provided in Section 10 hereof, and for purposes of determining such Exercise Price, the New Exercise Date shall be treated as the “Exercise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In all cases, the Committee shall have full discretion to exercise any of the powers and authority provided under this Section 16, and the Committee’s actions hereunder shall be conclusive and binding on all persons.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Amendment of the Plan</w:t>
      </w:r>
      <w:r>
        <w:rPr>
          <w:rFonts w:ascii="Times New Roman;serif" w:hAnsi="Times New Roman;serif"/>
          <w:b w:val="false"/>
          <w:color w:val="000000"/>
          <w:sz w:val="24"/>
        </w:rPr>
        <w: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may at any time, or from time to time, amend or suspend the Plan, in whole or in part and without notice. Stockholder approval for any amendment shall not be required, except to the extent required by law or applicable stock exchange rules, or required under Section 423 of the Code in order to preserve the intended tax consequences of the Plan. No options may be granted during any suspension of the Plan or after a termination of the Plan pursuant to Section 18(b) below, but the Committee will retain jurisdiction as to options then outstanding in accordance with the terms of the Plan. No amendment, suspension or termination pursuant to this Section 17 or Section 18 shall, without written consent of the Participant, affect in any manner materially adverse to the Participant any right or benefits of such Participant or obligations of the Company under any option granted under the Plan prior to the effective date of such change; provided that the Board may amend, suspend or terminate the Plan as to any outstanding options granted under the Plan for an Offering Period, effective as of any Exercise Date within that Offering Period, without the consent of the Participants to whom such options were granted. In no event shall changes contemplated by Section 7(d) or Section 16 be deemed to constitute changes or amendments requiring Participant consent.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Termination of the Plan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and all rights of Employees hereunder shall terminate: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on the Exercise Date that Participants would become entitled to purchase a number of shares greater than the number of reserved shares remaining available for purchase under the Plan if the final sentence in this Section 18 were not applied; 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at any time, at the discretion of the Board.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that the Plan terminates under circumstances described in Section 18(a) above, reserved shares remaining as of the termination date shall be sold to Participants on a pro rata basis.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Plan, the grant and exercise of options to purchase shares of Common Stock under the Plan, and the Company’s obligation to sell and deliver shares upon the exercise of options to purchase shares shall be subject to all applicable federal, state, local and foreign laws, rules and regulations, and to such approvals by any listing, regulatory or governmental agency as may, in the opinion of counsel for the Company, be necessary or advisable in connection therewith. The person acquiring any securities under this Plan will, if requested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 one of its Subsidiaries, and as a condition precedent to the exercise of his or her option, provide such assurances and representations to the Company or one of its Subsidiaries as the Committee may deem necessary or desirable to assure compliance with all applicable legal and accounting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Company may make such provisions as it deems appropriate for withholding by the Company pursuant to federal, state or local income tax laws of such amounts as the Company determines it is required to withhold in connection with the purchase or sale by a Participant of any Common Stock acquired pursuant to the Plan. The Company shall have the right at its option to (1) require the Participant to pay or provide for payment of the amount of any taxes which the Company or any Subsidiary may be required or permitted to withhold with respect to such event or (2) deduct from any amount otherwise payable in cash to the Participant (or the Participant’s personal representative or beneficiary, as the case may be) the amount of any taxes which the Company or any Subsidiary may be required or permitted to withhold with respect to such event. The Company may require a Participant to satisfy any relevant tax requirements before authorizing any issuance of Common Stock to such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Employees’ Rights</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Nothing in the Plan (or in any other document related to the Plan) will confer upon any Eligible Employee or Participant any right to continue in the employ or other service of the Company or any Subsidiary, constitute any contract or agreement of employment or other service or effect an employee’s status as an employee at will, nor shall interfere in any way with the right of the Company or any Subsidiary to change such person’s compensation or other benefits or to terminate his or her employment or other service, with or without cause. Nothing contained in this Section 21(a), however, is intended to adversely affect any express independent right of any such person under a separate employment or service contract.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No Participant or other person will have any right, title or interest in any fund or in any specific asset (including shares of Common Stock) of the Company or any Subsidiary by reason of any option hereunder. Neither the provisions of the Plan (or of any other document related to the Plan), nor the creation or adoption of the Plan, nor any action taken pursuant to the provisions of the Plan will create, or be construed to create, a trust of any kind or a fiduciary relationship between the Company or any Subsidiary and any Participant, beneficiary or other person. To the extent that a Participant, beneficiary or other person acquires a right to receive payment pursuant to the Plan, such right will be no greater than the right of any unsecured general creditor of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 Participant will not be entitled to any privilege of stock ownership as to any shares of Common Stock not actually delivered to and held of record by the Participant. Except as expressly required by Section 16(a) or otherwise expressly provided by the Committee, no adjustment will be made for dividends or other rights as a stockholder for which a record date is prior to such date of delivery.</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Plan, the options granted hereunder and any other documents related to the Plan shall be governed by, and construed in accordance with, the laws of the State of Delaware, notwithstanding any Delaware or other conflict of law provision to the contrary.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If any provision of the Plan shall be held by a court of competent jurisdiction to be invalid and unenforceable, the remaining provisions of the Plan shall continue in effect.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Captions and headings are given to the sections of the Plan solely as a convenience to facilitate reference. Such captions and headings shall not be deemed in any way material or relevant to the construction of interpretation of the Plan or any provision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The adoption of the Plan shall not affect any other Company or Subsidiary compensation or incentive plans in effect. Nothing in the Plan will limit or be deemed to limit the authority of the Board or Committee (1) to establish any other forms of incentives or compensation for employees of the Company or any Subsidiary (with or without reference to the Common Stock), or (2) to grant or assume options (outside the scope of and in addition to those contemplated by the Plan) in connection with any proper corporate purpose, to the extent consistent with any other plan or authority. Benefits received by a Participant under an option granted pursuant to the Plan shall not be deemed a part of the Participant’s compensation for purposes of the determination of benefits under any other employee welfare or benefit plans or arrangements, if any, provided by the Company or any Subsidiary, except where the Committee or the Board (or the Board of Directors of the Subsidiary that sponsors such plan or arrangement, as applicable) expressly otherwise provides or authorizes in writing.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rPr>
        <w:t>The Committee may also adopt rules, procedures or sub-plans applicable to particular Subsidiaries or locations, which sub-plans may be designed to be outside the scope of Section 423 of the Code and need not comply with the otherwise applicable provisions of the Plan.</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3366FF"/>
          <w:sz w:val="16"/>
        </w:rPr>
      </w:pPr>
      <w:r>
        <w:rPr>
          <w:rFonts w:ascii="Times New Roman;serif" w:hAnsi="Times New Roman;serif"/>
          <w:b w:val="false"/>
          <w:color w:val="3366FF"/>
          <w:sz w:val="16"/>
        </w:rPr>
        <w:t>As Amended August 6, 2012, August 5, 2015, August 2, 2018, August 25, 2022, May 28, 2025, August 27, 2025 and August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Irving Tan, certify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Western Digital Corporation;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Kris Sennesael, certify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Western Digital Corporation;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the accompanying Quarterly Report on Form 10-Q of the Company for the period ended October 2, 2026 (the “Report”) fully complies with the requirements of Section 13(a) or Section 15(d), as applicable, of the Securities Exchange Act of 1934, as amended;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the accompanying Quarterly Report on Form 10-Q of the Company for the period ended October 2, 2026 (the “Report”) fully complies with the requirements of Section 13(a) or Section 15(d), as applicable, of the Securities Exchange Act of 1934, as amended;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ew Yor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6040/000119312525033383/d847507dex21.htm" TargetMode="External"/><Relationship Id="rId4" Type="http://schemas.openxmlformats.org/officeDocument/2006/relationships/hyperlink" Target="https://www.sec.gov/Archives/edgar/data/106040/000010604024000031/wdc-2024q4ex31.htm" TargetMode="External"/><Relationship Id="rId5" Type="http://schemas.openxmlformats.org/officeDocument/2006/relationships/hyperlink" Target="https://www.sec.gov/Archives/edgar/data/106040/000119312525054005/d939696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36567</Words>
  <Characters>195686</Characters>
  <CharactersWithSpaces>231233</CharactersWithSpaces>
  <Paragraphs>2626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