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June 29, 2018</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320675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tbl>
      <w:tblPr>
        <w:tblLayout w:type="fixed"/>
        <w:tblInd w:w="1620" w:type="dxa"/>
        <w:tblCellMar>
          <w:top w:w="0" w:type="dxa"/>
          <w:left w:w="0" w:type="dxa"/>
          <w:bottom w:w="0" w:type="dxa"/>
          <w:right w:w="0" w:type="dxa"/>
        </w:tblCellMar>
      </w:tblPr>
      <w:tr>
        <w:trPr>
          <w:trHeight w:val="160"/>
        </w:trPr>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0" w:type="dxa"/>
            <w:vAlign w:val="bottom"/>
            <w:gridSpan w:val="3"/>
          </w:tcPr>
          <w:p>
            <w:pPr>
              <w:jc w:val="center"/>
              <w:ind w:right="2877"/>
              <w:spacing w:after="0"/>
              <w:rPr>
                <w:sz w:val="20"/>
                <w:szCs w:val="20"/>
                <w:color w:val="auto"/>
              </w:rPr>
            </w:pPr>
            <w:r>
              <w:rPr>
                <w:rFonts w:ascii="Arial" w:cs="Arial" w:eastAsia="Arial" w:hAnsi="Arial"/>
                <w:sz w:val="13"/>
                <w:szCs w:val="13"/>
                <w:i w:val="1"/>
                <w:iCs w:val="1"/>
                <w:color w:val="auto"/>
                <w:w w:val="88"/>
              </w:rPr>
              <w:t>(Exact Name of Registrant as Specified in Its Charter)</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1980" w:type="dxa"/>
            <w:vAlign w:val="bottom"/>
            <w:gridSpan w:val="3"/>
          </w:tcPr>
          <w:p>
            <w:pPr>
              <w:jc w:val="center"/>
              <w:ind w:right="559"/>
              <w:spacing w:after="0"/>
              <w:rPr>
                <w:sz w:val="20"/>
                <w:szCs w:val="20"/>
                <w:color w:val="auto"/>
              </w:rPr>
            </w:pPr>
            <w:r>
              <w:rPr>
                <w:rFonts w:ascii="Arial" w:cs="Arial" w:eastAsia="Arial" w:hAnsi="Arial"/>
                <w:sz w:val="16"/>
                <w:szCs w:val="16"/>
                <w:b w:val="1"/>
                <w:bCs w:val="1"/>
                <w:color w:val="auto"/>
                <w:w w:val="93"/>
              </w:rPr>
              <w:t>Delaware</w:t>
            </w:r>
          </w:p>
        </w:tc>
        <w:tc>
          <w:tcPr>
            <w:tcW w:w="6000" w:type="dxa"/>
            <w:vAlign w:val="bottom"/>
            <w:gridSpan w:val="3"/>
          </w:tcPr>
          <w:p>
            <w:pPr>
              <w:jc w:val="right"/>
              <w:ind w:right="1157"/>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256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(State or other jurisdiction of</w:t>
            </w:r>
          </w:p>
        </w:tc>
        <w:tc>
          <w:tcPr>
            <w:tcW w:w="3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Pr>
          <w:p>
            <w:pPr>
              <w:jc w:val="center"/>
              <w:ind w:right="897"/>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2560" w:type="dxa"/>
            <w:vAlign w:val="bottom"/>
            <w:gridSpan w:val="4"/>
          </w:tcPr>
          <w:p>
            <w:pPr>
              <w:jc w:val="center"/>
              <w:spacing w:after="0"/>
              <w:rPr>
                <w:sz w:val="20"/>
                <w:szCs w:val="20"/>
                <w:color w:val="auto"/>
              </w:rPr>
            </w:pPr>
            <w:r>
              <w:rPr>
                <w:rFonts w:ascii="Arial" w:cs="Arial" w:eastAsia="Arial" w:hAnsi="Arial"/>
                <w:sz w:val="13"/>
                <w:szCs w:val="13"/>
                <w:i w:val="1"/>
                <w:iCs w:val="1"/>
                <w:color w:val="auto"/>
                <w:w w:val="92"/>
              </w:rPr>
              <w:t>incorporation or organization)</w:t>
            </w:r>
          </w:p>
        </w:tc>
        <w:tc>
          <w:tcPr>
            <w:tcW w:w="3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40" w:type="dxa"/>
            <w:vAlign w:val="bottom"/>
          </w:tcPr>
          <w:p>
            <w:pPr>
              <w:jc w:val="center"/>
              <w:ind w:right="917"/>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5601 Great Oaks Parkway</w:t>
            </w:r>
          </w:p>
        </w:tc>
        <w:tc>
          <w:tcPr>
            <w:tcW w:w="6000" w:type="dxa"/>
            <w:vAlign w:val="bottom"/>
            <w:gridSpan w:val="3"/>
            <w:vMerge w:val="restart"/>
          </w:tcPr>
          <w:p>
            <w:pPr>
              <w:jc w:val="right"/>
              <w:ind w:right="1377"/>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980" w:type="dxa"/>
            <w:vAlign w:val="bottom"/>
            <w:gridSpan w:val="3"/>
          </w:tcPr>
          <w:p>
            <w:pPr>
              <w:jc w:val="center"/>
              <w:ind w:right="579"/>
              <w:spacing w:after="0"/>
              <w:rPr>
                <w:sz w:val="20"/>
                <w:szCs w:val="20"/>
                <w:color w:val="auto"/>
              </w:rPr>
            </w:pPr>
            <w:r>
              <w:rPr>
                <w:rFonts w:ascii="Arial" w:cs="Arial" w:eastAsia="Arial" w:hAnsi="Arial"/>
                <w:sz w:val="14"/>
                <w:szCs w:val="14"/>
                <w:b w:val="1"/>
                <w:bCs w:val="1"/>
                <w:color w:val="auto"/>
                <w:w w:val="92"/>
              </w:rPr>
              <w:t>San Jose, California</w:t>
            </w:r>
          </w:p>
        </w:tc>
        <w:tc>
          <w:tcPr>
            <w:tcW w:w="6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60" w:type="dxa"/>
            <w:vAlign w:val="bottom"/>
            <w:gridSpan w:val="4"/>
          </w:tcPr>
          <w:p>
            <w:pPr>
              <w:jc w:val="center"/>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3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40" w:type="dxa"/>
            <w:vAlign w:val="bottom"/>
          </w:tcPr>
          <w:p>
            <w:pPr>
              <w:jc w:val="center"/>
              <w:ind w:right="917"/>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580" w:type="dxa"/>
            <w:vAlign w:val="bottom"/>
          </w:tcPr>
          <w:p>
            <w:pPr>
              <w:spacing w:after="0"/>
              <w:rPr>
                <w:sz w:val="24"/>
                <w:szCs w:val="24"/>
                <w:color w:val="auto"/>
              </w:rPr>
            </w:pPr>
          </w:p>
        </w:tc>
        <w:tc>
          <w:tcPr>
            <w:tcW w:w="7980" w:type="dxa"/>
            <w:vAlign w:val="bottom"/>
            <w:gridSpan w:val="6"/>
          </w:tcPr>
          <w:p>
            <w:pPr>
              <w:jc w:val="center"/>
              <w:ind w:right="897"/>
              <w:spacing w:after="0"/>
              <w:rPr>
                <w:sz w:val="20"/>
                <w:szCs w:val="20"/>
                <w:color w:val="auto"/>
              </w:rPr>
            </w:pPr>
            <w:r>
              <w:rPr>
                <w:rFonts w:ascii="Arial" w:cs="Arial" w:eastAsia="Arial" w:hAnsi="Arial"/>
                <w:sz w:val="16"/>
                <w:szCs w:val="16"/>
                <w:b w:val="1"/>
                <w:bCs w:val="1"/>
                <w:color w:val="auto"/>
                <w:w w:val="90"/>
              </w:rPr>
              <w:t>Registrant’s telephone number, including area code: (408) 717-6000</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tcBorders>
              <w:bottom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4"/>
          </w:tcPr>
          <w:p>
            <w:pPr>
              <w:jc w:val="center"/>
              <w:ind w:right="2177"/>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1980" w:type="dxa"/>
            <w:vAlign w:val="bottom"/>
            <w:gridSpan w:val="3"/>
          </w:tcPr>
          <w:p>
            <w:pPr>
              <w:jc w:val="center"/>
              <w:ind w:right="679"/>
              <w:spacing w:after="0"/>
              <w:rPr>
                <w:sz w:val="20"/>
                <w:szCs w:val="20"/>
                <w:color w:val="auto"/>
              </w:rPr>
            </w:pPr>
            <w:r>
              <w:rPr>
                <w:rFonts w:ascii="Arial" w:cs="Arial" w:eastAsia="Arial" w:hAnsi="Arial"/>
                <w:sz w:val="16"/>
                <w:szCs w:val="16"/>
                <w:b w:val="1"/>
                <w:bCs w:val="1"/>
                <w:color w:val="auto"/>
                <w:w w:val="88"/>
              </w:rPr>
              <w:t>Title of each class</w:t>
            </w:r>
          </w:p>
        </w:tc>
        <w:tc>
          <w:tcPr>
            <w:tcW w:w="6000" w:type="dxa"/>
            <w:vAlign w:val="bottom"/>
            <w:gridSpan w:val="3"/>
          </w:tcPr>
          <w:p>
            <w:pPr>
              <w:jc w:val="center"/>
              <w:ind w:left="2926"/>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560" w:type="dxa"/>
            <w:vAlign w:val="bottom"/>
            <w:gridSpan w:val="4"/>
          </w:tcPr>
          <w:p>
            <w:pPr>
              <w:jc w:val="center"/>
              <w:ind w:right="79"/>
              <w:spacing w:after="0"/>
              <w:rPr>
                <w:sz w:val="20"/>
                <w:szCs w:val="20"/>
                <w:color w:val="auto"/>
              </w:rPr>
            </w:pPr>
            <w:r>
              <w:rPr>
                <w:rFonts w:ascii="Arial" w:cs="Arial" w:eastAsia="Arial" w:hAnsi="Arial"/>
                <w:sz w:val="14"/>
                <w:szCs w:val="14"/>
                <w:color w:val="auto"/>
                <w:w w:val="91"/>
              </w:rPr>
              <w:t>Common Stock, $.01 Par Value Per Share</w:t>
            </w:r>
          </w:p>
        </w:tc>
        <w:tc>
          <w:tcPr>
            <w:tcW w:w="3000" w:type="dxa"/>
            <w:vAlign w:val="bottom"/>
          </w:tcPr>
          <w:p>
            <w:pPr>
              <w:spacing w:after="0"/>
              <w:rPr>
                <w:sz w:val="20"/>
                <w:szCs w:val="20"/>
                <w:color w:val="auto"/>
              </w:rPr>
            </w:pPr>
          </w:p>
        </w:tc>
        <w:tc>
          <w:tcPr>
            <w:tcW w:w="3000" w:type="dxa"/>
            <w:vAlign w:val="bottom"/>
            <w:gridSpan w:val="2"/>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0" w:type="dxa"/>
            <w:vAlign w:val="bottom"/>
            <w:gridSpan w:val="2"/>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5">
            <w:col w:w="7080" w:space="140"/>
            <w:col w:w="220" w:space="60"/>
            <w:col w:w="140" w:space="140"/>
            <w:col w:w="180" w:space="80"/>
            <w:col w:w="3360"/>
          </w:cols>
          <w:pgMar w:left="240" w:top="233" w:right="259" w:bottom="1440" w:gutter="0" w:footer="0" w:header="0"/>
          <w:type w:val="continuous"/>
        </w:sectPr>
      </w:pPr>
    </w:p>
    <w:p>
      <w:pPr>
        <w:spacing w:after="0" w:line="2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5">
            <w:col w:w="7220" w:space="140"/>
            <w:col w:w="200" w:space="80"/>
            <w:col w:w="120" w:space="160"/>
            <w:col w:w="180" w:space="60"/>
            <w:col w:w="3240"/>
          </w:cols>
          <w:pgMar w:left="240" w:top="233" w:right="259" w:bottom="1440" w:gutter="0" w:footer="0" w:header="0"/>
          <w:type w:val="continuous"/>
        </w:sect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0"/>
          <w:szCs w:val="20"/>
          <w:color w:val="auto"/>
        </w:rPr>
      </w:pPr>
    </w:p>
    <w:p>
      <w:pPr>
        <w:ind w:right="34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125" w:right="279" w:bottom="1440" w:gutter="0" w:footer="0" w:header="0"/>
        </w:sectPr>
      </w:pPr>
    </w:p>
    <w:p>
      <w:pPr>
        <w:spacing w:after="0" w:line="98" w:lineRule="exact"/>
        <w:rPr>
          <w:sz w:val="20"/>
          <w:szCs w:val="20"/>
          <w:color w:val="auto"/>
        </w:rPr>
      </w:pPr>
    </w:p>
    <w:p>
      <w:pPr>
        <w:jc w:val="center"/>
        <w:ind w:left="60"/>
        <w:spacing w:after="0"/>
        <w:rPr>
          <w:sz w:val="20"/>
          <w:szCs w:val="20"/>
          <w:color w:val="auto"/>
        </w:rPr>
      </w:pPr>
      <w:r>
        <w:rPr>
          <w:rFonts w:ascii="Arial" w:cs="Arial" w:eastAsia="Arial" w:hAnsi="Arial"/>
          <w:sz w:val="13"/>
          <w:szCs w:val="13"/>
          <w:color w:val="auto"/>
        </w:rPr>
        <w:t>Large accelerated filer</w:t>
      </w:r>
    </w:p>
    <w:p>
      <w:pPr>
        <w:spacing w:after="0" w:line="19" w:lineRule="exact"/>
        <w:rPr>
          <w:sz w:val="20"/>
          <w:szCs w:val="20"/>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19" w:lineRule="exact"/>
        <w:rPr>
          <w:sz w:val="20"/>
          <w:szCs w:val="20"/>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Non-accelerated filer</w:t>
      </w:r>
    </w:p>
    <w:p>
      <w:pPr>
        <w:spacing w:after="0" w:line="19" w:lineRule="exact"/>
        <w:rPr>
          <w:sz w:val="20"/>
          <w:szCs w:val="20"/>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Smaller reporting company</w:t>
      </w:r>
    </w:p>
    <w:p>
      <w:pPr>
        <w:spacing w:after="0" w:line="19" w:lineRule="exact"/>
        <w:rPr>
          <w:sz w:val="20"/>
          <w:szCs w:val="20"/>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Emerging growth company</w:t>
      </w:r>
    </w:p>
    <w:p>
      <w:pPr>
        <w:spacing w:after="0" w:line="19" w:lineRule="exact"/>
        <w:rPr>
          <w:sz w:val="20"/>
          <w:szCs w:val="20"/>
          <w:color w:val="auto"/>
        </w:rPr>
      </w:pPr>
    </w:p>
    <w:p>
      <w:pPr>
        <w:jc w:val="center"/>
        <w:ind w:right="320"/>
        <w:spacing w:after="0" w:line="141" w:lineRule="exact"/>
        <w:rPr>
          <w:sz w:val="20"/>
          <w:szCs w:val="20"/>
          <w:color w:val="auto"/>
        </w:rPr>
      </w:pPr>
      <w:r>
        <w:rPr>
          <w:rFonts w:ascii="MS PGothic" w:cs="MS PGothic" w:eastAsia="MS PGothic" w:hAnsi="MS PGothic"/>
          <w:sz w:val="14"/>
          <w:szCs w:val="14"/>
          <w:color w:val="auto"/>
        </w:rPr>
        <w:t>☐</w:t>
      </w:r>
    </w:p>
    <w:p>
      <w:pPr>
        <w:spacing w:after="0" w:line="173" w:lineRule="exact"/>
        <w:rPr>
          <w:sz w:val="20"/>
          <w:szCs w:val="20"/>
          <w:color w:val="auto"/>
        </w:rPr>
      </w:pPr>
    </w:p>
    <w:p>
      <w:pPr>
        <w:sectPr>
          <w:pgSz w:w="11900" w:h="16838" w:orient="portrait"/>
          <w:cols w:equalWidth="0" w:num="5">
            <w:col w:w="2240" w:space="720"/>
            <w:col w:w="1420" w:space="720"/>
            <w:col w:w="1380" w:space="720"/>
            <w:col w:w="1580" w:space="720"/>
            <w:col w:w="1880"/>
          </w:cols>
          <w:pgMar w:left="240" w:top="125" w:right="279" w:bottom="1440" w:gutter="0" w:footer="0" w:header="0"/>
          <w:type w:val="continuous"/>
        </w:sectPr>
      </w:pPr>
    </w:p>
    <w:p>
      <w:pPr>
        <w:jc w:val="center"/>
        <w:ind w:right="-39"/>
        <w:spacing w:after="0"/>
        <w:rPr>
          <w:sz w:val="20"/>
          <w:szCs w:val="20"/>
          <w:color w:val="auto"/>
        </w:rPr>
      </w:pPr>
      <w:r>
        <w:rPr>
          <w:rFonts w:ascii="Arial" w:cs="Arial" w:eastAsia="Arial" w:hAnsi="Arial"/>
          <w:sz w:val="10"/>
          <w:szCs w:val="10"/>
          <w:i w:val="1"/>
          <w:iCs w:val="1"/>
          <w:color w:val="auto"/>
        </w:rPr>
        <w:t>(Do not check if a smaller reporting company)</w:t>
      </w:r>
    </w:p>
    <w:p>
      <w:pPr>
        <w:sectPr>
          <w:pgSz w:w="11900" w:h="16838" w:orient="portrait"/>
          <w:cols w:equalWidth="0" w:num="1">
            <w:col w:w="11380"/>
          </w:cols>
          <w:pgMar w:left="240" w:top="125" w:right="279" w:bottom="1440" w:gutter="0" w:footer="0" w:header="0"/>
          <w:type w:val="continuous"/>
        </w:sectPr>
      </w:pPr>
    </w:p>
    <w:p>
      <w:pPr>
        <w:spacing w:after="0" w:line="187" w:lineRule="exact"/>
        <w:rPr>
          <w:sz w:val="20"/>
          <w:szCs w:val="20"/>
          <w:color w:val="auto"/>
        </w:rPr>
      </w:pPr>
    </w:p>
    <w:p>
      <w:pPr>
        <w:ind w:right="38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0"/>
          <w:szCs w:val="20"/>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0"/>
          <w:szCs w:val="20"/>
          <w:color w:val="auto"/>
        </w:rPr>
      </w:pPr>
    </w:p>
    <w:p>
      <w:pPr>
        <w:ind w:right="220" w:firstLine="324"/>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December 29, 2017, the last business day of the registrant’s most recently completed second fiscal quarter, was $18.9 billion, based on the closing sale price as reported on the Nasdaq Global Select Market.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There were 291,356,809 shares of common stock, par value $0.01 per share, outstanding as of the close of business on August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(the “Proxy Statement”) for the 2018 Annual Meeting of Stockholders, which will be filed with the Securities and Exchange Commission within 120 days after the end of the 2018 fiscal year. Except with respect to information specifically incorporated by reference in this Form 10-K, the Proxy Statement is not deemed to be filed as part hereof.</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820" w:type="dxa"/>
            <w:vAlign w:val="bottom"/>
          </w:tcPr>
          <w:p>
            <w:pPr>
              <w:spacing w:after="0"/>
              <w:rPr>
                <w:sz w:val="22"/>
                <w:szCs w:val="22"/>
                <w:color w:val="auto"/>
              </w:rPr>
            </w:pPr>
          </w:p>
        </w:tc>
        <w:tc>
          <w:tcPr>
            <w:tcW w:w="8900" w:type="dxa"/>
            <w:vAlign w:val="bottom"/>
          </w:tcPr>
          <w:p>
            <w:pPr>
              <w:jc w:val="center"/>
              <w:ind w:left="789"/>
              <w:spacing w:after="0"/>
              <w:rPr>
                <w:sz w:val="20"/>
                <w:szCs w:val="20"/>
                <w:color w:val="auto"/>
              </w:rPr>
            </w:pPr>
            <w:r>
              <w:rPr>
                <w:rFonts w:ascii="Arial" w:cs="Arial" w:eastAsia="Arial" w:hAnsi="Arial"/>
                <w:sz w:val="22"/>
                <w:szCs w:val="22"/>
                <w:b w:val="1"/>
                <w:bCs w:val="1"/>
                <w:color w:val="auto"/>
                <w:w w:val="99"/>
              </w:rPr>
              <w:t>WESTERN DIGITAL CORPORATION</w:t>
            </w:r>
          </w:p>
        </w:tc>
        <w:tc>
          <w:tcPr>
            <w:tcW w:w="1700" w:type="dxa"/>
            <w:vAlign w:val="bottom"/>
          </w:tcPr>
          <w:p>
            <w:pPr>
              <w:spacing w:after="0"/>
              <w:rPr>
                <w:sz w:val="22"/>
                <w:szCs w:val="22"/>
                <w:color w:val="auto"/>
              </w:rPr>
            </w:pPr>
          </w:p>
        </w:tc>
      </w:tr>
      <w:tr>
        <w:trPr>
          <w:trHeight w:val="281"/>
        </w:trPr>
        <w:tc>
          <w:tcPr>
            <w:tcW w:w="820" w:type="dxa"/>
            <w:vAlign w:val="bottom"/>
          </w:tcPr>
          <w:p>
            <w:pPr>
              <w:spacing w:after="0"/>
              <w:rPr>
                <w:sz w:val="24"/>
                <w:szCs w:val="24"/>
                <w:color w:val="auto"/>
              </w:rPr>
            </w:pPr>
          </w:p>
        </w:tc>
        <w:tc>
          <w:tcPr>
            <w:tcW w:w="8900" w:type="dxa"/>
            <w:vAlign w:val="bottom"/>
          </w:tcPr>
          <w:p>
            <w:pPr>
              <w:jc w:val="center"/>
              <w:ind w:left="789"/>
              <w:spacing w:after="0"/>
              <w:rPr>
                <w:sz w:val="20"/>
                <w:szCs w:val="20"/>
                <w:color w:val="auto"/>
              </w:rPr>
            </w:pPr>
            <w:r>
              <w:rPr>
                <w:rFonts w:ascii="Arial" w:cs="Arial" w:eastAsia="Arial" w:hAnsi="Arial"/>
                <w:sz w:val="22"/>
                <w:szCs w:val="22"/>
                <w:b w:val="1"/>
                <w:bCs w:val="1"/>
                <w:color w:val="auto"/>
              </w:rPr>
              <w:t>INDEX</w:t>
            </w:r>
          </w:p>
        </w:tc>
        <w:tc>
          <w:tcPr>
            <w:tcW w:w="1700" w:type="dxa"/>
            <w:vAlign w:val="bottom"/>
          </w:tcPr>
          <w:p>
            <w:pPr>
              <w:spacing w:after="0"/>
              <w:rPr>
                <w:sz w:val="24"/>
                <w:szCs w:val="24"/>
                <w:color w:val="auto"/>
              </w:rPr>
            </w:pPr>
          </w:p>
        </w:tc>
      </w:tr>
      <w:tr>
        <w:trPr>
          <w:trHeight w:val="389"/>
        </w:trPr>
        <w:tc>
          <w:tcPr>
            <w:tcW w:w="8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PAGE NO.</w:t>
            </w:r>
          </w:p>
        </w:tc>
      </w:tr>
      <w:tr>
        <w:trPr>
          <w:trHeight w:val="230"/>
        </w:trPr>
        <w:tc>
          <w:tcPr>
            <w:tcW w:w="820" w:type="dxa"/>
            <w:vAlign w:val="bottom"/>
          </w:tcPr>
          <w:p>
            <w:pPr>
              <w:spacing w:after="0"/>
              <w:rPr>
                <w:sz w:val="19"/>
                <w:szCs w:val="19"/>
                <w:color w:val="auto"/>
              </w:rPr>
            </w:pPr>
          </w:p>
        </w:tc>
        <w:tc>
          <w:tcPr>
            <w:tcW w:w="8900" w:type="dxa"/>
            <w:vAlign w:val="bottom"/>
          </w:tcPr>
          <w:p>
            <w:pPr>
              <w:jc w:val="center"/>
              <w:ind w:left="789"/>
              <w:spacing w:after="0"/>
              <w:rPr>
                <w:sz w:val="20"/>
                <w:szCs w:val="20"/>
                <w:color w:val="auto"/>
              </w:rPr>
            </w:pPr>
            <w:r>
              <w:rPr>
                <w:rFonts w:ascii="Arial" w:cs="Arial" w:eastAsia="Arial" w:hAnsi="Arial"/>
                <w:sz w:val="18"/>
                <w:szCs w:val="18"/>
                <w:b w:val="1"/>
                <w:bCs w:val="1"/>
                <w:color w:val="auto"/>
                <w:w w:val="98"/>
              </w:rPr>
              <w:t>PART I</w:t>
            </w:r>
          </w:p>
        </w:tc>
        <w:tc>
          <w:tcPr>
            <w:tcW w:w="1700" w:type="dxa"/>
            <w:vAlign w:val="bottom"/>
          </w:tcPr>
          <w:p>
            <w:pPr>
              <w:spacing w:after="0"/>
              <w:rPr>
                <w:sz w:val="19"/>
                <w:szCs w:val="19"/>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Business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0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700" w:type="dxa"/>
            <w:vAlign w:val="bottom"/>
          </w:tcPr>
          <w:p>
            <w:pPr>
              <w:jc w:val="cente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1B.</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Unresolved Staff Comments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890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700" w:type="dxa"/>
            <w:vAlign w:val="bottom"/>
          </w:tcPr>
          <w:p>
            <w:pPr>
              <w:jc w:val="cente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35</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3.</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890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700" w:type="dxa"/>
            <w:vAlign w:val="bottom"/>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r>
      <w:tr>
        <w:trPr>
          <w:trHeight w:val="392"/>
        </w:trPr>
        <w:tc>
          <w:tcPr>
            <w:tcW w:w="820" w:type="dxa"/>
            <w:vAlign w:val="bottom"/>
          </w:tcPr>
          <w:p>
            <w:pPr>
              <w:spacing w:after="0"/>
              <w:rPr>
                <w:sz w:val="24"/>
                <w:szCs w:val="24"/>
                <w:color w:val="auto"/>
              </w:rPr>
            </w:pPr>
          </w:p>
        </w:tc>
        <w:tc>
          <w:tcPr>
            <w:tcW w:w="8900" w:type="dxa"/>
            <w:vAlign w:val="bottom"/>
          </w:tcPr>
          <w:p>
            <w:pPr>
              <w:jc w:val="center"/>
              <w:ind w:left="789"/>
              <w:spacing w:after="0"/>
              <w:rPr>
                <w:sz w:val="20"/>
                <w:szCs w:val="20"/>
                <w:color w:val="auto"/>
              </w:rPr>
            </w:pPr>
            <w:r>
              <w:rPr>
                <w:rFonts w:ascii="Arial" w:cs="Arial" w:eastAsia="Arial" w:hAnsi="Arial"/>
                <w:sz w:val="18"/>
                <w:szCs w:val="18"/>
                <w:b w:val="1"/>
                <w:bCs w:val="1"/>
                <w:color w:val="auto"/>
              </w:rPr>
              <w:t>PART II</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5.</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8"/>
              </w:rPr>
              <w:t>Market for Registrant’s Common Equity, Related Stockholder Matters and Issuer Purchases of Equity Securities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890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700" w:type="dxa"/>
            <w:vAlign w:val="bottom"/>
          </w:tcPr>
          <w:p>
            <w:pPr>
              <w:jc w:val="cente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7.</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Conditions and Results of Operations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7A.</w:t>
            </w:r>
          </w:p>
        </w:tc>
        <w:tc>
          <w:tcPr>
            <w:tcW w:w="89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jc w:val="cente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8.</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9.</w:t>
            </w:r>
          </w:p>
        </w:tc>
        <w:tc>
          <w:tcPr>
            <w:tcW w:w="890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700" w:type="dxa"/>
            <w:vAlign w:val="bottom"/>
          </w:tcPr>
          <w:p>
            <w:pPr>
              <w:jc w:val="cente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129</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9A.</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129</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9B.</w:t>
            </w:r>
          </w:p>
        </w:tc>
        <w:tc>
          <w:tcPr>
            <w:tcW w:w="890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jc w:val="cente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130</w:t>
              </w:r>
            </w:hyperlink>
          </w:p>
        </w:tc>
      </w:tr>
      <w:tr>
        <w:trPr>
          <w:trHeight w:val="392"/>
        </w:trPr>
        <w:tc>
          <w:tcPr>
            <w:tcW w:w="820" w:type="dxa"/>
            <w:vAlign w:val="bottom"/>
          </w:tcPr>
          <w:p>
            <w:pPr>
              <w:spacing w:after="0"/>
              <w:rPr>
                <w:sz w:val="24"/>
                <w:szCs w:val="24"/>
                <w:color w:val="auto"/>
              </w:rPr>
            </w:pPr>
          </w:p>
        </w:tc>
        <w:tc>
          <w:tcPr>
            <w:tcW w:w="8900" w:type="dxa"/>
            <w:vAlign w:val="bottom"/>
          </w:tcPr>
          <w:p>
            <w:pPr>
              <w:jc w:val="center"/>
              <w:ind w:left="809"/>
              <w:spacing w:after="0"/>
              <w:rPr>
                <w:sz w:val="20"/>
                <w:szCs w:val="20"/>
                <w:color w:val="auto"/>
              </w:rPr>
            </w:pPr>
            <w:r>
              <w:rPr>
                <w:rFonts w:ascii="Arial" w:cs="Arial" w:eastAsia="Arial" w:hAnsi="Arial"/>
                <w:sz w:val="18"/>
                <w:szCs w:val="18"/>
                <w:b w:val="1"/>
                <w:bCs w:val="1"/>
                <w:color w:val="auto"/>
              </w:rPr>
              <w:t>PART III</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10.</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Director, Executive Officers and Corporate Governance</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130</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11.</w:t>
            </w:r>
          </w:p>
        </w:tc>
        <w:tc>
          <w:tcPr>
            <w:tcW w:w="890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700" w:type="dxa"/>
            <w:vAlign w:val="bottom"/>
          </w:tcPr>
          <w:p>
            <w:pPr>
              <w:jc w:val="cente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130</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12.</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130</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13.</w:t>
            </w:r>
          </w:p>
        </w:tc>
        <w:tc>
          <w:tcPr>
            <w:tcW w:w="890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700" w:type="dxa"/>
            <w:vAlign w:val="bottom"/>
          </w:tcPr>
          <w:p>
            <w:pPr>
              <w:jc w:val="cente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130</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14.</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130</w:t>
              </w:r>
            </w:hyperlink>
          </w:p>
        </w:tc>
      </w:tr>
      <w:tr>
        <w:trPr>
          <w:trHeight w:val="365"/>
        </w:trPr>
        <w:tc>
          <w:tcPr>
            <w:tcW w:w="820" w:type="dxa"/>
            <w:vAlign w:val="bottom"/>
          </w:tcPr>
          <w:p>
            <w:pPr>
              <w:spacing w:after="0"/>
              <w:rPr>
                <w:sz w:val="24"/>
                <w:szCs w:val="24"/>
                <w:color w:val="auto"/>
              </w:rPr>
            </w:pPr>
          </w:p>
        </w:tc>
        <w:tc>
          <w:tcPr>
            <w:tcW w:w="8900" w:type="dxa"/>
            <w:vAlign w:val="bottom"/>
          </w:tcPr>
          <w:p>
            <w:pPr>
              <w:jc w:val="center"/>
              <w:ind w:left="809"/>
              <w:spacing w:after="0"/>
              <w:rPr>
                <w:sz w:val="20"/>
                <w:szCs w:val="20"/>
                <w:color w:val="auto"/>
              </w:rPr>
            </w:pPr>
            <w:r>
              <w:rPr>
                <w:rFonts w:ascii="Arial" w:cs="Arial" w:eastAsia="Arial" w:hAnsi="Arial"/>
                <w:sz w:val="18"/>
                <w:szCs w:val="18"/>
                <w:b w:val="1"/>
                <w:bCs w:val="1"/>
                <w:color w:val="auto"/>
              </w:rPr>
              <w:t>PART IV</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15.</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131</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16.</w:t>
            </w:r>
          </w:p>
        </w:tc>
        <w:tc>
          <w:tcPr>
            <w:tcW w:w="8900" w:type="dxa"/>
            <w:vAlign w:val="bottom"/>
          </w:tcPr>
          <w:p>
            <w:pPr>
              <w:ind w:left="140"/>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Summary</w:t>
            </w:r>
          </w:p>
        </w:tc>
        <w:tc>
          <w:tcPr>
            <w:tcW w:w="1700" w:type="dxa"/>
            <w:vAlign w:val="bottom"/>
          </w:tcPr>
          <w:p>
            <w:pPr>
              <w:jc w:val="center"/>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134</w:t>
              </w:r>
            </w:hyperlink>
          </w:p>
        </w:tc>
      </w:tr>
    </w:tbl>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jc w:val="both"/>
        <w:ind w:right="500" w:firstLine="324"/>
        <w:spacing w:after="0" w:line="221" w:lineRule="exact"/>
        <w:rPr>
          <w:sz w:val="20"/>
          <w:szCs w:val="20"/>
          <w:color w:val="auto"/>
        </w:rPr>
      </w:pPr>
      <w:r>
        <w:rPr>
          <w:rFonts w:ascii="Arial" w:cs="Arial" w:eastAsia="Arial" w:hAnsi="Arial"/>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Arial" w:cs="Arial" w:eastAsia="Arial" w:hAnsi="Arial"/>
          <w:sz w:val="18"/>
          <w:szCs w:val="18"/>
          <w:i w:val="1"/>
          <w:iCs w:val="1"/>
          <w:color w:val="auto"/>
        </w:rPr>
        <w:t>www.wdc.com</w:t>
      </w:r>
      <w:r>
        <w:rPr>
          <w:rFonts w:ascii="Arial" w:cs="Arial" w:eastAsia="Arial" w:hAnsi="Arial"/>
          <w:sz w:val="18"/>
          <w:szCs w:val="18"/>
          <w:color w:val="auto"/>
        </w:rPr>
        <w:t>. The information on our website is not incorporated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Western Digital, WD, SanDisk, Tegile, and Upthere are registered trademarks or trademarks of Western Digital or its affiliates in the U.S. and/or other countries. All other trademarks, registered trademarks and/or service marks, indicated or otherwise, are the property of their respective owners.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Flash Ventures joint venture with Toshiba Memory Corporation;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 and share repurchase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future results of operations;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impact of the Tax Cuts and Jobs Act enacted on December 22, 2017 on the Company;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w:t>
      </w:r>
    </w:p>
    <w:p>
      <w:pPr>
        <w:spacing w:after="0" w:line="211" w:lineRule="exact"/>
        <w:rPr>
          <w:sz w:val="20"/>
          <w:szCs w:val="20"/>
          <w:color w:val="auto"/>
        </w:rPr>
      </w:pPr>
    </w:p>
    <w:p>
      <w:pPr>
        <w:ind w:right="20" w:firstLine="324"/>
        <w:spacing w:after="0" w:line="219" w:lineRule="exact"/>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Western Digital Corporation (“Western Digital”) is a leading developer, manufacturer, and provider of data storage devices and solutions that address the evolving needs of the information technology (“IT”) industry and the infrastructure that enables the proliferation of data in virtually every other industry. Our broad portfolio of technology and products address the following key markets: Client Devices; Data Center Devices and Solutions; and Client Solutions. We also generate license and royalty revenue related to our intellectual property (“IP”) which is included in each of these three categories.</w:t>
      </w:r>
    </w:p>
    <w:p>
      <w:pPr>
        <w:spacing w:after="0" w:line="154"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Founded in 1970 in Santa Ana, California and now headquartered in San Jose, California, Western Digital has one of the technology industry’s most valuable patent portfolios with more than 14,000 patents awarded worldwide. Since 2009, we have been a Standard &amp; Poor’s 500 (“S&amp;P 500”) company. We have a rich heritage of innovation and operational excellence, a wide range of IP assets and broad research and development (“R&amp;D”) capabilities. The unabated growth and value of data continues creating a global need for a larger and more capable storage infrastructure. We continue to transform ourselves to address this growth by providing the broadest range of storage technologies in the industry with a comprehensive product portfolio and global reach.</w:t>
      </w:r>
    </w:p>
    <w:p>
      <w:pPr>
        <w:spacing w:after="0" w:line="1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Built on decades of expertise in developing leading technology and components, we are enabling enterprises to capture, preserve and access virtually limitless data. We enable cloud service providers to build more powerful, cost effective and efficient data centers. We have relationships with the full range of original equipment manufacturers (“OEM”) and data center customers currently addressing storage opportunities, such as storage subsystem suppliers, major server OEMs, Internet and social media infrastructure players, and personal computer (“PC”) and Mac™ OEMs. We have also built strong consumer brands by providing effective tools to manage fast-accumulating libraries of personal content. We market our products primarily under the HGST, SanDisk and WD brands. Our products are sold through distribution, retail and direct channels worldwide. We are a vertically integrated company with deep capabilities to transform disk drive and flash-based components into products and solutions. We operate a series of joint ventures with Toshiba Memory Corporation (“TMC”) that provide us with our flash-based technologies and products (see “Ventures with Toshiba Memory” Section below).</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well positioned to capitalize on the ongoing expansion in digital content generation and management driven by the uses of Artificial Intelligence (“AI”), Machine Learning and Data Analytics. These trends are linked directly to commercial enterprises’ and consumers’ need for data storage. The ways in which people and organizations are creating and using data are changing and the amount of data considered useful to store is expanding. More digital content is being stored and managed in a cloud environment on both hard disk drives (“HDDs”) and solid state drives (“SSDs”). With a focus on innovation and value creation, our goal is to grow through strong execution and targeted investments in data center infrastructure, mobility and the cloud.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operate in the data storage and data management industry. Our devices and solutions are made using either rotating magnetic or flash-based technologies that together provide a broad range of reliability, performance, storage capacity and data retention capabilities to our customers. The ability to capture and create value through the use of data analytics is an important asset to our customers. In a connected global marketplace, there is a proliferation in the methods by and the rates at which content is generated, consumed and stored by end users. When combined with fast global networks, these trends create tremendous need for cost effective, high-performance and/or high-capacity storage solutions in mobile, computing and consumer electronic devices, as well as in a wide range of storage systems, servers and data centers.</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growth in computing complexity, cloud computing applications, connected mobile devices and Internet connected products is driving unabated growth in the volume of digital content to be stored. This growth has led to a proliferation of data storage form factors. The storage industry is increasingly utilizing tiered architectures with HDDs, SSDs and other flash-based storage devices to address an expanding set of uses and applications. We continuously monitor the advantages, disadvantages and advances of the full array of storage technologies, including review of these technologies with our customers, to ensure we are appropriately resourced to meet our customers’ storage needs. Storage solutions that hold large amounts of data are a key enabler of the trends seen in the evolution of a data driven economy, underpinned by the increase of digital content creation, consumption and monetization.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a market and customer driven company, focused on growth, innovation and value creation for our customers, employees and shareholders. We develop deep and collaborative relationships with our customers with a goal of enabling their continued success, an approach that has made us a trusted business partner in our served markets. As our portfolio of storage solutions expands further, we believe our customer engagement approach is one of the key factors that will help us continue to achieve strong financial performance over the long term. We continue to evolve our customer engagement and go-to-market model to address changing customer and market needs. We are well positioned to expand our value-creation model within an evolving and growing storage ecosystem with our diversified product platform and unique competitive advantages.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industry is highly competitive. We compete with manufacturers of HDDs and flash-based memory for client devices and solutions, and data center devices and solutions. The HDD market consists of three principal manufacturers: Seagate Technology plc, with its Maxtor and Samsung brands, Toshiba Electronic Devices &amp; Storage Corporation (“Toshiba”) and Western Digital, with our HGST and WD brands. In flash-based memory, we compete with a wide range of manufacturers, from numerous small startup companies to large multinational corporations, including captive NAND suppliers SK hynix, Inc. (“SK hynix”), Intel Corporation (“Intel”), Micron Technology, Inc., Samsung Electronics Co., Ltd. (“Samsung Electronics”) and TMC.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overall strategy is to leverage our innovation and execution capabilities to be an industry-leading and broad-based developer, manufacturer and provider of storage devices and solutions that support the evolving IT industry infrastructure that has enabled the unabated proliferation of data. We strive to successfully execute our strategy through the following foundational elements in order to deliver the best outcome for our customers, partners, investors and employees:</w:t>
      </w:r>
    </w:p>
    <w:p>
      <w:pPr>
        <w:spacing w:after="0" w:line="187" w:lineRule="exact"/>
        <w:rPr>
          <w:sz w:val="20"/>
          <w:szCs w:val="20"/>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Technology Leadership: </w:t>
      </w:r>
      <w:r>
        <w:rPr>
          <w:rFonts w:ascii="Arial" w:cs="Arial" w:eastAsia="Arial" w:hAnsi="Arial"/>
          <w:sz w:val="18"/>
          <w:szCs w:val="18"/>
          <w:color w:val="auto"/>
        </w:rPr>
        <w:t>We continue to innovate and develop advanced technologies in both HDD and Flash to deliver timely new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meet growing demands for scale, performance and cost efficiency in the market.</w:t>
      </w:r>
    </w:p>
    <w:p>
      <w:pPr>
        <w:spacing w:after="0" w:line="170"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Broad Product Portfolio: </w:t>
      </w:r>
      <w:r>
        <w:rPr>
          <w:rFonts w:ascii="Arial" w:cs="Arial" w:eastAsia="Arial" w:hAnsi="Arial"/>
          <w:sz w:val="18"/>
          <w:szCs w:val="18"/>
          <w:color w:val="auto"/>
        </w:rPr>
        <w:t>We leverage our capabilities in firmware, software and systems to deliver compelling and differentiated storage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customers that offer the best combinations of performance, cost, power consumption, form factor, quality and reliability, while creating new use cases for our solutions in emerging markets.</w:t>
      </w:r>
    </w:p>
    <w:p>
      <w:pPr>
        <w:spacing w:after="0" w:line="181" w:lineRule="exact"/>
        <w:rPr>
          <w:rFonts w:ascii="Arial" w:cs="Arial" w:eastAsia="Arial" w:hAnsi="Arial"/>
          <w:sz w:val="18"/>
          <w:szCs w:val="18"/>
          <w:i w:val="1"/>
          <w:iCs w:val="1"/>
          <w:color w:val="auto"/>
        </w:rPr>
      </w:pPr>
    </w:p>
    <w:p>
      <w:pPr>
        <w:ind w:left="660" w:right="220" w:hanging="328"/>
        <w:spacing w:after="0" w:line="286"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Operational Excellence: </w:t>
      </w:r>
      <w:r>
        <w:rPr>
          <w:rFonts w:ascii="Arial" w:cs="Arial" w:eastAsia="Arial" w:hAnsi="Arial"/>
          <w:sz w:val="17"/>
          <w:szCs w:val="17"/>
          <w:color w:val="auto"/>
        </w:rPr>
        <w:t>We are focused on delivering the best value for our customers in data center, client and consumer markets through a</w:t>
      </w:r>
      <w:r>
        <w:rPr>
          <w:rFonts w:ascii="Arial" w:cs="Arial" w:eastAsia="Arial" w:hAnsi="Arial"/>
          <w:sz w:val="17"/>
          <w:szCs w:val="17"/>
          <w:i w:val="1"/>
          <w:iCs w:val="1"/>
          <w:color w:val="auto"/>
        </w:rPr>
        <w:t xml:space="preserve"> </w:t>
      </w:r>
      <w:r>
        <w:rPr>
          <w:rFonts w:ascii="Arial" w:cs="Arial" w:eastAsia="Arial" w:hAnsi="Arial"/>
          <w:sz w:val="17"/>
          <w:szCs w:val="17"/>
          <w:color w:val="auto"/>
        </w:rPr>
        <w:t>relentless focus on appropriately scaling our operations to efficiently support business growth, achieving best in class cost, quality and cycle-time, maintaining industry leading manufacturing capabilities, and having a competitive advantage in supply-chain management.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strategy provides the following benefits, which distinguish us in the dynamic and competitive storage industry:</w:t>
      </w:r>
    </w:p>
    <w:p>
      <w:pPr>
        <w:spacing w:after="0" w:line="225" w:lineRule="exact"/>
        <w:rPr>
          <w:sz w:val="20"/>
          <w:szCs w:val="20"/>
          <w:color w:val="auto"/>
        </w:rPr>
      </w:pPr>
    </w:p>
    <w:p>
      <w:pPr>
        <w:ind w:left="660" w:right="4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enables scaling for efficiency and flexibility, allowing us to leverage our R&amp;D and capital expenditures to deliver storage solutions to multiple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in continued diversification of our storage solutions portfolio and entry into additional growing adjacent markets; and</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allows us to achieve strong financial performance, including healthy cash generation, thereby enabling organic and inorganic business investments and allocation of capital to shareholders.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Storage Solutions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a broad line of data storage solutions to meet the evolving storage needs of end markets which include the following: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Devices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Client Devices consist of HDDs and SSDs for computing devices, such as desktop and notebook PCs, security surveillance systems, gaming consoles and set top boxes; flash-based embedded storage products for mobile phones, tablets, notebook PCs and other portable and wearable devices, automotive, IoT, industrial and connected home applications; and flash-based memory wafers. Our HDDs and SSDs are designed for use in devices requiring high performance, reliability and capacity with various attributes such as low cost per GB, quiet acoustics, low power consumption and protection against shocks. Our embedded storage include custom embedded solutions and iNAND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embedded flash products, such as our multi-chip package (“MCP”) solutions that combine flash-based and mobile dynamic random-access memory (“DRAM”) in an integrated package.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Data Center Devices and Solutions</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Data Center Devices and Solutions consist of high-capacity enterprise HDDs and high-performance enterprise SSDs, data center software and system solutions. Our capacity enterprise helium hard drives provide high capacity storage needs and low total cost of ownership benefits for the growing cloud data center market. Our high-performance enterprise class SSDs include high-performance flash-based SSDs and software solutions which are optimized for performance applications providing a range of capacity and performance levels primarily for use in enterprise servers, supporting high volume on-line transactions, data analysis and other enterprise applications. Our data center solutions also include a wide range of high-capacity HDDs and drive configurations which provide enterprise class reliability at the lowest cost per gigabyte (“GB”). These drives are primarily for use in data storage systems, in tiered storage models and where data must be stored reliably for years. Our system solutions provide petabyte scalable capacity with high performance at compelling economics. We also provide higher value data storage platforms and systems to the market through our vertically integrated scale-out object storage active archive systems.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Solutions</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Client Solutions consist of HDDs and SSDs embedded into external storage products and removable flash-based products which include cards, universal serial bus (“USB”) flash drives and wireless drives. Our external HDD storage products in both mobile and desktop form factors provide affordable, high quality, reliable storage for backup and capacity expansion that are designed to keep digital content secure. We offer client SSDs with a range of capacities and performance characteristics to address a broad spectrum of the client storage market. Our removable cards are designed primarily for use in consumer devices, such as mobile phones, tablets, imaging systems, still cameras, action video cameras and security surveillance systems. Our USB flash drives are used in the computing and consumer markets and are designed for high-performance and reliability. Our wireless drive products allow in-field back up of created content, as well as wireless streaming of high-definition movies, photos, music and documents to tablets, smartphones and PCs.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Rotating Magnetic Storage</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HDDs provide non-volatile data storage based on the recording of magnetic information on a rotating disk. We have successfully developed and commercialized HDDs that operate in an enclosed helium environment, instead of air, delivering industry leading HDD capacity and performance attributes. Our improvements in HDD capacity, which lower product costs over time, have been enabled largely through advancements in recording head and magnetic media technology. We develop and manufacture substantially all of the recording heads and magnetic media used in our hard drive products.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 In 2018, we announced the world’s first microwave-assisted magnetic recording (“MAMR”) HDD - a breakthrough in innovation for delivering ultra-high capacity HDDs to meet the future demands of Big Data with proven data center-level reliability.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Solid State Storage</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Solid state storage products provide non-volatile storage based on flash-based technology. We develop and manufacture solid state storage products in different form factors for a variety of different markets, including enterprise or cloud storage, client storage, automotive, mobile devices and removable memory devices.</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solid state storage products utilize our captive flash-based technology which we develop and manufacture through our business ventures with Toshiba Memory Corporation (“TMC”). We focus significant research, development and effort on developing highly reliable, high-performance, cost-effective flash-based technology. Over time, we have successfully developed and commercialized an increased number of bits per cell in an increasingly smaller form factor, further driving cost reductions. In 2018, we successfully introduced and commercialized 4-bits-per-cell architectures (X4 technology), on 3-dimensional (“3D”) NAND technology, which we refer to as BiCS3, with 64 layers of vertical storage capability which features advances in high aspect ratio semiconductor processing. BiCS3 X4 technology delivers an industry-leading storage capacity of 768 gigabits on a single chip. In addition, we leveraged our advanced UFS and e.MMC interface technologies to introduce a new portfolio of advanced iNAND® embedded flash drives to empower smartphone users to unlock the full potential of today’s data-driven applications and experiences.</w:t>
      </w:r>
    </w:p>
    <w:p>
      <w:pPr>
        <w:spacing w:after="0" w:line="1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expect to develop and commercialize additional generations of 3D NAND technologies over the next several years while continuing to utilize our older technology for certain markets and applications.</w:t>
      </w:r>
    </w:p>
    <w:p>
      <w:pPr>
        <w:spacing w:after="0" w:line="17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ease-of-use.</w:t>
      </w:r>
    </w:p>
    <w:p>
      <w:pPr>
        <w:spacing w:after="0" w:line="181" w:lineRule="exact"/>
        <w:rPr>
          <w:sz w:val="20"/>
          <w:szCs w:val="20"/>
          <w:color w:val="auto"/>
        </w:rPr>
      </w:pPr>
    </w:p>
    <w:p>
      <w:pPr>
        <w:ind w:right="40" w:firstLine="324"/>
        <w:spacing w:after="0" w:line="220" w:lineRule="exact"/>
        <w:rPr>
          <w:sz w:val="20"/>
          <w:szCs w:val="20"/>
          <w:color w:val="auto"/>
        </w:rPr>
      </w:pPr>
      <w:r>
        <w:rPr>
          <w:rFonts w:ascii="Arial" w:cs="Arial" w:eastAsia="Arial" w:hAnsi="Arial"/>
          <w:sz w:val="17"/>
          <w:szCs w:val="17"/>
          <w:color w:val="auto"/>
        </w:rPr>
        <w:t xml:space="preserve">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 For a discussion of associated risks,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firstLine="324"/>
        <w:spacing w:after="0" w:line="220" w:lineRule="exact"/>
        <w:rPr>
          <w:sz w:val="20"/>
          <w:szCs w:val="20"/>
          <w:color w:val="auto"/>
        </w:rPr>
      </w:pPr>
      <w:r>
        <w:rPr>
          <w:rFonts w:ascii="Arial" w:cs="Arial" w:eastAsia="Arial" w:hAnsi="Arial"/>
          <w:sz w:val="18"/>
          <w:szCs w:val="18"/>
          <w:color w:val="auto"/>
        </w:rPr>
        <w:t xml:space="preserve">We devote substantial resources to the development of new products and the improvement of existing products. We focus our engineering efforts on coordinating our product design and manufacturing processes to bring our products to market in a cost-effective and timely manner. R&amp;D expenses totaled $2.40 billion, $2.44 billion and $1.63 billion in 2018, 2017 and 2016, respectively.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rely on a combination of patents, trademarks, copyright and trade secret laws, confidentiality procedures and licensing arrangements to protect our IP rights.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more than 14,000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188" w:lineRule="exact"/>
        <w:rPr>
          <w:sz w:val="20"/>
          <w:szCs w:val="20"/>
          <w:color w:val="auto"/>
        </w:rPr>
      </w:pPr>
    </w:p>
    <w:p>
      <w:pPr>
        <w:ind w:right="200" w:firstLine="324"/>
        <w:spacing w:after="0" w:line="221" w:lineRule="exact"/>
        <w:rPr>
          <w:sz w:val="20"/>
          <w:szCs w:val="20"/>
          <w:color w:val="auto"/>
        </w:rPr>
      </w:pPr>
      <w:r>
        <w:rPr>
          <w:rFonts w:ascii="Arial" w:cs="Arial" w:eastAsia="Arial" w:hAnsi="Arial"/>
          <w:sz w:val="18"/>
          <w:szCs w:val="18"/>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believe that we have significant know-how, unique product manufacturing processes, test and tooling, execution skills, human resources and training to continue to be successful and to grow our manufacturing operations as necessary. We strive to maintain manufacturing flexibility, high manufacturing yields, reliable products and high-quality components. The critical elements of our production of HDD and flash-based products are high-volume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HDD and flash-based product manufacturing are complex processes involving the production and assembly of precision components with narrow tolerances and rigorous testing. The assembly process occurs in a “clean room” environment that demands skill in process engineering and efficient space utilization to control the operating costs of this manufacturing environment.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Substantially all of our flash-based supply requirements for our flash-based products is obtained from our business ventures with TMC, which provide us with leading-edge, high-quality and low-cost flash-based memory wafers. This represents a captive supply and we are obligated to take our share of the output from these ventures or pay the fixed costs associated with that capacity. See “Ventures with Toshiba Memory” below for additional information. While substantially all of our flash memory supply utilized for our products is purchased from these ventures, from time-to-time, we also purchase flash memory from other flash-based manufacturers, which we refer to as non-captive. While we do not unilaterally control the operations of these ventures, we believe that our business venture relationship with TMC helps us to reduce the costs of producing our products, increases our ability to control the quality of our products and speeds delivery of our products to our customers. Our vertically integrated manufacturing operations for our flash-based products are concentrated in three locations, with our business ventures with TMC located in Yokkaichi, Japan, and our in-house assembly and test operations located in Shanghai, China and Penang, Malaysia.</w:t>
      </w:r>
    </w:p>
    <w:p>
      <w:pPr>
        <w:spacing w:after="0" w:line="182" w:lineRule="exact"/>
        <w:rPr>
          <w:sz w:val="20"/>
          <w:szCs w:val="20"/>
          <w:color w:val="auto"/>
        </w:rPr>
      </w:pPr>
    </w:p>
    <w:p>
      <w:pPr>
        <w:ind w:right="340" w:firstLine="324"/>
        <w:spacing w:after="0" w:line="223" w:lineRule="exact"/>
        <w:rPr>
          <w:sz w:val="20"/>
          <w:szCs w:val="20"/>
          <w:color w:val="auto"/>
        </w:rPr>
      </w:pPr>
      <w:r>
        <w:rPr>
          <w:rFonts w:ascii="Arial" w:cs="Arial" w:eastAsia="Arial" w:hAnsi="Arial"/>
          <w:sz w:val="18"/>
          <w:szCs w:val="18"/>
          <w:color w:val="auto"/>
        </w:rPr>
        <w:t xml:space="preserve">We also leverage the efficiencies of contract manufacturers when strategically advantageous.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HDD primarily consists of recording heads, magnetic media and a printed circuit board assembly. We design and manufacture substantially all of the recording heads and magnetic media required for our products. As a result, we are more dependent upon our own development and execution efforts and less reliant on recording head and magnetic media technologies developed by other manufacturers. We depend on an external supply base for all remaining components and materials for use in our HDD product design and manufacturing.</w:t>
      </w:r>
    </w:p>
    <w:p>
      <w:pPr>
        <w:spacing w:after="0" w:line="18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flash-based product consists of flash-based memory and controllers. Substantially all of our flash-based memory is supplied by our business ventures with TMC. Controllers are primarily designed in-house and manufactured by third-party foundries or acquired from third-party suppliers. We believe the use of our in-house assembly and test facilities, as well as contract manufacturers, provides flexibility and gives us access to increased production capacity. We have developed deep relationships with these vendors and TMC to establish continuous supply of flash-based memory and controllers.</w:t>
      </w:r>
    </w:p>
    <w:p>
      <w:pPr>
        <w:spacing w:after="0" w:line="154" w:lineRule="exact"/>
        <w:rPr>
          <w:sz w:val="20"/>
          <w:szCs w:val="20"/>
          <w:color w:val="auto"/>
        </w:rPr>
      </w:pPr>
    </w:p>
    <w:p>
      <w:pPr>
        <w:jc w:val="both"/>
        <w:ind w:right="560" w:firstLine="324"/>
        <w:spacing w:after="0" w:line="221" w:lineRule="exact"/>
        <w:rPr>
          <w:sz w:val="20"/>
          <w:szCs w:val="20"/>
          <w:color w:val="auto"/>
        </w:rPr>
      </w:pPr>
      <w:r>
        <w:rPr>
          <w:rFonts w:ascii="Arial" w:cs="Arial" w:eastAsia="Arial" w:hAnsi="Arial"/>
          <w:sz w:val="18"/>
          <w:szCs w:val="18"/>
          <w:color w:val="auto"/>
        </w:rPr>
        <w:t xml:space="preserve">We generally retain multiple suppliers for our component requirements but in some instances use sole or single sources for business or technology reasons. Currently, we believe that there are no major issues with component availability. For a discussion of associated risks,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Ventures with Toshiba Memory</w:t>
      </w:r>
    </w:p>
    <w:p>
      <w:pPr>
        <w:spacing w:after="0" w:line="229"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We and TMC currently operate three business ventures in 300-millimeter flash-based manufacturing facilities in Yokkaichi, Japan, which provide us leading-edge, cost-competitive flash-based memory wafers for our end products. Through Flash Partners Ltd., Flash Alliance Ltd., and Flash Forward Ltd., which we collectively refer to as Flash Ventures, we and TMC collaborate in the development and manufacture of flash-based memory wafers using semiconductor manufacturing equipment owned or leased by each of the Flash Venture entities. We hold a 49.9% ownership position in each of the Flash Venture entities. Each Flash Venture entity purchases wafers from TMC at cost and then resells those wafers to us and TMC at cost plus a mark-up. We are obligated to purchase half of Flash Ventures’ flash-based memory wafer supply or pay for half of Flash Ventures’ fixed costs regardless of the output we choose to purchase. We are also obligated to fund 49.9% to 50% of Flash Ventures’ investments to the extent that Flash Ventures’ operating cash flow is insufficient to fund these investments. We and TMC also collaborate on certain R&amp;D activities in support of Flash Ventures.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agreements governing the operations of the Flash Venture entities also set out a framework for any investment by the joint venture partners in NAND manufacturing capacity. Flash Ventures’ manufacturing site in Yokkaichi, Japan is owned and operated by TMC and includes five wafer fabrication facilities, the newest of which are known as “New Fab 2” and “Fab 6.” The primary purpose of New Fab 2 and Fab 6 is to provide clean room space to support the continued conversion of existing 2-dimensional (“2D”) NAND wafer capacity to 3D NAND. We have jointly invested, and intend to continue to jointly invest, with TMC in manufacturing equipment for these facilities. In addition, TMC has announced that it is starting construction of a new wafer fabrication facility for the manufacture of 3D NAND in Kitakami, Iwate, Japan. Pursuant to our agreements governing Flash Ventures, which give us priority to participate in expansions and conversions of NAND manufacturing capacity, we intend to jointly invest with TMC in manufacturing equipment at the new facility in Kitakami, based on our ongoing discussions with TMC.</w:t>
      </w:r>
    </w:p>
    <w:p>
      <w:pPr>
        <w:spacing w:after="0" w:line="17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June 1, 2018, TMC, formerly a wholly owned subsidiary of Toshiba Corporation, was purchased by a consortium led by Bain Capital (the “Bain Consortium”) that includes SK hynix Inc. and other competitors, as well as key customers.</w:t>
      </w:r>
    </w:p>
    <w:p>
      <w:pPr>
        <w:spacing w:after="0" w:line="170"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xml:space="preserve">For a discussion of risks associated with our business ventures with TMC,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100" w:firstLine="324"/>
        <w:spacing w:after="0" w:line="219" w:lineRule="exact"/>
        <w:rPr>
          <w:sz w:val="20"/>
          <w:szCs w:val="20"/>
          <w:color w:val="auto"/>
        </w:rPr>
      </w:pPr>
      <w:r>
        <w:rPr>
          <w:rFonts w:ascii="Arial" w:cs="Arial" w:eastAsia="Arial" w:hAnsi="Arial"/>
          <w:sz w:val="18"/>
          <w:szCs w:val="18"/>
          <w:color w:val="auto"/>
        </w:rPr>
        <w:t xml:space="preserve">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78%, 80% and 72% of our net revenue for 2018, 2017 and 2016, respectively. Sales to international customers are subject to certain risks not normally encountered in domestic operations, including exposure to tariffs and various trade regulations.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6"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perform our marketing and advertising functions internally and through outside firms utilizing both consumer media and trade publications targeting various reseller and end-user categories.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 While these groups of customers make up our end markets, some of these customers cross into multiple groups. We define these customers as follows:</w:t>
      </w:r>
    </w:p>
    <w:p>
      <w:pPr>
        <w:spacing w:after="0" w:line="15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Original Equipment Manufacturers. </w:t>
      </w:r>
      <w:r>
        <w:rPr>
          <w:rFonts w:ascii="Arial" w:cs="Arial" w:eastAsia="Arial" w:hAnsi="Arial"/>
          <w:sz w:val="18"/>
          <w:szCs w:val="18"/>
          <w:color w:val="auto"/>
        </w:rPr>
        <w:t>OEMs, including large-scale data center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integrators and cloud customers who bundle, embed, or</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our storage solutions, purchase our products either directly or through a contract manufacturer such as an original design manufacturer (“ODM”) and assemble them into the devices they build. OEMs typically seek to qualify two or more providers for each generation of products and generally will purchase products from those vendors for the life of that product. Many of our OEM customers utilize just-in-time inventory management processes. As a result, for certain OEMs, we maintain a base stock of finished goods inventory in facilities located near or adjacent to the OEM’s operations. In addition, we sell directly to cloud infrastructure players as well as flash storage solutions to customers that offer our products under their own brand name in the retail market, which we also classify as OEMs.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 xml:space="preserve">Distributors. </w:t>
      </w:r>
      <w:r>
        <w:rPr>
          <w:rFonts w:ascii="Arial" w:cs="Arial" w:eastAsia="Arial" w:hAnsi="Arial"/>
          <w:sz w:val="18"/>
          <w:szCs w:val="18"/>
          <w:color w:val="auto"/>
        </w:rPr>
        <w:t>We use a broad group of distributors to sell our products to non-direct customers such as small computer and consumer electronics (“CE”)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dealers, value-added resellers, systems integrators, online retailers and other resellers. Distributors generally enter into non-exclusive agreements with us for the purchase and redistribution of our products in specific territories.</w:t>
      </w:r>
    </w:p>
    <w:p>
      <w:pPr>
        <w:spacing w:after="0" w:line="18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sell our branded products directly to a select group of major retailers such as computer superstores, warehouse clubs, online retailers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electronics stores, and authorize sales through distributors to smaller retailers. The retail channel complements our other sales channels while helping to build brand awareness for us and our products. We also sell our branded products through our websites.</w:t>
      </w:r>
    </w:p>
    <w:p>
      <w:pPr>
        <w:spacing w:after="0" w:line="166" w:lineRule="exact"/>
        <w:rPr>
          <w:sz w:val="20"/>
          <w:szCs w:val="20"/>
          <w:color w:val="auto"/>
        </w:rPr>
      </w:pPr>
    </w:p>
    <w:p>
      <w:pPr>
        <w:ind w:right="40" w:firstLine="324"/>
        <w:spacing w:after="0" w:line="220" w:lineRule="exact"/>
        <w:rPr>
          <w:sz w:val="20"/>
          <w:szCs w:val="20"/>
          <w:color w:val="auto"/>
        </w:rPr>
      </w:pPr>
      <w:r>
        <w:rPr>
          <w:rFonts w:ascii="Arial" w:cs="Arial" w:eastAsia="Arial" w:hAnsi="Arial"/>
          <w:sz w:val="17"/>
          <w:szCs w:val="17"/>
          <w:color w:val="auto"/>
        </w:rPr>
        <w:t xml:space="preserve">For each of 2018, 2017 and 2016, no single customer accounted for 10% or more of our net revenue. For a discussion of associated risks,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For additional information regarding revenue recognition, sales by geographic region and major customers, see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Business Segment, Geographic Information and Concentration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Risk</w:t>
      </w:r>
      <w:r>
        <w:rPr>
          <w:rFonts w:ascii="Arial" w:cs="Arial" w:eastAsia="Arial" w:hAnsi="Arial"/>
          <w:sz w:val="17"/>
          <w:szCs w:val="17"/>
          <w:color w:val="auto"/>
        </w:rPr>
        <w:t>,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substantial portion of our orders are generally for shipments within 60 days of the placement of the order. Customers’ purchase orders may be canceled with relatively short notice to us, with little or no cost to the customer, or modified by customers to provide for delivery at a later date. In addition, for many of our OEMs utilizing just-in-time inventory, we do not generally require firm order commitments and instead receive a periodic forecast of requirements. Therefore, backlog information as of the end of a particular period is not necessarily indicative of future levels of our revenue and profit and may not be comparable to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20" w:firstLine="324"/>
        <w:spacing w:after="0" w:line="221" w:lineRule="exact"/>
        <w:rPr>
          <w:sz w:val="20"/>
          <w:szCs w:val="20"/>
          <w:color w:val="auto"/>
        </w:rPr>
      </w:pPr>
      <w:r>
        <w:rPr>
          <w:rFonts w:ascii="Arial" w:cs="Arial" w:eastAsia="Arial" w:hAnsi="Arial"/>
          <w:sz w:val="18"/>
          <w:szCs w:val="18"/>
          <w:color w:val="auto"/>
        </w:rPr>
        <w:t xml:space="preserve">We have historically experienced seasonal fluctuations in our business with higher levels of demand in the first and second quarters of our fiscal year as a result of increased customer spending. Seasonality can also be impacted by the growth in emerging markets and macroeconomic conditions.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29" w:lineRule="exact"/>
        <w:rPr>
          <w:sz w:val="20"/>
          <w:szCs w:val="20"/>
          <w:color w:val="auto"/>
        </w:rPr>
      </w:pPr>
    </w:p>
    <w:p>
      <w:pPr>
        <w:ind w:right="220" w:firstLine="324"/>
        <w:spacing w:after="0" w:line="219" w:lineRule="exact"/>
        <w:rPr>
          <w:sz w:val="20"/>
          <w:szCs w:val="20"/>
          <w:color w:val="auto"/>
        </w:rPr>
      </w:pPr>
      <w:r>
        <w:rPr>
          <w:rFonts w:ascii="Arial" w:cs="Arial" w:eastAsia="Arial" w:hAnsi="Arial"/>
          <w:sz w:val="16"/>
          <w:szCs w:val="16"/>
          <w:color w:val="auto"/>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subject to a variety of U.S. and foreign laws and regulations in connection with our operations and relating to the protection of the environment, including those governing discharges of pollutants into the air and water, the management and disposal of hazardous substances and the clean-up of contaminated sites. Some of our operations require environmental permits and controls to prevent and reduce air and water pollution. These permits are subject to modification, renewal and revocation by issuing authorities. We believe that we have obtained or are in the process of obtaining all necessary environmental permits for our operations.</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established environmental management systems and continually update our environmental policies and standard operating procedures for our operations worldwide. We believe that our operations are in material compliance with applicable environmental laws, regulations and permits. We budget for operating and capital costs on an ongoing basis to comply with environmental laws.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Our properties have in some cases been operated for many years and may contain soil or groundwater contamination. In certain of our facilities we are undertaking voluntary monitoring of soil and groundwater. Based on available information, including our voluntary monitoring activities, we do not believe that we have a current affirmative legal obligation for any remedial action.</w:t>
      </w:r>
    </w:p>
    <w:p>
      <w:pPr>
        <w:spacing w:after="0" w:line="18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June 29, 2018, we employed a total of approximately 71,600 employees worldwide, excluding temporary employees and contractors. Many of our employees are highly skilled and our continued success depends in part upon our ability to attract and retain such employees. Accordingly, we offer employee benefit programs that we believe are, in the aggregate, competitive with those offered by our competitors.</w:t>
      </w:r>
    </w:p>
    <w:p>
      <w:pPr>
        <w:spacing w:after="0" w:line="181" w:lineRule="exact"/>
        <w:rPr>
          <w:sz w:val="20"/>
          <w:szCs w:val="20"/>
          <w:color w:val="auto"/>
        </w:rPr>
      </w:pPr>
    </w:p>
    <w:p>
      <w:pPr>
        <w:ind w:right="180" w:firstLine="324"/>
        <w:spacing w:after="0" w:line="221" w:lineRule="exact"/>
        <w:rPr>
          <w:sz w:val="20"/>
          <w:szCs w:val="20"/>
          <w:color w:val="auto"/>
        </w:rPr>
      </w:pPr>
      <w:r>
        <w:rPr>
          <w:rFonts w:ascii="Arial" w:cs="Arial" w:eastAsia="Arial" w:hAnsi="Arial"/>
          <w:sz w:val="18"/>
          <w:szCs w:val="18"/>
          <w:color w:val="auto"/>
        </w:rPr>
        <w:t xml:space="preserve">While the substantial majority of our employees are not party to a collective bargaining agreement, a majority of our employees in Japan and China are subject to collective bargaining agreements. We consider our employee relations to be good. For a discussion of associated risks,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are committed to growing our company in a strong and sustainable way and fostering a sustainable future for the communities we serve. We believe that corporate social responsibility is an essential factor for our overall success. This includes adopting ethical and sustainable practices to direct how we do business while keeping the interests of our stakeholders and the environment in mind, including valuing and challenging the talented men and women who comprise our workforce, and investing in and improving the communities where we live and work.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practices and policies underscore this commitment: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treat all employees with dignity and respect and foster diversity and inclusion globally.</w:t>
      </w:r>
    </w:p>
    <w:p>
      <w:pPr>
        <w:spacing w:after="0" w:line="225" w:lineRule="exact"/>
        <w:rPr>
          <w:rFonts w:ascii="Arial" w:cs="Arial" w:eastAsia="Arial" w:hAnsi="Arial"/>
          <w:sz w:val="18"/>
          <w:szCs w:val="18"/>
          <w:color w:val="auto"/>
        </w:rPr>
      </w:pPr>
    </w:p>
    <w:p>
      <w:pPr>
        <w:ind w:left="660" w:right="2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establish processes and policies for our employees to uphold ethical standards and comply with applicable laws and our internal guidelines, including a Code of Business Ethics adopted by our Board of Directors and applicable to members of our Board of Directors and all employees, a Global Code of Conduct applicable to all employees and an actively-managed ethics hotline.</w:t>
      </w:r>
    </w:p>
    <w:p>
      <w:pPr>
        <w:spacing w:after="0" w:line="18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establish policies and procedures intended to promote the idea that the quality of our products and services, consistency of production and employee well-being are predicated on a safe and healthy work environment.</w:t>
      </w:r>
    </w:p>
    <w:p>
      <w:pPr>
        <w:spacing w:after="0" w:line="170" w:lineRule="exact"/>
        <w:rPr>
          <w:rFonts w:ascii="Arial" w:cs="Arial" w:eastAsia="Arial" w:hAnsi="Arial"/>
          <w:sz w:val="18"/>
          <w:szCs w:val="18"/>
          <w:color w:val="auto"/>
        </w:rPr>
      </w:pPr>
    </w:p>
    <w:p>
      <w:pPr>
        <w:ind w:left="660" w:right="8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establish policies and processes intended to promote environmental responsibility as an integral part of our culture, and we publish an environmental report detailing emissions output and set goals to reduce our greenhouse gas emissions and electronic waste profile.</w:t>
      </w:r>
    </w:p>
    <w:p>
      <w:pPr>
        <w:spacing w:after="0" w:line="123" w:lineRule="exact"/>
        <w:rPr>
          <w:rFonts w:ascii="Arial" w:cs="Arial" w:eastAsia="Arial" w:hAnsi="Arial"/>
          <w:sz w:val="16"/>
          <w:szCs w:val="16"/>
          <w:color w:val="auto"/>
        </w:rPr>
      </w:pPr>
    </w:p>
    <w:p>
      <w:pPr>
        <w:ind w:left="660" w:right="6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engage with local communities across the globe, focusing on science, technology, engineering and math (targeting underrepresented and underprivileged youth), hunger relief, and environmental quality.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324"/>
        <w:spacing w:after="0" w:line="219" w:lineRule="exact"/>
        <w:rPr>
          <w:sz w:val="20"/>
          <w:szCs w:val="20"/>
          <w:color w:val="auto"/>
        </w:rPr>
      </w:pPr>
      <w:r>
        <w:rPr>
          <w:rFonts w:ascii="Arial" w:cs="Arial" w:eastAsia="Arial" w:hAnsi="Arial"/>
          <w:sz w:val="16"/>
          <w:szCs w:val="16"/>
          <w:color w:val="auto"/>
        </w:rPr>
        <w:t xml:space="preserve">We maintain an Internet website at </w:t>
      </w:r>
      <w:r>
        <w:rPr>
          <w:rFonts w:ascii="Arial" w:cs="Arial" w:eastAsia="Arial" w:hAnsi="Arial"/>
          <w:sz w:val="16"/>
          <w:szCs w:val="16"/>
          <w:i w:val="1"/>
          <w:iCs w:val="1"/>
          <w:color w:val="auto"/>
        </w:rPr>
        <w:t>www.wdc.com</w:t>
      </w:r>
      <w:r>
        <w:rPr>
          <w:rFonts w:ascii="Arial" w:cs="Arial" w:eastAsia="Arial" w:hAnsi="Arial"/>
          <w:sz w:val="16"/>
          <w:szCs w:val="16"/>
          <w:color w:val="auto"/>
        </w:rPr>
        <w:t>.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 xml:space="preserve">K and amendments to reports filed or furnished pursuant to Sections 13(a) and 15(d) of the Securities Exchange Act of 1934, as amended, are available on our website at </w:t>
      </w:r>
      <w:r>
        <w:rPr>
          <w:rFonts w:ascii="Arial" w:cs="Arial" w:eastAsia="Arial" w:hAnsi="Arial"/>
          <w:sz w:val="16"/>
          <w:szCs w:val="16"/>
          <w:i w:val="1"/>
          <w:iCs w:val="1"/>
          <w:color w:val="auto"/>
        </w:rPr>
        <w:t>www.wdc.com</w:t>
      </w:r>
      <w:r>
        <w:rPr>
          <w:rFonts w:ascii="Arial" w:cs="Arial" w:eastAsia="Arial" w:hAnsi="Arial"/>
          <w:sz w:val="16"/>
          <w:szCs w:val="16"/>
          <w:color w:val="auto"/>
        </w:rPr>
        <w:t>, free of charge, as soon as reasonably practicable after the electronic filing of these reports with, or furnishing of these reports to, the Securities and Exchange Commission (“SEC”). Any materials we file with the SEC are available at the SEC’s Public Reference Room at 100 F Street NE, Washington, DC 20549. Additional information about the operation of the Public Reference Room can also be obtained by calling the SEC at</w:t>
      </w:r>
    </w:p>
    <w:p>
      <w:pPr>
        <w:spacing w:after="0" w:line="2" w:lineRule="exact"/>
        <w:rPr>
          <w:sz w:val="20"/>
          <w:szCs w:val="20"/>
          <w:color w:val="auto"/>
        </w:rPr>
      </w:pPr>
    </w:p>
    <w:p>
      <w:pPr>
        <w:ind w:right="360"/>
        <w:spacing w:after="0" w:line="216"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SEC</w:t>
      </w:r>
      <w:r>
        <w:rPr>
          <w:rFonts w:ascii="MS PGothic" w:cs="MS PGothic" w:eastAsia="MS PGothic" w:hAnsi="MS PGothic"/>
          <w:sz w:val="18"/>
          <w:szCs w:val="18"/>
          <w:color w:val="auto"/>
        </w:rPr>
        <w:t>‑</w:t>
      </w:r>
      <w:r>
        <w:rPr>
          <w:rFonts w:ascii="Arial" w:cs="Arial" w:eastAsia="Arial" w:hAnsi="Arial"/>
          <w:sz w:val="18"/>
          <w:szCs w:val="18"/>
          <w:color w:val="auto"/>
        </w:rPr>
        <w:t xml:space="preserve">0330.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Adverse global economic conditions and credit market uncertainty could harm our business, results of operations and financial condition.</w:t>
      </w:r>
    </w:p>
    <w:p>
      <w:pPr>
        <w:spacing w:after="0" w:line="23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trade and tariff actions recently announced by the U.S., China and other countries, and changes to policies, rules and regulations. Some of the risks and uncertainties we face as a result of these conditions include, but are not limited to, the following:</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and indirect customers may delay or reduce their purchases of our products and systems containing our products.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demand for our products slows as a result of a deterioration in economic conditions, we may undertake restructuring activities to realign our cost structure with softening demand.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extend credit and payment terms to some of our customers and we could suffer significant losses if a customer whose accounts receivable we have not insured, or have underinsured, fails to pay us on their accounts receivable balances.</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negative or uncertain global economic conditions result in circumstances, such as a sustained decline in our stock price and market capitalization or a decrease in our forecasted cash flows, indicating that the carrying value of our long-lived assets or goodwill may be impaired, we could be required to record a significant charge to earnings in our Consolidated Financial Statements.</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These actions and conditions could result in reductions in our revenue, increased operating costs, impairment charges and other expenses, which could adversely affect our business, results of operations and financial condition.</w:t>
      </w:r>
    </w:p>
    <w:p>
      <w:pPr>
        <w:spacing w:after="0" w:line="170" w:lineRule="exact"/>
        <w:rPr>
          <w:sz w:val="20"/>
          <w:szCs w:val="20"/>
          <w:color w:val="auto"/>
        </w:rPr>
      </w:pPr>
    </w:p>
    <w:p>
      <w:pPr>
        <w:ind w:right="100" w:firstLine="162"/>
        <w:spacing w:after="0" w:line="381" w:lineRule="auto"/>
        <w:rPr>
          <w:sz w:val="20"/>
          <w:szCs w:val="20"/>
          <w:color w:val="auto"/>
        </w:rPr>
      </w:pPr>
      <w:r>
        <w:rPr>
          <w:rFonts w:ascii="Arial" w:cs="Arial" w:eastAsia="Arial" w:hAnsi="Arial"/>
          <w:sz w:val="15"/>
          <w:szCs w:val="15"/>
          <w:b w:val="1"/>
          <w:bCs w:val="1"/>
          <w:i w:val="1"/>
          <w:iCs w:val="1"/>
          <w:color w:val="auto"/>
        </w:rPr>
        <w:t>We rely substantially on our business ventures with Toshiba Memory Corporation (“TMC”) for the supply of flash-based memory and the development of flash-based technology, which subjects us to risks and uncertainties that could harm our business, financial condition and operating results.</w:t>
      </w:r>
    </w:p>
    <w:p>
      <w:pPr>
        <w:spacing w:after="0" w:line="1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dependent on our ventures with TMC to develop and manufacture flash-based memory products for our flash-based memory supply, and therefore our business, financial condition and operating results are dependent on the continued success of Flash Ventures. We partner with TMC on the development of flash-based technology, including the next technology transitions of flash-based memory,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inventory or inventory write-downs or under-utilization charges, and the potential impairment of our investments in Flash Ventures. On the other hand, if we or TMC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market share as a result. If our flash-based memory supply is limited, we may make strategic decisions with respect to the allocation of our supply among our products and customers, and these strategic allocation decisions may result in less favorable gross margin or damage certain customer relationships. We are also contractually obligated to pay for 50% of the fixed costs of Flash Ventures regardless of whether we purchase any wafers from Flash Ventures. Furthermore, purchase orders placed with Flash Ventures and under the foundry arrangements with TMC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Under the terms of our venture agreements with TMC, which govern the operations of Flash Ventures, we have limited power to unilaterally direct most of the activities that most significantly impact Flash Ventures’ performance and we have limits to our ability to source or fabricate flash-based products outside of the Flash Ventures. We may not always agree with TMC on our joint R&amp;D roadmap or expansions or conversions of production capacity. In addition, TMC’s shift in strategic priorities could adversely impact our business.</w:t>
      </w:r>
    </w:p>
    <w:p>
      <w:pPr>
        <w:spacing w:after="0" w:line="18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June 1, 2018, Toshiba Corporation announced it had completed the sale of TMC, including its interests in Flash Ventures, to a consortium led by SK hynix Inc. and Bain Capital (the “Bain Consortium”) that includes other competitors, as well as key customers. The sale of TMC to the Bain Consortium could lead to delays in decision-making, disputes, or changes in strategic direction that could adversely impact Flash Ventures and/or adversely affect our business prospects, results of operations and financial condition. The Bain Consortium might not have the same interest that we do in protecting and growing Flash Ventures’ business and there may exist conflicts of interest between the Bain Consortium and Flash Ventures or us. Misalignment between us and TMC or the Bain Consortium on the strategic direction of Flash Ventures could adversely impact Flash Ventures’ ability to stay at the forefront of technological advancement and/or our investment in Flash Ventures. Flash Ventures’ competitiveness and/or our investment in Flash Ventures could also be harmed by a mishandling or misuse of IP or other competitively sensitive confidential information regarding Flash Ventures, such as its technology roadmap, business or investment plans, by a third party that might gain access to such information.</w:t>
      </w:r>
    </w:p>
    <w:p>
      <w:pPr>
        <w:spacing w:after="0" w:line="18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Flash Ventures requires significant investments by both TMC and us for technology transitions, including the transition to 3D NAND, and capacity expansions. The Bain Consortium has entered into financing agreements in connection with its purchase of TMC that could limit TMC’s ability to timely fund or finance investments in Flash Ventures or our joint development efforts, as well as limit Flash Ventures’ ability to enter into lease financings. To the extent that lease financings for Flash Ventures are not accessible on favorable terms or at all, more cash would be required to fund investments. If TMC does not or we do not provide sufficient resources, or have adequate access to credit, to timely fund investments in Flash Ventures, our investments could be delayed or reduced. Delayed or reduced investment in manufacturing capacity or research and development by TMC or us could harm Flash Ventures’ competitiveness and/or our investment in Flash Ventures. In addition, the financing arrangements that the Bain Consortium has entered into in connection with its purchase of TMC are secured by TMC’s equity interests in Flash Ventures, permitting the lenders to foreclose on those equity interests under certain circumstances.</w:t>
      </w:r>
    </w:p>
    <w:p>
      <w:pPr>
        <w:spacing w:after="0" w:line="16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TMC has announced that it is starting construction of a new wafer fabrication facility for the manufacture of 3D NAND in Kitakami, Iwate, Japan. Although we intend to enter into agreements with TMC in due course to participate in the new Kitakami facility, there is no certainty as to when, and on what terms, we will do so. If we are unable to extend our partnership with TMC to the Kitakami facility on favorable terms, our future supply of captive flash-based memory could be adversely impacted, which could adversely affect our long-term business and financial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volatile demand, declining average selling prices (“ASPs”), rapid technological change and industry consolidation, all of which could adversely affect our operating results and financial condition.</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including the effects of new fab capacity in the industry, macroeconomic factors, business conditions, technology transitions, and other actions taken by us or our competitors. The price of NAND flash memory is also influenced by conversion of industry DRAM capacity to NAND and conversion of 2D NAND capacity to 3D NAND.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w:t>
      </w:r>
    </w:p>
    <w:p>
      <w:pPr>
        <w:spacing w:after="0" w:line="166"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In addition, we compete based on our ability to offer our customers competitive solutions that provide the most current and desired product and service features. We expect that competition will continue to be intense, and there is a risk that our competitors may be able to gain a technological or cost structure advantage over us, which may allow their products to be less costly or enable them to provide better performance or to include additional features when compared to our products. Further, some of our competitors may utilize certain pricing strategies, including offering products at prices at or below cost, that we may be unable to competitively match. In addition,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Additionally, some of our competitors offer products and technologies that we do not offer and may be able to use their broader product and technology portfolio to win sales from us.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Finally, the data storage industry as a whole has experienced consolidation over the past several years through acquisitions, mergers and decisions by industry players to exit the industry. Further consolidation across the industry could enhance the capacity, abilities and resources and lower the cost structure of some of our competitors, causing us to be at a competitive disadvantage.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82" w:lineRule="exact"/>
        <w:rPr>
          <w:sz w:val="20"/>
          <w:szCs w:val="20"/>
          <w:color w:val="auto"/>
        </w:rPr>
      </w:pPr>
    </w:p>
    <w:p>
      <w:pPr>
        <w:ind w:right="200" w:firstLine="162"/>
        <w:spacing w:after="0" w:line="286" w:lineRule="auto"/>
        <w:rPr>
          <w:sz w:val="20"/>
          <w:szCs w:val="20"/>
          <w:color w:val="auto"/>
        </w:rPr>
      </w:pPr>
      <w:r>
        <w:rPr>
          <w:rFonts w:ascii="Arial" w:cs="Arial" w:eastAsia="Arial" w:hAnsi="Arial"/>
          <w:sz w:val="17"/>
          <w:szCs w:val="17"/>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To remain a significant supplier in the storage industry and to expand into new markets, we will need to offer a broader range of storage products to our customers. As we expand our product lines to sell into new markets,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new markets may result in increases in R&amp;D expenses and substantial investments in manufacturing capability, technology enhancements and go-to-market capability. If we fail to successfully expand into new markets with products that we do not currently offer, we may lose business to our competitors or new entrants who offer these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technology transitions, our competitiveness and operating results may be negatively affected.</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flash-based memory producers or may not fall commensurate with declines in the price of flash-based memory, which would harm revenues, our gross margin and operating results.</w:t>
      </w:r>
    </w:p>
    <w:p>
      <w:pPr>
        <w:spacing w:after="0" w:line="17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additional technology transition risks related to 3D NAND, see the risk factors entitled “</w:t>
      </w:r>
      <w:r>
        <w:rPr>
          <w:rFonts w:ascii="Arial" w:cs="Arial" w:eastAsia="Arial" w:hAnsi="Arial"/>
          <w:sz w:val="18"/>
          <w:szCs w:val="18"/>
          <w:i w:val="1"/>
          <w:iCs w:val="1"/>
          <w:color w:val="auto"/>
        </w:rPr>
        <w:t>We rely substantially on our business ventures with Toshiba</w:t>
      </w:r>
      <w:r>
        <w:rPr>
          <w:rFonts w:ascii="Arial" w:cs="Arial" w:eastAsia="Arial" w:hAnsi="Arial"/>
          <w:sz w:val="18"/>
          <w:szCs w:val="18"/>
          <w:color w:val="auto"/>
        </w:rPr>
        <w:t xml:space="preserve"> </w:t>
      </w:r>
      <w:r>
        <w:rPr>
          <w:rFonts w:ascii="Arial" w:cs="Arial" w:eastAsia="Arial" w:hAnsi="Arial"/>
          <w:sz w:val="18"/>
          <w:szCs w:val="18"/>
          <w:i w:val="1"/>
          <w:iCs w:val="1"/>
          <w:color w:val="auto"/>
        </w:rPr>
        <w:t>Memory Corporation (“TMC”) for the supply of flash-based memory and the development of flash-based technology, which subjects us to risks and uncertainties that could harm our business, financial condition and operating results</w:t>
      </w:r>
      <w:r>
        <w:rPr>
          <w:rFonts w:ascii="Arial" w:cs="Arial" w:eastAsia="Arial" w:hAnsi="Arial"/>
          <w:sz w:val="18"/>
          <w:szCs w:val="18"/>
          <w:color w:val="auto"/>
        </w:rPr>
        <w:t>” 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With respect to HDDs, we announced that we will use microwave-assisted magnetic recording (MAMR) technology to increase HDD capacities. If our HDD technology transitions, including the production ramp of MAMR HDDs, take longer or are more costly to complete than anticipated or if we otherwise fail to implement new HDD technologies successfully, we may not remain competitive with other HDD producers, which could adversely affect our revenues, our gross margin and operating results.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Moving to new technologies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73"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b w:val="1"/>
          <w:bCs w:val="1"/>
          <w:i w:val="1"/>
          <w:iCs w:val="1"/>
          <w:color w:val="auto"/>
        </w:rPr>
        <w:t>The substitution or replacement of our technologies and products by new technologies could make our products obsolete and harm our operating results.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There are some revolutionary technologies that, if implemented by a competitor on a commercially viable basis ahead of the industry, could put us at a competitive disadvantage, including shingled magnetic recording, energy-assisted magnetic recording, patterned magnetic media and advanced signal processing.</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Many companies, including some of our competitors, have also developed or are attempting to develop alternative non-volatile technologies, including non-NAND technologies such as magnetoresistive random-access memory (MRAM), resistive random-access memory (ReRAM) and phase change memory (PCM), and NAND-based vertical or stacked 3D memories based on charge trap, floating gate and other cell architectures.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success depends in part on our ability to develop and introduce new products in a timely manner in order to keep pace with technology advancements and compete with alternative storage technologies. If our products fail to offer a superior value proposition to alternative storage products, we will be at a competitive disadvantage and our business will suffer. As we introduce new products, standards or technologies, it can take time for these new standards or technologies to be adopted, for customers to accept and transition to these new standards or technologies and for significant sales to be generated, if at all. Failure of our customers to adopt our new products, standards or technologies could harm our results of operations as we fail to reap the benefits of our investments.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transition future core, processor and controller development to the RISC-V architecture;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respond to customer requests for new products and software associated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incorporate open source software elements into our products and operate in an open source environment;</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TMC for flash-based memory development and manufacturing. See the risk factor entitled “</w:t>
      </w:r>
      <w:r>
        <w:rPr>
          <w:rFonts w:ascii="Arial" w:cs="Arial" w:eastAsia="Arial" w:hAnsi="Arial"/>
          <w:sz w:val="17"/>
          <w:szCs w:val="17"/>
          <w:i w:val="1"/>
          <w:iCs w:val="1"/>
          <w:color w:val="auto"/>
        </w:rPr>
        <w:t>Because we are dependent on a limited number of qualified suppliers, a disruption in our supply</w:t>
      </w:r>
      <w:r>
        <w:rPr>
          <w:rFonts w:ascii="Arial" w:cs="Arial" w:eastAsia="Arial" w:hAnsi="Arial"/>
          <w:sz w:val="17"/>
          <w:szCs w:val="17"/>
          <w:color w:val="auto"/>
        </w:rPr>
        <w:t xml:space="preserve"> </w:t>
      </w:r>
      <w:r>
        <w:rPr>
          <w:rFonts w:ascii="Arial" w:cs="Arial" w:eastAsia="Arial" w:hAnsi="Arial"/>
          <w:sz w:val="17"/>
          <w:szCs w:val="17"/>
          <w:i w:val="1"/>
          <w:iCs w:val="1"/>
          <w:color w:val="auto"/>
        </w:rPr>
        <w:t>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7"/>
          <w:szCs w:val="17"/>
          <w:color w:val="auto"/>
        </w:rPr>
        <w:t>” for a further description of the risks associated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reliance on external suppliers. These strategic relationships are subject to various risks that could adversely affect the value of our investments and our results of operations and financial condition. These risks include, but are not limited to, the following:</w:t>
      </w:r>
    </w:p>
    <w:p>
      <w:pPr>
        <w:spacing w:after="0" w:line="178" w:lineRule="exact"/>
        <w:rPr>
          <w:sz w:val="20"/>
          <w:szCs w:val="20"/>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3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8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7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b w:val="1"/>
          <w:bCs w:val="1"/>
          <w:i w:val="1"/>
          <w:iCs w:val="1"/>
          <w:color w:val="auto"/>
        </w:rPr>
        <w:t>Because we are dependent on a limited number of qualified suppliers,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8"/>
          <w:szCs w:val="18"/>
          <w:i w:val="1"/>
          <w:iCs w:val="1"/>
          <w:color w:val="auto"/>
        </w:rPr>
        <w:t>.</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w:t>
      </w:r>
    </w:p>
    <w:p>
      <w:pPr>
        <w:spacing w:after="0" w:line="16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 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See the risk factors entitled </w:t>
      </w:r>
      <w:r>
        <w:rPr>
          <w:rFonts w:ascii="Arial" w:cs="Arial" w:eastAsia="Arial" w:hAnsi="Arial"/>
          <w:sz w:val="18"/>
          <w:szCs w:val="18"/>
          <w:i w:val="1"/>
          <w:iCs w:val="1"/>
          <w:color w:val="auto"/>
        </w:rPr>
        <w:t>“We rely substantially on our business ventures with Toshiba Memory Corporation (“TMC”) for the supply of flash-based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memory and the development of flash-based technology, which subjects us to risks and uncertainties that could harm our business, financial condition and operating results”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 </w:t>
      </w:r>
      <w:r>
        <w:rPr>
          <w:rFonts w:ascii="Arial" w:cs="Arial" w:eastAsia="Arial" w:hAnsi="Arial"/>
          <w:sz w:val="18"/>
          <w:szCs w:val="18"/>
          <w:color w:val="auto"/>
        </w:rPr>
        <w:t>for additional risks related to our supply of flash memory and our strategic relationships.</w:t>
      </w:r>
    </w:p>
    <w:p>
      <w:pPr>
        <w:spacing w:after="0" w:line="18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b w:val="1"/>
          <w:bCs w:val="1"/>
          <w:i w:val="1"/>
          <w:iCs w:val="1"/>
          <w:color w:val="auto"/>
        </w:rPr>
        <w:t>Price volatility, shortages of critical materials or components, or use by other industries of materials and components used in the storage industry, or contractual commitments we enter into with suppliers to reduce the risk of component shortages, could increase our costs and may negatively impact our operating results.</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flash-based memory and multi-layer ceramic capacitors (MLCC),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(such as the recently announced trade and tariff actions),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7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165"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may be at a competitive disadvantage for retaining and hiring key management, staff and skilled employees versus other companies that may pay a relatively higher portion of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current concentration of Flash Ventures in Yokkaichi, Japan, magnifies the risks of supply disruption. The facilities of many of our customers, our suppliers and our customers’ suppliers are also concentrated in certain geographic locations throughout Asia and elsewhere. A fire, flood, earthquake, tsunami or other natural disaster, condition or event such as a power outage, political instability, civil unrest, localized labor unrest or other employment issues, or a localized health risk that adversely affects any of these facilities or the employees or logistics operators at these facilities, would significantly affect our ability to manufacture or sell our products,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6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TMC to obtain and maintain sufficient property, business interruption and other insurance for Flash Ventures. If TMC fails to do so, we could suffer significant unreimbursable losses, and such failure could also cause Flash Ventures to breach various financing covenants.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marketing and selling our products globally subjects us to numerous risks.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restrictions, such as export bans, embargos, sanctions and license and certification requirements (including on encryption technology), new or increased tariffs and fees and complex customs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For example, beginning in early 2018, the U.S. commenced certain trade actions, including proposed new and increased tariffs on an evolving list of imported materials and products. Countries have responded to these actions in various ways, including proposed tariff increases on products imported from the U.S. We cannot predict whether, or to what extent, there may be changes to international trade agreements or whether tariffs or other restrictions may be changed or imposed on our products or our supply chain. Such tariffs, policy or regulatory changes or other trade restrictions could increase our cost of doing business, our ability to sell to certain customers, and our operating results and financial condition could be adversely affected.</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experience sales seasonality and cyclicality, which could cause our operating results to fluctuate.</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178"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that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cost savings initiatives or restructurings that we undertake may not deliver the results we expect, which may adversely affect our business.</w:t>
      </w:r>
    </w:p>
    <w:p>
      <w:pPr>
        <w:spacing w:after="0" w:line="2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 to time, we engage in cost savings initiatives and restructurings that may result in workforce reduction and consolidation of our manufacturing or other facilities. As a result of any cost savings initiatives or restructurings,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or that additional costs will not offset any such reductions or consolidations. If our operating costs are higher than we expect or if we do not maintain adequate control of our costs and expenses, our operating results could be adversely affected.</w:t>
      </w:r>
    </w:p>
    <w:p>
      <w:pPr>
        <w:spacing w:after="0" w:line="19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Changes in demand for our products, changes in product life cycles and the failure to qualify our products and achieve design wins with our customers could adversely affect our sales, margins, ASPs and our ability to recover the cost of product development.</w:t>
      </w:r>
    </w:p>
    <w:p>
      <w:pPr>
        <w:spacing w:after="0" w:line="170"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Events or circumstances that impact demand in the markets for our products, or our inability to address that demand successfully, could materially adversely impact our operating results. For example, demand for our products may be affected by, among other factors, the following:</w:t>
      </w:r>
    </w:p>
    <w:p>
      <w:pPr>
        <w:spacing w:after="0" w:line="14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inconsistent demand from customers whose sales are correlated to large projects and expansions which can be sporadic;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internal customer development of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in the regulation and enforcement of digital rights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emergence of new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demand due to differing patterns of technology adoption and innovation;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data protection by end users.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are not able to respond to these or other events or circumstances that impact demand for our products, it could lead to our customers’ storage needs being satisfied by competing storage technologies, thereby decreasing our sales. As a result, even with increasing aggregate demand for digital storage, if we fail to anticipate or timely respond to the demand for storage, our sales, ASPs and gross margin could decline, which could adversely affect our operating results and financial condition.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Product life cycles may lengthen or shorten, both of which could adversely affect gross margins or our ability to recover the cost of product development.</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regularly engage in new product qualification with our customers, and the product qualification process may be lengthy for some customers. Once a product is accepted for qualification testing, failures or delays in the qualification process can result in delayed or reduced product sales, reduced product margins or lost sales to that customer until the next generation of products is introduced.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w:t>
      </w:r>
    </w:p>
    <w:p>
      <w:pPr>
        <w:spacing w:after="0" w:line="193"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June 29, 2018, our total indebtedness was $11.38 billion in aggregate principal, and we had $1.75 billion of additional borrowing availability under our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4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44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ability to meet the debt service obligations contained in our debt agreements will depend on our available cash and our future performance, which will be affected by financial, business, economic and other factors. Our bank debt also contains a variable interest rate component based on our corporate credit ratings, which could result in increased interest rates and debt service obligations if our ratings were to decline.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cross-acceleration or cross-default of other debt, leases or other obligations. If we are required to repay our indebtedness before the applicable due dates, we may not have sufficient funds available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8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addition to our credit ratings impacting the interest rate on our current debt, our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tax laws could increase our worldwide tax rate and materially affect our financial position and results of operations.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December 22, 2017, the President of the United States of America signed the Tax Cuts and Jobs Act (the “2017 Act”), which includes a broad range of tax reform proposals affecting businesses, including a reduction in the U.S. federal corporate tax rate from 35% to 21%, a one-time mandatory deemed repatriation tax on earnings of certain foreign subsidiaries that were previously tax deferred, and a new minimum tax on certain foreign earnings. The 2017 Act significantly impacts our effective tax rate for fiscal year 2018 as a result of the deemed repatriation tax and may impact several other elements of our operating model. In future years, certain additional provisions of the 2017 Act, such as the minimum tax on certain foreign earnings, will also apply to us and, as a result, we generally expect our effective tax rate to increase from the fiscal year 2018 rate (excluding the mandatory deemed repatriation tax and the re-measurement of deferred taxes). Taxes due over a period of time as a result of the 2017 Act could be accelerated upon certain triggering events, including failure to pay such taxes when due. The 2017 Act makes broad and complex changes to the U.S. tax code and we expect to see future regulatory, administrative or legislative guidance. We are analyzing the 2017 Act to determine the full impact of the new tax law, and to the extent any future guidance differs from our preliminary interpretation of the law, it could have a material effect on our financial position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subject to risks associated with loss or non-renewal of favorable tax treatment under agreements or treaties with foreign tax authorities.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187" w:lineRule="exact"/>
        <w:rPr>
          <w:sz w:val="20"/>
          <w:szCs w:val="20"/>
          <w:color w:val="auto"/>
        </w:rPr>
      </w:pPr>
    </w:p>
    <w:p>
      <w:pPr>
        <w:ind w:right="600" w:firstLine="162"/>
        <w:spacing w:after="0" w:line="308" w:lineRule="auto"/>
        <w:rPr>
          <w:sz w:val="20"/>
          <w:szCs w:val="20"/>
          <w:color w:val="auto"/>
        </w:rPr>
      </w:pPr>
      <w:r>
        <w:rPr>
          <w:rFonts w:ascii="Arial" w:cs="Arial" w:eastAsia="Arial" w:hAnsi="Arial"/>
          <w:sz w:val="17"/>
          <w:szCs w:val="17"/>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47" w:lineRule="exact"/>
        <w:rPr>
          <w:sz w:val="20"/>
          <w:szCs w:val="20"/>
          <w:color w:val="auto"/>
        </w:rPr>
      </w:pPr>
    </w:p>
    <w:p>
      <w:pPr>
        <w:ind w:right="20" w:firstLine="324"/>
        <w:spacing w:after="0" w:line="218" w:lineRule="exact"/>
        <w:rPr>
          <w:sz w:val="20"/>
          <w:szCs w:val="20"/>
          <w:color w:val="auto"/>
        </w:rPr>
      </w:pPr>
      <w:r>
        <w:rPr>
          <w:rFonts w:ascii="Arial" w:cs="Arial" w:eastAsia="Arial" w:hAnsi="Arial"/>
          <w:sz w:val="16"/>
          <w:szCs w:val="16"/>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statutory notice of deficiency seeking certain adjustments to income as disclosed in Part II, Item 8, Note 13, </w:t>
      </w:r>
      <w:r>
        <w:rPr>
          <w:rFonts w:ascii="Arial" w:cs="Arial" w:eastAsia="Arial" w:hAnsi="Arial"/>
          <w:sz w:val="16"/>
          <w:szCs w:val="16"/>
          <w:i w:val="1"/>
          <w:iCs w:val="1"/>
          <w:color w:val="auto"/>
        </w:rPr>
        <w:t>Income Tax Expense (Benefit)</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5" w:lineRule="exact"/>
        <w:rPr>
          <w:sz w:val="20"/>
          <w:szCs w:val="20"/>
          <w:color w:val="auto"/>
        </w:rPr>
      </w:pPr>
    </w:p>
    <w:p>
      <w:pPr>
        <w:ind w:right="10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0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 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TMC, to undertake certain commitments to promote information security, and we may be liable to TMC or such other parties if we fail to meet our cyber security commitments.</w:t>
      </w:r>
    </w:p>
    <w:p>
      <w:pPr>
        <w:spacing w:after="0" w:line="1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7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If customers no longer maintain a preference for our product brands or if our retailers are not successful in selling our products, our operating results may be adversely affected.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During the year ended June 29, 2018, 42%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162"/>
        <w:spacing w:after="0" w:line="308" w:lineRule="auto"/>
        <w:rPr>
          <w:sz w:val="20"/>
          <w:szCs w:val="20"/>
          <w:color w:val="auto"/>
        </w:rPr>
      </w:pPr>
      <w:r>
        <w:rPr>
          <w:rFonts w:ascii="Arial" w:cs="Arial" w:eastAsia="Arial" w:hAnsi="Arial"/>
          <w:sz w:val="17"/>
          <w:szCs w:val="17"/>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make significant R&amp;D investments to maintain our existing products and to lead innovation and development of new technologies. In addition, we may increase our capital expenditures and expenses above our historical run-rate model in order to remain competitive. The challenges of reducing operating costs could result in more costly capital expenditures that reduce the cost benefits of technology transitions and could limit our ability to keep pace with reductions in ASPs. Our R&amp;D investments may not result in viable technologies or products, and even if they do result in viable technologies or products, they may not be profitable or accepted by the market. In addition, if we are not able to improve our technology or develop new technologies at the same rate as our competitors or at a rate that is expected by our customers, we may be required to incur additional costs to meet demand without corresponding incremental revenue, which could negatively impact our operating margins and make achieving historical levels of cost reduction difficult or unlikely.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78"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security vulnerabilities or performance issues and subject us to liability.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6"/>
          <w:szCs w:val="16"/>
          <w:b w:val="1"/>
          <w:bCs w:val="1"/>
          <w:color w:val="auto"/>
        </w:rPr>
        <w:t>.</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2"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b w:val="1"/>
          <w:bCs w:val="1"/>
          <w:i w:val="1"/>
          <w:iCs w:val="1"/>
          <w:color w:val="auto"/>
        </w:rPr>
        <w:t>The costs of compliance with state, federal and international legal and regulatory requirements, such as environmental, labor, trade, health, safety, data privacy, anti-corruption and tax regulations, customers’ standards of corporate citizenship, and industry and coalition standards, such as those established by the Responsible Business Alliance (“RBA”), could cause an increase in our operating costs.</w:t>
      </w:r>
    </w:p>
    <w:p>
      <w:pPr>
        <w:spacing w:after="0" w:line="16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data privacy,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19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 interrupting or otherwise disrupting the shipment of our product components, damaging our reputation, forcing us to find alternate component sources, reducing demand for our products (for example, through a consumer boycott), or exposing us to potential liability for our suppliers’, customers’ or partners’ wrongdoings.</w:t>
      </w:r>
    </w:p>
    <w:p>
      <w:pPr>
        <w:spacing w:after="0" w:line="178"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firstLine="162"/>
        <w:spacing w:after="0" w:line="342" w:lineRule="auto"/>
        <w:rPr>
          <w:sz w:val="20"/>
          <w:szCs w:val="20"/>
          <w:color w:val="auto"/>
        </w:rPr>
      </w:pPr>
      <w:r>
        <w:rPr>
          <w:rFonts w:ascii="Arial" w:cs="Arial" w:eastAsia="Arial" w:hAnsi="Arial"/>
          <w:sz w:val="16"/>
          <w:szCs w:val="16"/>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2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develop flash-based memory as well as other non-volatile memory technology through our partnership with TMC;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Terrorist attacks may adversely affect our business and operating results.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continued threat of terrorist activity and other acts of war or hostility have created, and may continue to create,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Future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Sudden disruptions to the availability of air transportation, or ocean or land freight lanes, could have an impact on our operations.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75"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Flash Ventures sells to and leases back from a consortium of financial institutions (“lessors”) a portion of its equipment and Flash Ventures has entered into equipment lease agreements, most of which we and TMC each guarantee half of the total outstanding obligations and some of which we guarantee in full for our share of the Flash Ventures investment. As of June 29, 2018, the portion of outstanding Flash Ventures’ lease obligations covered by our guarantees totaled approximately $1.22 billion, based upon the Japanese yen to U.S. dollar exchange rate at June 29, 2018.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178" w:lineRule="exact"/>
        <w:rPr>
          <w:sz w:val="20"/>
          <w:szCs w:val="20"/>
          <w:color w:val="auto"/>
        </w:rPr>
      </w:pPr>
    </w:p>
    <w:p>
      <w:pPr>
        <w:ind w:right="300" w:firstLine="162"/>
        <w:spacing w:after="0" w:line="342" w:lineRule="auto"/>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or to reduce or discontinue repurchases of shares of our common stock pursuant to our previously announced stock repurchase program could cause the market price for our common stock to decline.</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modify, suspend or cancel our cash dividend policy in any manner and at any time. In addition, we may reduce or discontinue repurchases of shares of our common stock as we deem appropriate and as market conditions allow. Any reduction or discontinuance by us of the payment of quarterly cash dividends or the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which could negatively impact our operating results. If any of these events occur, they would have a negative impact on our operating results.</w:t>
      </w:r>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5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and trends in the hard drive, solid-state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3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principal executive offices are located in San Jose, California. Our leased facilities are occupied under leases that expire at various times through 2030. Our principal manufacturing, R&amp;D, marketing and administrative facilities as of June 29, 2018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Buildings Owned</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Approximate</w:t>
            </w:r>
          </w:p>
        </w:tc>
        <w:tc>
          <w:tcPr>
            <w:tcW w:w="61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or Leased</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Square Footage</w:t>
            </w:r>
          </w:p>
        </w:tc>
        <w:tc>
          <w:tcPr>
            <w:tcW w:w="100" w:type="dxa"/>
            <w:vAlign w:val="bottom"/>
            <w:tcBorders>
              <w:bottom w:val="single" w:sz="8" w:color="CCEEFF"/>
            </w:tcBorders>
          </w:tcPr>
          <w:p>
            <w:pPr>
              <w:spacing w:after="0"/>
              <w:rPr>
                <w:sz w:val="16"/>
                <w:szCs w:val="16"/>
                <w:color w:val="auto"/>
              </w:rPr>
            </w:pPr>
          </w:p>
        </w:tc>
        <w:tc>
          <w:tcPr>
            <w:tcW w:w="6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380"/>
              <w:spacing w:after="0"/>
              <w:rPr>
                <w:sz w:val="20"/>
                <w:szCs w:val="20"/>
                <w:color w:val="auto"/>
              </w:rPr>
            </w:pPr>
            <w:r>
              <w:rPr>
                <w:rFonts w:ascii="Arial" w:cs="Arial" w:eastAsia="Arial" w:hAnsi="Arial"/>
                <w:sz w:val="16"/>
                <w:szCs w:val="16"/>
                <w:color w:val="auto"/>
              </w:rPr>
              <w:t>California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Fremont</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head wafers and R&amp;D</w:t>
            </w: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Irvine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490,000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administrative, marketing and sales</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Milpitas</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R&amp;D, marketing and sales, and administrative</w:t>
            </w:r>
          </w:p>
        </w:tc>
        <w:tc>
          <w:tcPr>
            <w:tcW w:w="0" w:type="dxa"/>
            <w:vAlign w:val="bottom"/>
          </w:tcPr>
          <w:p>
            <w:pPr>
              <w:spacing w:after="0"/>
              <w:rPr>
                <w:sz w:val="1"/>
                <w:szCs w:val="1"/>
                <w:color w:val="auto"/>
              </w:rPr>
            </w:pPr>
          </w:p>
        </w:tc>
      </w:tr>
      <w:tr>
        <w:trPr>
          <w:trHeight w:val="220"/>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San Jose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2,750,000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w w:val="94"/>
              </w:rPr>
              <w:t>Manufacturing of head wafers, head, media and product development, R&amp;D, administrative,</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Colorado</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Longmont</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Minnesota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Rochester</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121,000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Asia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380"/>
              <w:spacing w:after="0"/>
              <w:rPr>
                <w:sz w:val="20"/>
                <w:szCs w:val="20"/>
                <w:color w:val="auto"/>
              </w:rPr>
            </w:pPr>
            <w:r>
              <w:rPr>
                <w:rFonts w:ascii="Arial" w:cs="Arial" w:eastAsia="Arial" w:hAnsi="Arial"/>
                <w:sz w:val="16"/>
                <w:szCs w:val="16"/>
                <w:b w:val="1"/>
                <w:bCs w:val="1"/>
                <w:color w:val="auto"/>
              </w:rPr>
              <w:t>China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Shanghai</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and test of SSDs</w:t>
            </w:r>
          </w:p>
        </w:tc>
        <w:tc>
          <w:tcPr>
            <w:tcW w:w="0" w:type="dxa"/>
            <w:vAlign w:val="bottom"/>
          </w:tcPr>
          <w:p>
            <w:pPr>
              <w:spacing w:after="0"/>
              <w:rPr>
                <w:sz w:val="1"/>
                <w:szCs w:val="1"/>
                <w:color w:val="auto"/>
              </w:rPr>
            </w:pPr>
          </w:p>
        </w:tc>
      </w:tr>
      <w:tr>
        <w:trPr>
          <w:trHeight w:val="220"/>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Shenzhen</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535,000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media</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b w:val="1"/>
                <w:bCs w:val="1"/>
                <w:color w:val="auto"/>
              </w:rPr>
              <w:t>Japan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Fujisawa</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661,000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b w:val="1"/>
                <w:bCs w:val="1"/>
                <w:color w:val="auto"/>
              </w:rPr>
              <w:t>Malaysia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Johor</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271,000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substrates</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Kuala Lumpur</w:t>
            </w:r>
            <w:r>
              <w:rPr>
                <w:rFonts w:ascii="Arial" w:cs="Arial" w:eastAsia="Arial" w:hAnsi="Arial"/>
                <w:sz w:val="21"/>
                <w:szCs w:val="21"/>
                <w:color w:val="auto"/>
                <w:vertAlign w:val="superscript"/>
              </w:rPr>
              <w:t>(1)</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1,074,000</w:t>
            </w:r>
          </w:p>
        </w:tc>
        <w:tc>
          <w:tcPr>
            <w:tcW w:w="100" w:type="dxa"/>
            <w:vAlign w:val="bottom"/>
            <w:shd w:val="clear" w:color="auto" w:fill="CCEEFF"/>
          </w:tcPr>
          <w:p>
            <w:pPr>
              <w:spacing w:after="0"/>
              <w:rPr>
                <w:sz w:val="23"/>
                <w:szCs w:val="23"/>
                <w:color w:val="auto"/>
              </w:rPr>
            </w:pPr>
          </w:p>
        </w:tc>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Manufacturing of HDDs and R&amp;D</w:t>
            </w: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Kuching</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285,000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and development of substrates</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Penang</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1,552,000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and test of SSDs, manufacturing of media, and R&amp;D</w:t>
            </w:r>
          </w:p>
        </w:tc>
        <w:tc>
          <w:tcPr>
            <w:tcW w:w="0" w:type="dxa"/>
            <w:vAlign w:val="bottom"/>
          </w:tcPr>
          <w:p>
            <w:pPr>
              <w:spacing w:after="0"/>
              <w:rPr>
                <w:sz w:val="1"/>
                <w:szCs w:val="1"/>
                <w:color w:val="auto"/>
              </w:rPr>
            </w:pPr>
          </w:p>
        </w:tc>
      </w:tr>
      <w:tr>
        <w:trPr>
          <w:trHeight w:val="224"/>
        </w:trPr>
        <w:tc>
          <w:tcPr>
            <w:tcW w:w="2740" w:type="dxa"/>
            <w:vAlign w:val="bottom"/>
            <w:gridSpan w:val="3"/>
          </w:tcPr>
          <w:p>
            <w:pPr>
              <w:ind w:left="380"/>
              <w:spacing w:after="0"/>
              <w:rPr>
                <w:sz w:val="20"/>
                <w:szCs w:val="20"/>
                <w:color w:val="auto"/>
              </w:rPr>
            </w:pPr>
            <w:r>
              <w:rPr>
                <w:rFonts w:ascii="Arial" w:cs="Arial" w:eastAsia="Arial" w:hAnsi="Arial"/>
                <w:sz w:val="16"/>
                <w:szCs w:val="16"/>
                <w:b w:val="1"/>
                <w:bCs w:val="1"/>
                <w:color w:val="auto"/>
              </w:rPr>
              <w:t>Philippines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Laguna</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HGAs and slider fabrication</w:t>
            </w:r>
          </w:p>
        </w:tc>
        <w:tc>
          <w:tcPr>
            <w:tcW w:w="0" w:type="dxa"/>
            <w:vAlign w:val="bottom"/>
          </w:tcPr>
          <w:p>
            <w:pPr>
              <w:spacing w:after="0"/>
              <w:rPr>
                <w:sz w:val="1"/>
                <w:szCs w:val="1"/>
                <w:color w:val="auto"/>
              </w:rPr>
            </w:pPr>
          </w:p>
        </w:tc>
      </w:tr>
      <w:tr>
        <w:trPr>
          <w:trHeight w:val="224"/>
        </w:trPr>
        <w:tc>
          <w:tcPr>
            <w:tcW w:w="2740" w:type="dxa"/>
            <w:vAlign w:val="bottom"/>
            <w:gridSpan w:val="3"/>
          </w:tcPr>
          <w:p>
            <w:pPr>
              <w:ind w:left="380"/>
              <w:spacing w:after="0"/>
              <w:rPr>
                <w:sz w:val="20"/>
                <w:szCs w:val="20"/>
                <w:color w:val="auto"/>
              </w:rPr>
            </w:pPr>
            <w:r>
              <w:rPr>
                <w:rFonts w:ascii="Arial" w:cs="Arial" w:eastAsia="Arial" w:hAnsi="Arial"/>
                <w:sz w:val="16"/>
                <w:szCs w:val="16"/>
                <w:b w:val="1"/>
                <w:bCs w:val="1"/>
                <w:color w:val="auto"/>
              </w:rPr>
              <w:t>Thailand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Bang Pa-In</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Slider fabrication, manufacturing of hard drives and HGAs, and R&amp;D</w:t>
            </w: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Navanakorn</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290,000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HGAs</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Prachinburi</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729,000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HDDs</w:t>
            </w:r>
          </w:p>
        </w:tc>
        <w:tc>
          <w:tcPr>
            <w:tcW w:w="0" w:type="dxa"/>
            <w:vAlign w:val="bottom"/>
          </w:tcPr>
          <w:p>
            <w:pPr>
              <w:spacing w:after="0"/>
              <w:rPr>
                <w:sz w:val="1"/>
                <w:szCs w:val="1"/>
                <w:color w:val="auto"/>
              </w:rPr>
            </w:pPr>
          </w:p>
        </w:tc>
      </w:tr>
      <w:tr>
        <w:trPr>
          <w:trHeight w:val="224"/>
        </w:trPr>
        <w:tc>
          <w:tcPr>
            <w:tcW w:w="2740" w:type="dxa"/>
            <w:vAlign w:val="bottom"/>
            <w:gridSpan w:val="3"/>
          </w:tcPr>
          <w:p>
            <w:pPr>
              <w:ind w:left="380"/>
              <w:spacing w:after="0"/>
              <w:rPr>
                <w:sz w:val="20"/>
                <w:szCs w:val="20"/>
                <w:color w:val="auto"/>
              </w:rPr>
            </w:pPr>
            <w:r>
              <w:rPr>
                <w:rFonts w:ascii="Arial" w:cs="Arial" w:eastAsia="Arial" w:hAnsi="Arial"/>
                <w:sz w:val="16"/>
                <w:szCs w:val="16"/>
                <w:b w:val="1"/>
                <w:bCs w:val="1"/>
                <w:color w:val="auto"/>
              </w:rPr>
              <w:t>India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7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Bangalore</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460,000</w:t>
            </w:r>
          </w:p>
        </w:tc>
        <w:tc>
          <w:tcPr>
            <w:tcW w:w="100" w:type="dxa"/>
            <w:vAlign w:val="bottom"/>
            <w:shd w:val="clear" w:color="auto" w:fill="CCEEFF"/>
          </w:tcPr>
          <w:p>
            <w:pPr>
              <w:spacing w:after="0"/>
              <w:rPr>
                <w:sz w:val="19"/>
                <w:szCs w:val="19"/>
                <w:color w:val="auto"/>
              </w:rPr>
            </w:pPr>
          </w:p>
        </w:tc>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 and marketing</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40"/>
              <w:spacing w:after="0"/>
              <w:rPr>
                <w:sz w:val="20"/>
                <w:szCs w:val="20"/>
                <w:color w:val="auto"/>
              </w:rPr>
            </w:pPr>
            <w:r>
              <w:rPr>
                <w:rFonts w:ascii="Arial" w:cs="Arial" w:eastAsia="Arial" w:hAnsi="Arial"/>
                <w:sz w:val="16"/>
                <w:szCs w:val="16"/>
                <w:b w:val="1"/>
                <w:bCs w:val="1"/>
                <w:color w:val="auto"/>
              </w:rPr>
              <w:t>Middle East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b w:val="1"/>
                <w:bCs w:val="1"/>
                <w:color w:val="auto"/>
              </w:rPr>
              <w:t>Israel</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3"/>
          </w:tcPr>
          <w:p>
            <w:pPr>
              <w:ind w:left="720"/>
              <w:spacing w:after="0"/>
              <w:rPr>
                <w:sz w:val="20"/>
                <w:szCs w:val="20"/>
                <w:color w:val="auto"/>
              </w:rPr>
            </w:pPr>
            <w:r>
              <w:rPr>
                <w:rFonts w:ascii="Arial" w:cs="Arial" w:eastAsia="Arial" w:hAnsi="Arial"/>
                <w:sz w:val="16"/>
                <w:szCs w:val="16"/>
                <w:color w:val="auto"/>
              </w:rPr>
              <w:t>Kfar Saba</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167,000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and marketing</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Tefen</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R&amp;D and marketing</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20" w:hanging="332"/>
        <w:spacing w:after="0" w:line="221" w:lineRule="exact"/>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 xml:space="preserve">In July 2018, we announced the closing of our manufacturing facility in Kuala Lumpur, Malaysia. We expect the closure to be substantially completed by the end of the calendar year 2019. For additional information, see Part II, Item 8, Note 15,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lease office space in various other locations throughout the world primarily for R&amp;D, sales, operations, administration and technical support. We believe our present facilities are adequate for our current needs, although we upgrade our facilities from time to time to meet anticipated future technological and market requirements. In general, new manufacturing facilities can be developed and become operational within approximately nine to eighteen months should we require such additional facilities.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20" w:firstLine="324"/>
        <w:spacing w:after="0" w:line="223" w:lineRule="exact"/>
        <w:rPr>
          <w:sz w:val="20"/>
          <w:szCs w:val="20"/>
          <w:color w:val="auto"/>
        </w:rPr>
      </w:pPr>
      <w:r>
        <w:rPr>
          <w:rFonts w:ascii="Arial" w:cs="Arial" w:eastAsia="Arial" w:hAnsi="Arial"/>
          <w:sz w:val="18"/>
          <w:szCs w:val="18"/>
          <w:color w:val="auto"/>
        </w:rPr>
        <w:t xml:space="preserve">For a description of our legal proceedings, see Part II, Item 8, Note 16,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is incorporated by reference in response to this item.</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15, 2018 was 999.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high and low sales prices of our common stock as reported by Nasdaq for each quarter of 2018 and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r>
      <w:tr>
        <w:trPr>
          <w:trHeight w:val="236"/>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September 29,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$95.77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$78.31</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December 29, 2017</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$93.31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$76.59</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March 30, 2018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$77.90</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June 29, 2018</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$93.41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$75.96</w:t>
            </w:r>
          </w:p>
        </w:tc>
      </w:tr>
      <w:tr>
        <w:trPr>
          <w:trHeight w:val="621"/>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r>
      <w:tr>
        <w:trPr>
          <w:trHeight w:val="236"/>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September 30, 2016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$59.86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$43.09</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December 30, 2016</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$72.01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$52.10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March 31,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$84.28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$68.58</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June 30, 2017</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$95.00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$80.51</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repurchases by us of shares of our common stock during the quarter ended June 29,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63"/>
              <w:spacing w:after="0"/>
              <w:rPr>
                <w:sz w:val="20"/>
                <w:szCs w:val="20"/>
                <w:color w:val="auto"/>
              </w:rPr>
            </w:pPr>
            <w:r>
              <w:rPr>
                <w:rFonts w:ascii="Arial" w:cs="Arial" w:eastAsia="Arial" w:hAnsi="Arial"/>
                <w:sz w:val="14"/>
                <w:szCs w:val="14"/>
                <w:b w:val="1"/>
                <w:bCs w:val="1"/>
                <w:color w:val="auto"/>
                <w:w w:val="95"/>
              </w:rPr>
              <w:t>Maximum Value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460" w:type="dxa"/>
            <w:vAlign w:val="bottom"/>
            <w:gridSpan w:val="2"/>
          </w:tcPr>
          <w:p>
            <w:pPr>
              <w:jc w:val="right"/>
              <w:ind w:right="23"/>
              <w:spacing w:after="0" w:line="149"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 except average price paid per share)</w:t>
            </w:r>
          </w:p>
        </w:tc>
        <w:tc>
          <w:tcPr>
            <w:tcW w:w="162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460" w:type="dxa"/>
            <w:vAlign w:val="bottom"/>
            <w:gridSpan w:val="2"/>
          </w:tcPr>
          <w:p>
            <w:pPr>
              <w:jc w:val="right"/>
              <w:ind w:right="23"/>
              <w:spacing w:after="0" w:line="149" w:lineRule="exact"/>
              <w:rPr>
                <w:sz w:val="20"/>
                <w:szCs w:val="20"/>
                <w:color w:val="auto"/>
              </w:rPr>
            </w:pPr>
            <w:r>
              <w:rPr>
                <w:rFonts w:ascii="Arial" w:cs="Arial" w:eastAsia="Arial" w:hAnsi="Arial"/>
                <w:sz w:val="14"/>
                <w:szCs w:val="14"/>
                <w:b w:val="1"/>
                <w:bCs w:val="1"/>
                <w:color w:val="auto"/>
                <w:w w:val="98"/>
              </w:rPr>
              <w:t>be Purchased Under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gridSpan w:val="2"/>
            <w:vMerge w:val="continue"/>
          </w:tcPr>
          <w:p>
            <w:pPr>
              <w:spacing w:after="0"/>
              <w:rPr>
                <w:sz w:val="16"/>
                <w:szCs w:val="16"/>
                <w:color w:val="auto"/>
              </w:rPr>
            </w:pPr>
          </w:p>
        </w:tc>
        <w:tc>
          <w:tcPr>
            <w:tcW w:w="1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Announced Program</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 Program</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 31, 2018 - Apr. 27, 2018</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Apr. 28, 2018 - May 25, 2018</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84.61</w:t>
            </w:r>
          </w:p>
        </w:tc>
        <w:tc>
          <w:tcPr>
            <w:tcW w:w="100" w:type="dxa"/>
            <w:vAlign w:val="bottom"/>
          </w:tcPr>
          <w:p>
            <w:pPr>
              <w:spacing w:after="0"/>
              <w:rPr>
                <w:sz w:val="20"/>
                <w:szCs w:val="20"/>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May 26, 2018 - Jun. 29, 2018</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23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for the quarter ended Jun. 29, 2018</w:t>
            </w:r>
          </w:p>
        </w:tc>
        <w:tc>
          <w:tcPr>
            <w:tcW w:w="15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82.37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62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commissions.</w:t>
      </w:r>
    </w:p>
    <w:p>
      <w:pPr>
        <w:spacing w:after="0" w:line="1" w:lineRule="exact"/>
        <w:rPr>
          <w:rFonts w:ascii="Arial" w:cs="Arial" w:eastAsia="Arial" w:hAnsi="Arial"/>
          <w:sz w:val="25"/>
          <w:szCs w:val="25"/>
          <w:color w:val="auto"/>
          <w:vertAlign w:val="superscript"/>
        </w:rPr>
      </w:pPr>
    </w:p>
    <w:p>
      <w:pPr>
        <w:ind w:left="340" w:right="80" w:hanging="332"/>
        <w:spacing w:after="0" w:line="269"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Our Board of Directors previously authorized $5.00 billion for the repurchase of our common stock. In 2018, we repurchased 7.1 million shares for a total cost of $591 million. Subsequent to June 29, 2018 and through July 25, 2018, we repurchased an additional 0.8 million shares for a total cost of $61 million. On July 25, 2018, our Board of Directors authorized a new $5.00 billion share repurchase program that is effective through July 25, 2023, replacing all prior programs. Repurchases under the stock repurchase program may be made in the open market or in privately negotiated transactions and may be made under a Rule 10b5-1 plan. We expect stock repurchases to be funded principally by operating cash flows. Subsequent to July 25, 2018 and through August 22, 2018, we repurchased an additional 5.9 million shares for a total cost of $404 million under this new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On September 13, 2012, we announced that our Board of Directors had authorized the adoption of a quarterly cash dividend policy. Under the cash dividend policy, holders of our common stock receive dividends when and as declared by our Board of Directors. In 2018, we declared aggregate cash dividends of $2.00 per share of our common stock, totaling $592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quarterly dividends our Board of Directors declared in the last two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20" w:type="dxa"/>
            <w:vAlign w:val="bottom"/>
            <w:tcBorders>
              <w:bottom w:val="single" w:sz="8" w:color="CCEEFF"/>
            </w:tcBorders>
          </w:tcPr>
          <w:p>
            <w:pPr>
              <w:spacing w:after="0"/>
              <w:rPr>
                <w:sz w:val="16"/>
                <w:szCs w:val="16"/>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Dividend Per Share</w:t>
            </w:r>
          </w:p>
        </w:tc>
      </w:tr>
      <w:tr>
        <w:trPr>
          <w:trHeight w:val="236"/>
        </w:trPr>
        <w:tc>
          <w:tcPr>
            <w:tcW w:w="4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30, 2016</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17, 2016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$0.50</w:t>
            </w:r>
          </w:p>
        </w:tc>
      </w:tr>
      <w:tr>
        <w:trPr>
          <w:trHeight w:val="237"/>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30, 2016</w:t>
            </w:r>
          </w:p>
        </w:tc>
        <w:tc>
          <w:tcPr>
            <w:tcW w:w="50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January 17, 2017</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$0.50</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31, 2017</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April 17,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$0.50</w:t>
            </w:r>
          </w:p>
        </w:tc>
      </w:tr>
      <w:tr>
        <w:trPr>
          <w:trHeight w:val="237"/>
        </w:trPr>
        <w:tc>
          <w:tcPr>
            <w:tcW w:w="49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30, 2017</w:t>
            </w:r>
          </w:p>
        </w:tc>
        <w:tc>
          <w:tcPr>
            <w:tcW w:w="50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17, 2017</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$0.50</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29, 2017</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16,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$0.50</w:t>
            </w:r>
          </w:p>
        </w:tc>
      </w:tr>
      <w:tr>
        <w:trPr>
          <w:trHeight w:val="237"/>
        </w:trPr>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29, 2017</w:t>
            </w:r>
          </w:p>
        </w:tc>
        <w:tc>
          <w:tcPr>
            <w:tcW w:w="50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January 16, 2018</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$0.50</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30, 2018</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April 16, 2018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$0.50</w:t>
            </w:r>
          </w:p>
        </w:tc>
      </w:tr>
      <w:tr>
        <w:trPr>
          <w:trHeight w:val="237"/>
        </w:trPr>
        <w:tc>
          <w:tcPr>
            <w:tcW w:w="49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29, 2018</w:t>
            </w:r>
          </w:p>
        </w:tc>
        <w:tc>
          <w:tcPr>
            <w:tcW w:w="50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16, 2018</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$0.50</w:t>
            </w:r>
          </w:p>
        </w:tc>
      </w:tr>
    </w:tbl>
    <w:p>
      <w:pPr>
        <w:spacing w:after="0" w:line="23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addition, on August 1, 2018, we declared a cash dividend of $0.50 per share of our common stock to our shareholders of record as of September 28, 2018, which will be paid on October 15, 2018.</w:t>
      </w:r>
    </w:p>
    <w:p>
      <w:pPr>
        <w:spacing w:after="0" w:line="17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amount of future dividends under our cash dividend policy, and the declaration and payment thereof, will be based upon all relevant factors, including our financial position, results of operations, cash flows, capital requirements and restrictions under our financing agreements, and shall be in compliance with applicable law. Our Board of Directors retains the power to modify, suspend or cancel the cash dividend policy in any manner and at any time as it may deem necessary or appropriate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June 29, 2018. The graph assumes that $100 was invested in our common stock at the close of market on June 28, 2013 and that all dividends were reinvested. Stockholder returns over the indicated period should not be considered indicative of future stockholder returns.</w:t>
      </w:r>
    </w:p>
    <w:p>
      <w:pPr>
        <w:spacing w:after="0" w:line="18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TOTAL RETURN TO STOCKHOLDERS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(Assumes $100 investment on June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5715</wp:posOffset>
            </wp:positionV>
            <wp:extent cx="4733925" cy="3027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28,</w:t>
            </w: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w:t>
            </w:r>
          </w:p>
        </w:tc>
        <w:tc>
          <w:tcPr>
            <w:tcW w:w="1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June 29,</w:t>
            </w:r>
          </w:p>
        </w:tc>
      </w:tr>
      <w:tr>
        <w:trPr>
          <w:trHeight w:val="192"/>
        </w:trPr>
        <w:tc>
          <w:tcPr>
            <w:tcW w:w="5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r>
      <w:tr>
        <w:trPr>
          <w:trHeight w:val="23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Western Digital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151.92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134.87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157.42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140.87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124.61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133.86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139.20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164.11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187.70</w:t>
            </w: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Technology Hardware &amp; Equipment Index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142.33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161.24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148.84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210.22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273.85</w:t>
            </w:r>
          </w:p>
        </w:tc>
      </w:tr>
      <w:tr>
        <w:trPr>
          <w:trHeight w:val="33"/>
        </w:trPr>
        <w:tc>
          <w:tcPr>
            <w:tcW w:w="5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right="140" w:firstLine="324"/>
        <w:spacing w:after="0" w:line="221" w:lineRule="exact"/>
        <w:rPr>
          <w:sz w:val="20"/>
          <w:szCs w:val="20"/>
          <w:color w:val="auto"/>
        </w:rPr>
      </w:pPr>
      <w:r>
        <w:rPr>
          <w:rFonts w:ascii="Arial" w:cs="Arial" w:eastAsia="Arial" w:hAnsi="Arial"/>
          <w:sz w:val="18"/>
          <w:szCs w:val="18"/>
          <w:color w:val="auto"/>
        </w:rPr>
        <w:t>This selected consolidated financial data should be read together with the Consolidated Financial Statements and related Notes contained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well as the section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entitled “Management’s Discussion and Analysis of Financial Condition and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4"/>
                <w:szCs w:val="14"/>
                <w:color w:val="auto"/>
              </w:rPr>
            </w:pPr>
          </w:p>
        </w:tc>
        <w:tc>
          <w:tcPr>
            <w:tcW w:w="1020" w:type="dxa"/>
            <w:vAlign w:val="bottom"/>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July 1,</w:t>
            </w:r>
          </w:p>
        </w:tc>
        <w:tc>
          <w:tcPr>
            <w:tcW w:w="320" w:type="dxa"/>
            <w:vAlign w:val="bottom"/>
          </w:tcPr>
          <w:p>
            <w:pPr>
              <w:spacing w:after="0"/>
              <w:rPr>
                <w:sz w:val="14"/>
                <w:szCs w:val="14"/>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July 3,</w:t>
            </w:r>
          </w:p>
        </w:tc>
        <w:tc>
          <w:tcPr>
            <w:tcW w:w="280" w:type="dxa"/>
            <w:vAlign w:val="bottom"/>
          </w:tcPr>
          <w:p>
            <w:pPr>
              <w:spacing w:after="0"/>
              <w:rPr>
                <w:sz w:val="14"/>
                <w:szCs w:val="14"/>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June 27,</w:t>
            </w:r>
          </w:p>
        </w:tc>
      </w:tr>
      <w:tr>
        <w:trPr>
          <w:trHeight w:val="192"/>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223"/>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w w:val="92"/>
              </w:rPr>
              <w:t>(in millions, except per share and employee data)</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20,647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12,994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14,572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15,130</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7,705</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6,072</w:t>
            </w:r>
          </w:p>
        </w:tc>
        <w:tc>
          <w:tcPr>
            <w:tcW w:w="3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3,435</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4,221</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4,360</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1,617</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6.88</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6.68</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4,875</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29,235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29,860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32,862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15,170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15,499</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12,918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13,660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11,531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11,418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11,145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9,219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8,842</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11"/>
        </w:trPr>
        <w:tc>
          <w:tcPr>
            <w:tcW w:w="5240" w:type="dxa"/>
            <w:vAlign w:val="bottom"/>
          </w:tcPr>
          <w:p>
            <w:pPr>
              <w:ind w:left="40"/>
              <w:spacing w:after="0"/>
              <w:rPr>
                <w:sz w:val="20"/>
                <w:szCs w:val="20"/>
                <w:color w:val="auto"/>
              </w:rPr>
            </w:pPr>
            <w:r>
              <w:rPr>
                <w:rFonts w:ascii="Arial" w:cs="Arial" w:eastAsia="Arial" w:hAnsi="Arial"/>
                <w:sz w:val="16"/>
                <w:szCs w:val="16"/>
                <w:color w:val="auto"/>
              </w:rPr>
              <w:t xml:space="preserve">Number of employees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71,600</w:t>
            </w:r>
          </w:p>
        </w:tc>
        <w:tc>
          <w:tcPr>
            <w:tcW w:w="26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67,600</w:t>
            </w:r>
          </w:p>
        </w:tc>
        <w:tc>
          <w:tcPr>
            <w:tcW w:w="34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72,900</w:t>
            </w:r>
          </w:p>
        </w:tc>
        <w:tc>
          <w:tcPr>
            <w:tcW w:w="32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76,400</w:t>
            </w:r>
          </w:p>
        </w:tc>
        <w:tc>
          <w:tcPr>
            <w:tcW w:w="28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84,100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20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Excludes temporary employees and contractors.</w:t>
      </w:r>
    </w:p>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Results for Tegile Systems, Inc., Upthere, Inc., SanDisk Corporation, Amplidata NV, Virident Systems, Inc., sTec, Inc. and VeloBit, Inc., which were acquired on September 15, 2017, August 25, 2017, May 12, 2016, March 9, 2015, October 17, 2013, September 12, 2013 and July 9, 2013, respectively, are included in our operating results only after their respective dates of acquisition.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Conditions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Our broad portfolio of technology and products address the following key markets: Client Devices; Data Center Devices and Solutions; and Client Solutions. We also generate license and royalty revenue related to our intellectual property (“IP”), which is included in each of these three categories.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Facilities</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During the year ended June 29, 2018, we entered into new debt facilities, amended our existing credit agreement, increased our revolving credit facility, and repaid higher rate debt. These actions, along with scheduled principal payments, reduced the aggregate principal amount of our debt by $1.98 billion since the beginning of the fiscal year and reduced our overall interest cost, extended the tenor of our debt and provided additional flexible capacity to meet our financing needs. The financing arrangement activities were as follows in the year ended June 29, 2018:</w:t>
      </w:r>
    </w:p>
    <w:p>
      <w:pPr>
        <w:spacing w:after="0" w:line="171" w:lineRule="exact"/>
        <w:rPr>
          <w:sz w:val="20"/>
          <w:szCs w:val="20"/>
          <w:color w:val="auto"/>
        </w:rPr>
      </w:pPr>
    </w:p>
    <w:p>
      <w:pPr>
        <w:ind w:left="660" w:hanging="328"/>
        <w:spacing w:after="0" w:line="29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November 2017, we settled our then-existing U.S. dollar-denominated term B-2 loans (“U.S. Term Loan B-2”) with the proceeds of a new issuance of a $2.96 billion U.S. dollar-denominated term loan (“U.S. Term Loan B-3”) at an interest rate lower than our U.S. Term Loan B-2 tranche. In February 2018, we made a voluntary partial prepayment of $500 million of the U.S. Term Loan B-3 using drawings from the Revolving Facility (as defined below), and in May 2018, we settled our then-existing U.S. dollar-denominated term B-3 loans with the proceeds of a new issuance of a $2.46 billion U.S. dollar-denominated term loan (“U.S. Term Loan B-4”) at an interest rate lower than our U.S. Term Loan B-3 tranche.</w:t>
      </w:r>
    </w:p>
    <w:p>
      <w:pPr>
        <w:spacing w:after="0" w:line="15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November 2017, we made a voluntary prepayment of the full principal amounts of our Euro-denominated term B-2 loans (“Euro Term Loan B-2”) using cash on hand.</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February 2018, we issued $2.3 billion aggregate principal amount of 4.750% senior unsecured notes due 2026 (the “2026 Senior Unsecured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February 2018, we issued a $1.1 billion aggregate principal amount of 1.50% convertible senior notes due 2024 (the “2024 Convertible Notes”).</w:t>
      </w:r>
    </w:p>
    <w:p>
      <w:pPr>
        <w:spacing w:after="0" w:line="248"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February 2018, we entered into an amendment to the credit agreement entered into on April 29, 2016 to provide for, among other things, (i) the issuance of a new $5.02 billion of term loan A-1 due 2023 (the “Term Loan A-1”), (ii) a new $2.25 billion revolving credit facility maturing in 2023 (the “Revolving Facility”), which replaced our prior $1.50 billion revolving credit facility maturing in 2021, (iii) modifications to the restrictive and financial maintenance covenants, to provide more flexibility and increased incremental debt capacity, (iv) amendments of the applicable varying interest rate margins to be based on our corporate credit ratings, and (v) upon the occurrence of certain circumstances, a release of the security and guarantees as well as further covenant flexibility and increased incremental debt capacity. We used a portion of the proceeds of the Term Loan A-1 to repay in full our previous variable interest rate Term Loan A maturing 2021 in the principal amount of $4.02 billion.</w:t>
      </w:r>
    </w:p>
    <w:p>
      <w:pPr>
        <w:spacing w:after="0" w:line="167" w:lineRule="exact"/>
        <w:rPr>
          <w:rFonts w:ascii="Arial" w:cs="Arial" w:eastAsia="Arial" w:hAnsi="Arial"/>
          <w:sz w:val="16"/>
          <w:szCs w:val="16"/>
          <w:color w:val="auto"/>
        </w:rPr>
      </w:pPr>
    </w:p>
    <w:p>
      <w:pPr>
        <w:ind w:left="660" w:right="18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February and March 2018, we completed the redemption of all of our outstanding 7.375% senior secured notes due 2023 in the aggregate principal amount of $1.875 billion (the “2023 Notes”) and the tender offer and redemption and settlement of all of our outstanding 10.500% senior unsecured notes due 2024 in the aggregate principal amount of $3.350 billion (the “2024 Notes” and collectively with the 2023 Notes, the “Redeemed Notes”).</w:t>
      </w:r>
    </w:p>
    <w:p>
      <w:pPr>
        <w:spacing w:after="0" w:line="186"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settlements of the various debt instruments described above during 2018, we incurred aggregate losses on extinguishment of debt of $899 million for the year ended June 29, 2018, consisting of $720 million of “make-whole” premiums and $179 million of unamortized issuance costs.</w:t>
      </w:r>
    </w:p>
    <w:p>
      <w:pPr>
        <w:spacing w:after="0" w:line="181" w:lineRule="exact"/>
        <w:rPr>
          <w:sz w:val="20"/>
          <w:szCs w:val="20"/>
          <w:color w:val="auto"/>
        </w:rPr>
      </w:pPr>
    </w:p>
    <w:p>
      <w:pPr>
        <w:ind w:right="180" w:firstLine="324"/>
        <w:spacing w:after="0" w:line="223" w:lineRule="exact"/>
        <w:rPr>
          <w:sz w:val="20"/>
          <w:szCs w:val="20"/>
          <w:color w:val="auto"/>
        </w:rPr>
      </w:pPr>
      <w:r>
        <w:rPr>
          <w:rFonts w:ascii="Arial" w:cs="Arial" w:eastAsia="Arial" w:hAnsi="Arial"/>
          <w:sz w:val="18"/>
          <w:szCs w:val="18"/>
          <w:color w:val="auto"/>
        </w:rPr>
        <w:t xml:space="preserve">For additional information regarding our debt facilities,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Reform</w:t>
      </w:r>
    </w:p>
    <w:p>
      <w:pPr>
        <w:spacing w:after="0" w:line="225" w:lineRule="exact"/>
        <w:rPr>
          <w:sz w:val="20"/>
          <w:szCs w:val="20"/>
          <w:color w:val="auto"/>
        </w:rPr>
      </w:pPr>
    </w:p>
    <w:p>
      <w:pPr>
        <w:ind w:right="80" w:firstLine="324"/>
        <w:spacing w:after="0" w:line="217" w:lineRule="exact"/>
        <w:rPr>
          <w:sz w:val="20"/>
          <w:szCs w:val="20"/>
          <w:color w:val="auto"/>
        </w:rPr>
      </w:pPr>
      <w:r>
        <w:rPr>
          <w:rFonts w:ascii="Arial" w:cs="Arial" w:eastAsia="Arial" w:hAnsi="Arial"/>
          <w:sz w:val="16"/>
          <w:szCs w:val="16"/>
          <w:color w:val="auto"/>
        </w:rPr>
        <w:t xml:space="preserve">On December 22, 2017, the President of the United States of America signed the Tax Cuts and Jobs Act (the “2017 Act”), which includes a broad range of tax reform proposals affecting businesses, including a reduction in the U.S. federal corporate tax rate from 35% to 21% and a one-time mandatory deemed repatriation tax on earnings of certain foreign subsidiaries that were previously tax deferred, and creates new taxes on certain foreign earnings. As a result of the 2017 Act, we have made a reasonable estimate of the effects on our existing deferred tax balances and the one-time mandatory deemed repatriation tax required by the 2017 Act and have recognized a provisional income tax expense of $1.57 billion for the one-time mandatory deemed repatriation tax and a provisional income tax benefit of $65 million related to the re-measurement of deferred tax assets and liabilities for the year ended June 29, 2018. For additional information regarding the 2017 Act, see Part II, Item 8, Note 13, </w:t>
      </w:r>
      <w:r>
        <w:rPr>
          <w:rFonts w:ascii="Arial" w:cs="Arial" w:eastAsia="Arial" w:hAnsi="Arial"/>
          <w:sz w:val="16"/>
          <w:szCs w:val="16"/>
          <w:i w:val="1"/>
          <w:iCs w:val="1"/>
          <w:color w:val="auto"/>
        </w:rPr>
        <w:t>Income Tax Expense (Benefit)</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See also the discussion in “Results of Operations - Income Tax Expense” and “Liquidity and Capital Resources” below for information regarding the impact of the 2017 Act on our financial condition, results of operations and cash flows.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225"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 xml:space="preserve">In July 2018, we announced the closing of our manufacturing facility in Kuala Lumpur, Malaysia, in order to reduce manufacturing costs and consolidate hard disk drive (“HDD”) operations into Thailand. We expect the closure to be substantially completed by the end of the calendar year 2019 and to result in total pre-tax charges of approximately $160 million. These charges are expected to consist of approximately $85 million in employee termination benefits and $75 million in asset-related, contract termination and other charges. During the year ended June 29, 2018, we recognized $56 million in employee termination benefits within Employee termination, asset impairment and other charges in the Consolidated Statements of Operations. For additional information, see Part II, Item 8, Note 15,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 Comparison of 2018, 2017 and 2016</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3"/>
          </w:tcPr>
          <w:p>
            <w:pPr>
              <w:jc w:val="center"/>
              <w:ind w:right="139"/>
              <w:spacing w:after="0"/>
              <w:rPr>
                <w:sz w:val="20"/>
                <w:szCs w:val="20"/>
                <w:color w:val="auto"/>
              </w:rPr>
            </w:pPr>
            <w:r>
              <w:rPr>
                <w:rFonts w:ascii="Arial" w:cs="Arial" w:eastAsia="Arial" w:hAnsi="Arial"/>
                <w:sz w:val="14"/>
                <w:szCs w:val="14"/>
                <w:i w:val="1"/>
                <w:iCs w:val="1"/>
                <w:color w:val="auto"/>
                <w:w w:val="93"/>
              </w:rPr>
              <w:t>(in millions, except percentages)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12,994</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12,942</w:t>
            </w:r>
          </w:p>
        </w:tc>
        <w:tc>
          <w:tcPr>
            <w:tcW w:w="34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62.7</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13,021</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68.2</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9,559</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73.6</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6,072</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31.8</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3,435</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26.4</w:t>
            </w:r>
          </w:p>
        </w:tc>
      </w:tr>
      <w:tr>
        <w:trPr>
          <w:trHeight w:val="204"/>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0"/>
        </w:trPr>
        <w:tc>
          <w:tcPr>
            <w:tcW w:w="1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11.6</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12.8</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1,627</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1,473</w:t>
            </w:r>
          </w:p>
        </w:tc>
        <w:tc>
          <w:tcPr>
            <w:tcW w:w="34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1,445</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7.6</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997</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7.7</w:t>
            </w:r>
          </w:p>
        </w:tc>
      </w:tr>
      <w:tr>
        <w:trPr>
          <w:trHeight w:val="33"/>
        </w:trPr>
        <w:tc>
          <w:tcPr>
            <w:tcW w:w="1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r>
      <w:tr>
        <w:trPr>
          <w:trHeight w:val="217"/>
        </w:trPr>
        <w:tc>
          <w:tcPr>
            <w:tcW w:w="456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4,088</w:t>
            </w:r>
          </w:p>
        </w:tc>
        <w:tc>
          <w:tcPr>
            <w:tcW w:w="34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19.8</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4,118</w:t>
            </w:r>
          </w:p>
        </w:tc>
        <w:tc>
          <w:tcPr>
            <w:tcW w:w="3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21.6</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2,969</w:t>
            </w:r>
          </w:p>
        </w:tc>
        <w:tc>
          <w:tcPr>
            <w:tcW w:w="3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22.8</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3,617</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17.5</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10.2</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r>
      <w:tr>
        <w:trPr>
          <w:trHeight w:val="224"/>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(676)</w:t>
            </w:r>
          </w:p>
        </w:tc>
        <w:tc>
          <w:tcPr>
            <w:tcW w:w="34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(847)</w:t>
            </w:r>
          </w:p>
        </w:tc>
        <w:tc>
          <w:tcPr>
            <w:tcW w:w="340" w:type="dxa"/>
            <w:vAlign w:val="bottom"/>
          </w:tcPr>
          <w:p>
            <w:pPr>
              <w:spacing w:after="0"/>
              <w:rPr>
                <w:sz w:val="20"/>
                <w:szCs w:val="20"/>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w:t>
            </w:r>
          </w:p>
        </w:tc>
        <w:tc>
          <w:tcPr>
            <w:tcW w:w="34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(2.0)</w:t>
            </w:r>
          </w:p>
        </w:tc>
      </w:tr>
      <w:tr>
        <w:trPr>
          <w:trHeight w:val="33"/>
        </w:trPr>
        <w:tc>
          <w:tcPr>
            <w:tcW w:w="1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r>
      <w:tr>
        <w:trPr>
          <w:trHeight w:val="217"/>
        </w:trPr>
        <w:tc>
          <w:tcPr>
            <w:tcW w:w="456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34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(7.4)</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34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(6.2)</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3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(2.4)</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2,085</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r>
      <w:tr>
        <w:trPr>
          <w:trHeight w:val="237"/>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1,410</w:t>
            </w:r>
          </w:p>
        </w:tc>
        <w:tc>
          <w:tcPr>
            <w:tcW w:w="34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372</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34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(0.7)</w:t>
            </w:r>
          </w:p>
        </w:tc>
      </w:tr>
      <w:tr>
        <w:trPr>
          <w:trHeight w:val="33"/>
        </w:trPr>
        <w:tc>
          <w:tcPr>
            <w:tcW w:w="16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r>
      <w:tr>
        <w:trPr>
          <w:trHeight w:val="20"/>
        </w:trPr>
        <w:tc>
          <w:tcPr>
            <w:tcW w:w="1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sets forth, for the periods presented, summary information regarding net revenues by geography and end market: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5"/>
          </w:tcPr>
          <w:p>
            <w:pPr>
              <w:jc w:val="right"/>
              <w:ind w:right="440"/>
              <w:spacing w:after="0"/>
              <w:rPr>
                <w:sz w:val="20"/>
                <w:szCs w:val="20"/>
                <w:color w:val="auto"/>
              </w:rPr>
            </w:pPr>
            <w:r>
              <w:rPr>
                <w:rFonts w:ascii="Arial" w:cs="Arial" w:eastAsia="Arial" w:hAnsi="Arial"/>
                <w:sz w:val="14"/>
                <w:szCs w:val="14"/>
                <w:i w:val="1"/>
                <w:iCs w:val="1"/>
                <w:color w:val="auto"/>
              </w:rPr>
              <w:t>(in millions, except exabytes and percentages)</w:t>
            </w:r>
          </w:p>
        </w:tc>
      </w:tr>
      <w:tr>
        <w:trPr>
          <w:trHeight w:val="66"/>
        </w:trPr>
        <w:tc>
          <w:tcPr>
            <w:tcW w:w="7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20,647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19,093</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12,994</w:t>
            </w:r>
          </w:p>
        </w:tc>
      </w:tr>
      <w:tr>
        <w:trPr>
          <w:trHeight w:val="297"/>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by Geography (%)</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680" w:type="dxa"/>
            <w:vAlign w:val="bottom"/>
          </w:tcPr>
          <w:p>
            <w:pPr>
              <w:ind w:left="18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37"/>
        </w:trPr>
        <w:tc>
          <w:tcPr>
            <w:tcW w:w="7680" w:type="dxa"/>
            <w:vAlign w:val="bottom"/>
          </w:tcPr>
          <w:p>
            <w:pPr>
              <w:ind w:left="180"/>
              <w:spacing w:after="0"/>
              <w:rPr>
                <w:sz w:val="20"/>
                <w:szCs w:val="20"/>
                <w:color w:val="auto"/>
              </w:rPr>
            </w:pPr>
            <w:r>
              <w:rPr>
                <w:rFonts w:ascii="Arial" w:cs="Arial" w:eastAsia="Arial" w:hAnsi="Arial"/>
                <w:sz w:val="16"/>
                <w:szCs w:val="16"/>
                <w:color w:val="auto"/>
              </w:rPr>
              <w:t>Asia</w:t>
            </w:r>
          </w:p>
        </w:tc>
        <w:tc>
          <w:tcPr>
            <w:tcW w:w="28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54</w:t>
            </w:r>
          </w:p>
        </w:tc>
        <w:tc>
          <w:tcPr>
            <w:tcW w:w="34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47</w:t>
            </w: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7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Revenues by End Market (%)</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7680" w:type="dxa"/>
            <w:vAlign w:val="bottom"/>
          </w:tcPr>
          <w:p>
            <w:pPr>
              <w:ind w:left="180"/>
              <w:spacing w:after="0"/>
              <w:rPr>
                <w:sz w:val="20"/>
                <w:szCs w:val="20"/>
                <w:color w:val="auto"/>
              </w:rPr>
            </w:pPr>
            <w:r>
              <w:rPr>
                <w:rFonts w:ascii="Arial" w:cs="Arial" w:eastAsia="Arial" w:hAnsi="Arial"/>
                <w:sz w:val="16"/>
                <w:szCs w:val="16"/>
                <w:color w:val="auto"/>
              </w:rPr>
              <w:t>Data Center Devices &amp; Solutions</w:t>
            </w:r>
          </w:p>
        </w:tc>
        <w:tc>
          <w:tcPr>
            <w:tcW w:w="28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w:t>
            </w: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r>
      <w:tr>
        <w:trPr>
          <w:trHeight w:val="297"/>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7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Exabytes Shipped</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389</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313</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262</w:t>
            </w:r>
          </w:p>
        </w:tc>
      </w:tr>
      <w:tr>
        <w:trPr>
          <w:trHeight w:val="33"/>
        </w:trPr>
        <w:tc>
          <w:tcPr>
            <w:tcW w:w="7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each of 2018, 2017, and 2016, no single customer accounted for 10% or more of our net revenue. For 2018, 2017, and 2016, our top 10 customers accounted for 42%, 36% and 43% of our net revenue,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2018 Net Revenue and Gross Margin Compared to Fiscal Year 2017 Net Revenue and Gross Margin</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Net Revenue. </w:t>
      </w:r>
      <w:r>
        <w:rPr>
          <w:rFonts w:ascii="Arial" w:cs="Arial" w:eastAsia="Arial" w:hAnsi="Arial"/>
          <w:sz w:val="17"/>
          <w:szCs w:val="17"/>
          <w:color w:val="auto"/>
        </w:rPr>
        <w:t>Net revenue increased $1.55 billion, or 8%, in 2018 compared to 2017, driven by increases in all end markets. Client Devices revenue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June 29, 2018 increased 6% year over year, primarily driven by growth in embedded flash products offset by client compute HDD devices. Our revenue for Data Center Devices and Solutions for the year ended June 29, 2018 increased 10% year over year, driven primarily by a significant increase in sales from our capacity enterprise HDD, partially offset by our expected lower sales of performance enterprise HDDs. Client Solutions revenue for the year ended June 29, 2018 increased 10% year over year, reflecting growth in both retail flash and HDD products.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net revenue by geography generally reflect normal fluctuations in market demand and competitive dynamics.</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2018, 2017 and 2016, these programs represented 12%, 12% and 13% of gross revenues, respectively.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5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increased $1.63 billion, or 27%, in 2018 compared to 2017, primarily due to the increase in revenue and</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 in our gross margin. The improvement in our gross margin for the year ended June 29, 2018 was primarily due to a favorable demand environment for flash-based products, a higher mix of revenue from sales of flash-based products and capacity enterprise devices; and improvements in our production costs from technology transitions. In addition, gross profit was impacted by amortization expense on acquired intangible assets, stock-based compensation, charges related to the implementation of cost-saving initiatives and other charges, which aggregated $1.06 billion, or 5.2%, of revenue, in 2018, compared to $1.14 billion, or 6.0%, of revenue, in 2017.</w:t>
      </w:r>
    </w:p>
    <w:p>
      <w:pPr>
        <w:spacing w:after="0" w:line="17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flash industry is characterized by cyclicality as it responds to variations in customers’ demand for products and expands or manages production capacity to meet that demand. The favorable demand environment for flash-based products experienced by the industry for the last several quarters is beginning to normalize as technology conversions are maturing and manufacturing yields are improving, thus increasing flash supply. As a result, we expect our gross margins to decline in fiscal 2019 compared to fiscal 2018 due to expected declines in the average selling price per gigabyte of flash memory as supply grows to meet demand.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2017 Net Revenue and Gross Margin Compared to Fiscal Year 2016 Net Revenue and Gross Margin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Net revenue increased $6.10 billion, or 47%, as compared to 2016, primarily due to a full year of revenue from the sale of flash-based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following the acquisition of SanDisk Corporation (“SanDisk”) in May 2016 (the “Merger”), compared to a partial year of such revenue in the prior year. This increase was partially offset by lower revenue related to lower PC and enterprise HDD shipments. Changes in the mix of net revenue by end market for 2017, as compared to 2016, reflect the full year increase in revenues from the Merger which has resulted in comparatively higher revenue in Client Devices and Client Solutions than our pre-acquisition business.</w:t>
      </w:r>
    </w:p>
    <w:p>
      <w:pPr>
        <w:spacing w:after="0" w:line="1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Changes in the mix of net revenue by geography for 2017, as compared to 2016, reflect the additional revenues from the Merger which has resulted in comparatively higher revenue in Asia than our pre-acquisition business.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$2.64 billion, or 77%, in 2017, as compared to 2016, primarily due to the increase in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mentioned above. In addition, gross profit for 2017 was impacted by amortization expense on acquired intangible assets, charges related to the implementation of cost-saving initiatives, stock-based compensation and acquisition related charges, which aggregated $1.14 billion, or 6.0% of revenue, for 2017, and $375 million, or 2.9% of revenue, for 2016. Gross margin increased to 31.8% for 2017, as compared to 26.4% for 2016. The increase in gross margin was primarily due to sales of flash-based products following the Merger, as such products have comparatively higher gross margins than our pre-acquisition products, cost improvements across all products driven by manufacturing integration activities and cost improvements as flash-based technology transitions to more cost efficient designs.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2018 Operating Expenses Compared to Fiscal Year 2017 Operating Expenses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Research and development (“R&amp;D”) expense decreased $41 million, or 2%, in 2018 compared to 2017, primarily due to our cost saving initiatives and lower variable compensation expense, partially offset by further investments in flash technologies. In addition, fiscal year 2018 included aggregate charges of $179 million related to stock-based compensation expenses, charges related to the implementation of cost-saving initiatives, acquisition-related charges and other charges compared to $199 million in 2017.</w:t>
      </w:r>
    </w:p>
    <w:p>
      <w:pPr>
        <w:spacing w:after="0" w:line="187" w:lineRule="exact"/>
        <w:rPr>
          <w:sz w:val="20"/>
          <w:szCs w:val="20"/>
          <w:color w:val="auto"/>
        </w:rPr>
      </w:pPr>
    </w:p>
    <w:p>
      <w:pPr>
        <w:jc w:val="both"/>
        <w:ind w:right="360" w:firstLine="324"/>
        <w:spacing w:after="0" w:line="279" w:lineRule="auto"/>
        <w:rPr>
          <w:sz w:val="20"/>
          <w:szCs w:val="20"/>
          <w:color w:val="auto"/>
        </w:rPr>
      </w:pPr>
      <w:r>
        <w:rPr>
          <w:rFonts w:ascii="Arial" w:cs="Arial" w:eastAsia="Arial" w:hAnsi="Arial"/>
          <w:sz w:val="17"/>
          <w:szCs w:val="17"/>
          <w:color w:val="auto"/>
        </w:rPr>
        <w:t>Selling, general and administrative (“SG&amp;A”) expense increased $28 million, or 2%, in 2018 compared to 2017, primarily due to operating expenses from recent acquisitions and higher consulting services, partially offset by lower variable compensation expense and lower charges related to stock-based compensation expenses, amortization expense on acquired intangible assets, charges related to the implementation of cost-saving initiatives, acquisition-related charges and other charges aggregating to $340 million in 2018 compared to $404 million in 2017.</w:t>
      </w:r>
    </w:p>
    <w:p>
      <w:pPr>
        <w:spacing w:after="0" w:line="171" w:lineRule="exact"/>
        <w:rPr>
          <w:sz w:val="20"/>
          <w:szCs w:val="20"/>
          <w:color w:val="auto"/>
        </w:rPr>
      </w:pPr>
    </w:p>
    <w:p>
      <w:pPr>
        <w:ind w:right="20" w:firstLine="324"/>
        <w:spacing w:after="0" w:line="220" w:lineRule="exact"/>
        <w:rPr>
          <w:sz w:val="20"/>
          <w:szCs w:val="20"/>
          <w:color w:val="auto"/>
        </w:rPr>
      </w:pPr>
      <w:r>
        <w:rPr>
          <w:rFonts w:ascii="Arial" w:cs="Arial" w:eastAsia="Arial" w:hAnsi="Arial"/>
          <w:sz w:val="17"/>
          <w:szCs w:val="17"/>
          <w:color w:val="auto"/>
        </w:rPr>
        <w:t xml:space="preserve">Employee termination, asset impairment and other charges was $215 million in 2018, a decrease of $17 million, or 7%, from 2017. The decrease is related to our progress toward completion of our integration restructuring plan, partially offset by the announced closure of our foreign manufacturing facility. For additional information regarding employee termination, asset impairment and other charges, see Part II, Item 8, Note 15, </w:t>
      </w:r>
      <w:r>
        <w:rPr>
          <w:rFonts w:ascii="Arial" w:cs="Arial" w:eastAsia="Arial" w:hAnsi="Arial"/>
          <w:sz w:val="17"/>
          <w:szCs w:val="17"/>
          <w:i w:val="1"/>
          <w:iCs w:val="1"/>
          <w:color w:val="auto"/>
        </w:rPr>
        <w:t>Employee Termination, Asset</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 and Other Charges</w:t>
      </w:r>
      <w:r>
        <w:rPr>
          <w:rFonts w:ascii="Arial" w:cs="Arial" w:eastAsia="Arial" w:hAnsi="Arial"/>
          <w:sz w:val="17"/>
          <w:szCs w:val="17"/>
          <w:color w:val="auto"/>
        </w:rPr>
        <w:t>,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2017 Operating Expenses Compared to Fiscal Year 2016 Operating Expenses</w:t>
      </w:r>
    </w:p>
    <w:p>
      <w:pPr>
        <w:spacing w:after="0" w:line="225"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R&amp;D expense increased $814 million, or 50%, in 2017 compared to 2016, primarily due to the Merger and continued development of flash-based technology. Fiscal year 2017 also included aggregate charges of $199 million related to stock-based compensation expenses, charges related to the implementation of cost-saving initiatives, acquisition-related charges and other discrete charges, compared to $106 million in 2016 related to such charges.</w:t>
      </w:r>
    </w:p>
    <w:p>
      <w:pPr>
        <w:spacing w:after="0" w:line="147"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SG&amp;A expense increased $448 million, or 45%, in 2017 compared to 2016, primarily due to the Merger. Fiscal year 2017 also included aggregate charges of $404 million related to stock-based compensation expenses, amortization expense on acquired intangible assets, charges related to the implementation of cost-saving initiatives, acquisition-related charges and other discrete charges, compared to $379 million in 2016 related to such charges.</w:t>
      </w:r>
    </w:p>
    <w:p>
      <w:pPr>
        <w:spacing w:after="0" w:line="147" w:lineRule="exact"/>
        <w:rPr>
          <w:sz w:val="20"/>
          <w:szCs w:val="20"/>
          <w:color w:val="auto"/>
        </w:rPr>
      </w:pPr>
    </w:p>
    <w:p>
      <w:pPr>
        <w:ind w:right="60" w:firstLine="324"/>
        <w:spacing w:after="0" w:line="220" w:lineRule="exact"/>
        <w:rPr>
          <w:sz w:val="20"/>
          <w:szCs w:val="20"/>
          <w:color w:val="auto"/>
        </w:rPr>
      </w:pPr>
      <w:r>
        <w:rPr>
          <w:rFonts w:ascii="Arial" w:cs="Arial" w:eastAsia="Arial" w:hAnsi="Arial"/>
          <w:sz w:val="16"/>
          <w:szCs w:val="16"/>
          <w:color w:val="auto"/>
        </w:rPr>
        <w:t xml:space="preserve">Employee termination, asset impairment and other charges was $232 million in 2017, a decrease of $113 million, or 33%, from 2016. These charges in 2017 primarily related to further actions under the Restructuring Plan 2016 associated with the integration and business realignment of substantial portions of our business. For additional information regarding employee termination, asset impairment and other charges, see Part II, Item 8, Note 15, </w:t>
      </w:r>
      <w:r>
        <w:rPr>
          <w:rFonts w:ascii="Arial" w:cs="Arial" w:eastAsia="Arial" w:hAnsi="Arial"/>
          <w:sz w:val="16"/>
          <w:szCs w:val="16"/>
          <w:i w:val="1"/>
          <w:iCs w:val="1"/>
          <w:color w:val="auto"/>
        </w:rPr>
        <w:t>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Asset Impairment and Other Charges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2018 Interest and Other Expense, Net Compared to Fiscal Year 2017 Interest and Other Expense, Net</w:t>
      </w:r>
    </w:p>
    <w:p>
      <w:pPr>
        <w:spacing w:after="0" w:line="225"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 xml:space="preserve">Total interest and other expense, net increased $347 million in 2018, primarily due to losses on extinguishment of debt of $899 million in 2018 compared to $274 million in 2017. These losses were partially offset by lower interest expense resulting from reductions in the principal amount of debt and lower interest rates, lower impairment charges related to our cost-method investments, and higher interest income due to increased rates of return on investment (for additional information,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impairment charges related to our cost-method investments.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2017 Interest and Other Expense, Net Compared to Fiscal Year 2016 Interest and Other Expense, Net</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Total interest and other expense, net increased $872 million in 2017, primarily due to a full year of interest expense in 2017 resulting from the additional debt issued in connection with the Merger compared to only a partial year of such expense in 2016, as well as losses on the settlements of certain of our term loans and impairment charges related to our cost-method investments.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 of Operations by dollar and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190"/>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 except percentages)</w:t>
            </w:r>
          </w:p>
        </w:tc>
        <w:tc>
          <w:tcPr>
            <w:tcW w:w="860" w:type="dxa"/>
            <w:vAlign w:val="bottom"/>
          </w:tcPr>
          <w:p>
            <w:pPr>
              <w:spacing w:after="0"/>
              <w:rPr>
                <w:sz w:val="16"/>
                <w:szCs w:val="16"/>
                <w:color w:val="auto"/>
              </w:rPr>
            </w:pPr>
          </w:p>
        </w:tc>
      </w:tr>
      <w:tr>
        <w:trPr>
          <w:trHeight w:val="66"/>
        </w:trPr>
        <w:tc>
          <w:tcPr>
            <w:tcW w:w="7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2,085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769</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153</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80" w:type="dxa"/>
            <w:vAlign w:val="bottom"/>
          </w:tcPr>
          <w:p>
            <w:pPr>
              <w:spacing w:after="0"/>
              <w:rPr>
                <w:sz w:val="20"/>
                <w:szCs w:val="20"/>
                <w:color w:val="auto"/>
              </w:rPr>
            </w:pP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1,410</w:t>
            </w:r>
          </w:p>
        </w:tc>
        <w:tc>
          <w:tcPr>
            <w:tcW w:w="320" w:type="dxa"/>
            <w:vAlign w:val="bottom"/>
          </w:tcPr>
          <w:p>
            <w:pPr>
              <w:spacing w:after="0"/>
              <w:rPr>
                <w:sz w:val="20"/>
                <w:szCs w:val="20"/>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372</w:t>
            </w:r>
          </w:p>
        </w:tc>
        <w:tc>
          <w:tcPr>
            <w:tcW w:w="420" w:type="dxa"/>
            <w:vAlign w:val="bottom"/>
          </w:tcPr>
          <w:p>
            <w:pPr>
              <w:spacing w:after="0"/>
              <w:rPr>
                <w:sz w:val="20"/>
                <w:szCs w:val="20"/>
                <w:color w:val="auto"/>
              </w:rPr>
            </w:pP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(89)</w:t>
            </w:r>
          </w:p>
        </w:tc>
      </w:tr>
      <w:tr>
        <w:trPr>
          <w:trHeight w:val="33"/>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68%</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7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Under the 2017 Act, the U.S. federal corporate tax rate is reduced from 35% to 21% and is effective January 1, 2018, resulting in the use of an estimated annual effective tax rate of approximately 28% for our U.S. federal corporate tax rate for fiscal year 2018. For fiscal year 2019 and beyond, we will utilize the enacted U.S. federal corporate tax rate of 21%.</w:t>
      </w:r>
    </w:p>
    <w:p>
      <w:pPr>
        <w:spacing w:after="0" w:line="181" w:lineRule="exact"/>
        <w:rPr>
          <w:sz w:val="20"/>
          <w:szCs w:val="20"/>
          <w:color w:val="auto"/>
        </w:rPr>
      </w:pPr>
    </w:p>
    <w:p>
      <w:pPr>
        <w:ind w:right="60" w:firstLine="324"/>
        <w:spacing w:after="0" w:line="218" w:lineRule="exact"/>
        <w:rPr>
          <w:sz w:val="20"/>
          <w:szCs w:val="20"/>
          <w:color w:val="auto"/>
        </w:rPr>
      </w:pPr>
      <w:r>
        <w:rPr>
          <w:rFonts w:ascii="Arial" w:cs="Arial" w:eastAsia="Arial" w:hAnsi="Arial"/>
          <w:sz w:val="16"/>
          <w:szCs w:val="16"/>
          <w:color w:val="auto"/>
        </w:rPr>
        <w:t xml:space="preserve">Consistent with applicable Securities and Exchange Commission (“SEC”) guidance, we made a reasonable estimate of the effects on our existing deferred tax balances and the one-time mandatory deemed repatriation tax required by the 2017 Act and have recognized a provisional income tax expense of $1.57 billion for the one-time mandatory deemed repatriation tax and a provisional income tax benefit of $65 million related to the re-measurement of deferred tax assets and liabilities for the year ended June 29, 2018. For other elements of tax expense noted in Part II, Item 8,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(Benefit)</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or where we have not made an election,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not been able to make a reasonable estimate and continue to account for such items based on the provisions of the tax laws that were in effect immediately prior to the 2017 Act. As we finalize the accounting for the tax effects of the enactment of the 2017 Act during a one-year measurement period permitted by applicable SEC guidance, we expect to reflect adjustments to the recorded provisional amounts and record additional tax effects of the 2017 Act.</w:t>
      </w:r>
    </w:p>
    <w:p>
      <w:pPr>
        <w:spacing w:after="0" w:line="2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primary drivers for the difference between the effective tax rate for the year ended June 29, 2018 and the blended U.S. Federal statutory rate of 28% are provisional taxes recognized as a result of the 2017 Act and an increase to the valuation allowance for net operating loss carryforwards from restructuring activities, which are partially offset by the 2018 generation of tax credits and tax holidays in Malaysia, Philippines, Singapore and Thailand that expired or will expire at various dates during fiscal years 2018 through 2030.</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primary drivers for the difference between the effective tax rate for the year ended June 30, 2017 and the U.S. Federal statutory rate of 35% are taxes related to the integration of SanDisk and an increase in the valuation allowance for both acquired tax attributes and net operating loss carryforwards from restructuring activities, which are partially offset by the 2017 generation of tax credits and foreign income taxed at lower rates due primarily to tax holidays in Malaysia, Philippines, Singapore and Thailand.</w:t>
      </w:r>
    </w:p>
    <w:p>
      <w:pPr>
        <w:spacing w:after="0" w:line="187"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primary drivers for the difference between the effective tax rate for the year ended July 1, 2016 and the U.S. Federal statutory rate of 35% are the 2016 generation of tax credits and foreign income taxed at lower rates due primarily to tax holidays in Malaysia, Philippines, Singapore and Thailand.</w:t>
      </w:r>
    </w:p>
    <w:p>
      <w:pPr>
        <w:spacing w:after="0" w:line="12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2017 Act is expected to have an unfavorable impact on our effective tax rate for fiscal year 2018 due to the mandatory deemed repatriation tax offset in part by the re-measurement of deferred taxes and the reduction in the corporate tax rate. In future years, certain additional provisions of the 2017 Act, such as a minimum tax on foreign earnings, will also apply to us and, as a result, we generally expect our effective tax rate to increase from the rate expected for fiscal year 2018 (excluding the mandatory deemed repatriation tax and the re-measurement of deferred taxes). Our estimate of the effective tax rate increase is subject to our assertion as to whether foreign undistributed earnings are indefinitely reinvested and to other calculations and elections during the measurement period. Our total tax expense in future fiscal years will also vary as a result of discrete items such as excess tax benefits or deficiencies.</w:t>
      </w:r>
    </w:p>
    <w:p>
      <w:pPr>
        <w:spacing w:after="0" w:line="165" w:lineRule="exact"/>
        <w:rPr>
          <w:sz w:val="20"/>
          <w:szCs w:val="20"/>
          <w:color w:val="auto"/>
        </w:rPr>
      </w:pPr>
    </w:p>
    <w:p>
      <w:pPr>
        <w:ind w:right="880" w:firstLine="324"/>
        <w:spacing w:after="0" w:line="223" w:lineRule="exact"/>
        <w:rPr>
          <w:sz w:val="20"/>
          <w:szCs w:val="20"/>
          <w:color w:val="auto"/>
        </w:rPr>
      </w:pPr>
      <w:r>
        <w:rPr>
          <w:rFonts w:ascii="Arial" w:cs="Arial" w:eastAsia="Arial" w:hAnsi="Arial"/>
          <w:sz w:val="18"/>
          <w:szCs w:val="18"/>
          <w:color w:val="auto"/>
        </w:rPr>
        <w:t xml:space="preserve">For additional information regarding income tax expense (benefit), see Part II, Item 8, Note 13, </w:t>
      </w:r>
      <w:r>
        <w:rPr>
          <w:rFonts w:ascii="Arial" w:cs="Arial" w:eastAsia="Arial" w:hAnsi="Arial"/>
          <w:sz w:val="18"/>
          <w:szCs w:val="18"/>
          <w:i w:val="1"/>
          <w:iCs w:val="1"/>
          <w:color w:val="auto"/>
        </w:rPr>
        <w:t>Income Tax Expense (Benefit)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4,205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3,437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1,983</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(3,900)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10,751</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(1,349)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3,127</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21" w:lineRule="exact"/>
        <w:rPr>
          <w:sz w:val="20"/>
          <w:szCs w:val="20"/>
          <w:color w:val="auto"/>
        </w:rPr>
      </w:pPr>
      <w:r>
        <w:rPr>
          <w:rFonts w:ascii="Arial" w:cs="Arial" w:eastAsia="Arial" w:hAnsi="Arial"/>
          <w:sz w:val="17"/>
          <w:szCs w:val="17"/>
          <w:color w:val="auto"/>
        </w:rPr>
        <w:t xml:space="preserve">We believe our cash, cash equivalents and cash generated from operations as well as our available credit facilities will be sufficient to meet our working capital, debt, stock repurchases, dividend and capital expenditure needs for at least the next twelve months. Our ability to sustain our working capital position is subject to a number of risks that we discuss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2"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During 2019, we expect cash used for purchases of property, plant and equipment and net activity in notes receivable and equity investments relating to our Flash Ventures joint venture with Toshiba Memory Corporation to be approximately $1.50 billion to $1.90 billion. The total expected cash to be used could vary depending on the timing and completion of various capital projects and the availability, timing and terms of related financing.</w:t>
      </w:r>
    </w:p>
    <w:p>
      <w:pPr>
        <w:spacing w:after="0" w:line="147" w:lineRule="exact"/>
        <w:rPr>
          <w:sz w:val="20"/>
          <w:szCs w:val="20"/>
          <w:color w:val="auto"/>
        </w:rPr>
      </w:pPr>
    </w:p>
    <w:p>
      <w:pPr>
        <w:ind w:right="60" w:firstLine="324"/>
        <w:spacing w:after="0" w:line="218" w:lineRule="exact"/>
        <w:rPr>
          <w:sz w:val="20"/>
          <w:szCs w:val="20"/>
          <w:color w:val="auto"/>
        </w:rPr>
      </w:pPr>
      <w:r>
        <w:rPr>
          <w:rFonts w:ascii="Arial" w:cs="Arial" w:eastAsia="Arial" w:hAnsi="Arial"/>
          <w:sz w:val="18"/>
          <w:szCs w:val="18"/>
          <w:color w:val="auto"/>
        </w:rPr>
        <w:t xml:space="preserve">Pursuant to the 2017 Act, we are required to pay a one-time deemed repatriation tax related to the undistributed earnings of our foreign subsidiaries. For 2018, we recorded a provisional amount for the mandatory deemed repatriation tax liability of $1.57 billion, which is payable over an 8-year period as further discussed below under “Short and Long-term Liquidity-Contractual Obligations and Commitments.” The provisional amount included in the Consolidated Financial Statements may change when we finalize the calculation of our post-1986 foreign earnings and profits that were previously deferred from U.S. income taxes and the amount of foreign earnings held in cash or other specified assets. For additional information regarding our total tax liability for the mandatory repatriation tax, see Part II, Item 8, Note 13, </w:t>
      </w:r>
      <w:r>
        <w:rPr>
          <w:rFonts w:ascii="Arial" w:cs="Arial" w:eastAsia="Arial" w:hAnsi="Arial"/>
          <w:sz w:val="18"/>
          <w:szCs w:val="18"/>
          <w:i w:val="1"/>
          <w:iCs w:val="1"/>
          <w:color w:val="auto"/>
        </w:rPr>
        <w:t>Income Tax Expense (Benefit)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 total of $4.15 billion and $4.99 billion of our cash and cash equivalents was held outside of the U.S. as of June 29, 2018 and June 30, 2017, respectively. Although the mandatory deemed repatriation tax has removed U.S. federal taxes on distributions to the U.S., we continue to evaluate the expected manner of recovery to determine whether or not to continue to assert indefinite reinvestment on a part or all the foreign undistributed earnings. This requires us to re-evaluate the existing short and long-term capital allocation policies in light of the 2017 Act and calculate the tax cost that is incremental to the U.S. deemed repatriation tax (e.g., foreign withholding, state income taxes, and additional U.S. tax on currency transaction gains or losses) of repatriating cash to the U.S. While the current tax expense is based upon an assumption that foreign undistributed earnings are indefinitely reinvested, our plan may change upon the completion of long-term capital allocation plans in light of the 2017 Act and completion of the calculation of the incremental tax effects on the repatriation of foreign undistributed earnings. In the event we determine not to continue to assert the permanent reinvestment of part or all of our foreign undistributed earnings, such a determination could result in the accrual and payment of additional federal, foreign, state and local taxes.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Cash flow from operating activities primarily consists of net income, adjusted for non-cash charges, plus or minus changes in other operating assets and liabilities. This represents our principal source of cash. Net cash provided by changes in other operating assets and liabilities was $486 million for 2018, as compared to net cash provided by changes in other operating assets and liabilities of $91 million for 2017. The increase in cash provided by changes in other operating assets and liabilities in 2018 primarily reflects the payable recorded for the mandatory repatriation tax as described in the Tax Reform section of Key Developments above. Changes in our other operating assets and liabilities are also largely affected by our working capital requirements, which are dependent on the effective management of our cash conversion cycle. Our cash conversion cycle measures how quickly we can convert our products into cash through sales. The cash conversion cycles were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00" w:type="dxa"/>
            <w:vAlign w:val="bottom"/>
          </w:tcPr>
          <w:p>
            <w:pPr>
              <w:ind w:left="580"/>
              <w:spacing w:after="0"/>
              <w:rPr>
                <w:sz w:val="20"/>
                <w:szCs w:val="20"/>
                <w:color w:val="auto"/>
              </w:rPr>
            </w:pPr>
            <w:r>
              <w:rPr>
                <w:rFonts w:ascii="Arial" w:cs="Arial" w:eastAsia="Arial" w:hAnsi="Arial"/>
                <w:sz w:val="14"/>
                <w:szCs w:val="14"/>
                <w:i w:val="1"/>
                <w:iCs w:val="1"/>
                <w:color w:val="auto"/>
              </w:rPr>
              <w:t>(in days)</w:t>
            </w:r>
          </w:p>
        </w:tc>
        <w:tc>
          <w:tcPr>
            <w:tcW w:w="14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43"/>
        </w:trPr>
        <w:tc>
          <w:tcPr>
            <w:tcW w:w="6740" w:type="dxa"/>
            <w:vAlign w:val="bottom"/>
          </w:tcPr>
          <w:p>
            <w:pPr>
              <w:ind w:left="40"/>
              <w:spacing w:after="0"/>
              <w:rPr>
                <w:sz w:val="20"/>
                <w:szCs w:val="20"/>
                <w:color w:val="auto"/>
              </w:rPr>
            </w:pPr>
            <w:r>
              <w:rPr>
                <w:rFonts w:ascii="Arial" w:cs="Arial" w:eastAsia="Arial" w:hAnsi="Arial"/>
                <w:sz w:val="16"/>
                <w:szCs w:val="16"/>
                <w:color w:val="auto"/>
              </w:rPr>
              <w:t>Days in inventory</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(78)</w:t>
            </w:r>
          </w:p>
        </w:tc>
      </w:tr>
      <w:tr>
        <w:trPr>
          <w:trHeight w:val="243"/>
        </w:trPr>
        <w:tc>
          <w:tcPr>
            <w:tcW w:w="67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44</w:t>
            </w:r>
          </w:p>
        </w:tc>
      </w:tr>
    </w:tbl>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For 2018, DSO increased by 2 days over the prior year, primarily reflecting the timing of shipments and customer receipts. DIO increased by 18 days over the prior year, primarily reflecting increases in flash inventory and an increase in HDD inventory due to ongoing hard drive manufacturing transformation activities. The decrease in DPO primarily reflects the increased production volume and timing of vendor payments.</w:t>
      </w:r>
    </w:p>
    <w:p>
      <w:pPr>
        <w:spacing w:after="0" w:line="16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working capital metrics in 2016 were notably impacted by the inclusion of SanDisk’s accounts receivable, inventory and accounts payable balances as of July 1, 2016, but only including SanDisk’s revenue and cost of sales following the Merger. The Merger inflated DSO, DIO and DPO by 12 days, 32 days, and 14 days, respectively. Excluding the impact of the Merger in 2016, DSO in 2017 increased by 8 days over 2016, primarily reflecting timing of customer receipts in the prior year. Excluding the impact of the Merger in 2016, DIO in 2017 increased by 16 days over 2016. The increase in DIO primarily reflects short-term build-up of inventory to maintain supply as we close certain facilities and transition production. Excluding the impact of the Merger in 2016, DPO in 2017 increased by 2 days over 2016, primarily reflecting routine variations in timing of purchases and payments during the period.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During 2018, net cash used in investing activities primarily consisted of $835 million of capital expenditures, a net $742 million increase in notes receivable issuances to Flash Ventures to fund its capital expansion, and $100 million for acquisitions. Net cash used in investing activities for 2017 primarily consisted of $578 million of capital expenditures and a $277 million net increase in notes receivable issuances to and investments in Flash Ventures, partially offset by a net reduction of our available for sale securities of $230 million. During 2016, net cash used in investing activities primarily consisted of</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$9.84 billion related to the Merger, net of cash acquired, $584 million of capital expenditures, $90 million net increase in notes receivable to Flash Ventures and a net $76 million of other investing activities, partially offset by $977 million of proceeds from a net decrease in investments and sales of marketable securities.</w:t>
      </w:r>
    </w:p>
    <w:p>
      <w:pPr>
        <w:spacing w:after="0" w:line="19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During 2018, net cash used in financing activities primarily consisted of $17.07 billion in debt repayments, $593 million to pay dividends on our common stock and $591 million of share repurchases, partially offset by net proceeds of $14.28 billion from debt issuances and draws under our Revolving Facility. During 2017, net cash used in financing activities primarily consisted of $11.70 billion to repay debt, $574 million to pay dividends on our common stock and $492 million to settle convertible debt, partially offset by $7.90 billion of proceeds from debt, net of issuance costs, a net $230 million provided by employee stock plans and $61 million of proceeds from call options. During 2016, net cash provided by financing activities consisted of $16.58 billion of proceeds from debt, net of issuance costs, $409 million of proceeds from call options and a net $74 million provided by employee stock plans, offset by a net $2.61 billion to settle convertible debt, $2.57 billion to repay debt and our prior revolving credit facility, $613 million for payment upon settlement of warrants, $464 million to pay dividends on our common stock and $60 million to repurchase shares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324"/>
        <w:spacing w:after="0" w:line="218" w:lineRule="exact"/>
        <w:rPr>
          <w:sz w:val="20"/>
          <w:szCs w:val="20"/>
          <w:color w:val="auto"/>
        </w:rPr>
      </w:pPr>
      <w:r>
        <w:rPr>
          <w:rFonts w:ascii="Arial" w:cs="Arial" w:eastAsia="Arial" w:hAnsi="Arial"/>
          <w:sz w:val="18"/>
          <w:szCs w:val="18"/>
          <w:color w:val="auto"/>
        </w:rPr>
        <w:t xml:space="preserve">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we do not have an interest in, or relationships with, any special-purpose entities. For additional information regarding our off-balance sheet arrangements, see Part II, Item 8, Note 9,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June 29,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Year (2019)</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(2020-</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(2022-</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2023)</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2,323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5"/>
          <w:szCs w:val="25"/>
          <w:color w:val="auto"/>
          <w:vertAlign w:val="superscript"/>
        </w:rPr>
      </w:pPr>
    </w:p>
    <w:p>
      <w:pPr>
        <w:ind w:left="340" w:right="120" w:hanging="332"/>
        <w:spacing w:after="0" w:line="221"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jc w:val="both"/>
        <w:ind w:right="560" w:firstLine="324"/>
        <w:spacing w:after="0" w:line="221" w:lineRule="exact"/>
        <w:rPr>
          <w:sz w:val="20"/>
          <w:szCs w:val="20"/>
          <w:color w:val="auto"/>
        </w:rPr>
      </w:pPr>
      <w:r>
        <w:rPr>
          <w:rFonts w:ascii="Arial" w:cs="Arial" w:eastAsia="Arial" w:hAnsi="Arial"/>
          <w:sz w:val="18"/>
          <w:szCs w:val="18"/>
          <w:color w:val="auto"/>
        </w:rPr>
        <w:t xml:space="preserve">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information regarding our indebtedness, including information about new borrowings and repayments, increased availability under our Revolving Facility and the principal repayment terms, interest rates, covenants and other key terms of our outstanding indebtedness.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June 29, 2018, we were in compliance with all covenants under these Japanese lease facilities. See Part II, Item 8, Note 9, </w:t>
      </w:r>
      <w:r>
        <w:rPr>
          <w:rFonts w:ascii="Arial" w:cs="Arial" w:eastAsia="Arial" w:hAnsi="Arial"/>
          <w:sz w:val="16"/>
          <w:szCs w:val="16"/>
          <w:i w:val="1"/>
          <w:iCs w:val="1"/>
          <w:color w:val="auto"/>
        </w:rPr>
        <w:t>Commitments, Contingencies and Related Parties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information regarding Flash Ventures.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In addition, 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The estimated related minimum purchase requirements are included in “Purchase obligations” in the table above. We have also entered into long-term purchase agreements with various component suppliers that carry fixed volumes and pricing which obligate us to make certain future purchases, contingent on certain conditions of performance, quality and technology of the vendor’s components. These arrangements are included under “Purchase obligations” in the table above.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Repatriation Tax</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is a summary of our estimated provisional mandatory deemed repatriation tax obligations that are payable in the following fiscal years ending (in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28, 2019</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3, 2020</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131</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2, 2021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1, 2022</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124</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2023</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June 28, 2024</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233</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27, 2025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3, 2026</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388</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1,566</w:t>
            </w:r>
          </w:p>
        </w:tc>
      </w:tr>
      <w:tr>
        <w:trPr>
          <w:trHeight w:val="20"/>
        </w:trPr>
        <w:tc>
          <w:tcPr>
            <w:tcW w:w="9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20" w:lineRule="exact"/>
        <w:rPr>
          <w:sz w:val="20"/>
          <w:szCs w:val="20"/>
          <w:color w:val="auto"/>
        </w:rPr>
      </w:pPr>
      <w:r>
        <w:rPr>
          <w:rFonts w:ascii="Arial" w:cs="Arial" w:eastAsia="Arial" w:hAnsi="Arial"/>
          <w:sz w:val="17"/>
          <w:szCs w:val="17"/>
          <w:color w:val="auto"/>
        </w:rPr>
        <w:t xml:space="preserve">The 2017 Act allows for the provisional mandatory deemed repatriation tax of $1.57 billion to be payable over an 8-year period without interest. The payments are due with 8% of the tax to be paid in each of the first five years, 15% in the 6th year, 20% in the 7th year, and 25% in the 8th year. For additional information regarding our provisional estimate of the total tax liability for the mandatory repatriation tax, see Part II, Item 8, Note 13, </w:t>
      </w:r>
      <w:r>
        <w:rPr>
          <w:rFonts w:ascii="Arial" w:cs="Arial" w:eastAsia="Arial" w:hAnsi="Arial"/>
          <w:sz w:val="17"/>
          <w:szCs w:val="17"/>
          <w:i w:val="1"/>
          <w:iCs w:val="1"/>
          <w:color w:val="auto"/>
        </w:rPr>
        <w:t>Income Tax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(Benefit)</w:t>
      </w:r>
      <w:r>
        <w:rPr>
          <w:rFonts w:ascii="Arial" w:cs="Arial" w:eastAsia="Arial" w:hAnsi="Arial"/>
          <w:sz w:val="17"/>
          <w:szCs w:val="17"/>
          <w:color w:val="auto"/>
        </w:rPr>
        <w:t>,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right="20" w:firstLine="324"/>
        <w:spacing w:after="0" w:line="219" w:lineRule="exact"/>
        <w:rPr>
          <w:sz w:val="20"/>
          <w:szCs w:val="20"/>
          <w:color w:val="auto"/>
        </w:rPr>
      </w:pPr>
      <w:r>
        <w:rPr>
          <w:rFonts w:ascii="Arial" w:cs="Arial" w:eastAsia="Arial" w:hAnsi="Arial"/>
          <w:sz w:val="18"/>
          <w:szCs w:val="18"/>
          <w:color w:val="auto"/>
        </w:rPr>
        <w:t xml:space="preserve">As of June 29, 2018, the liability for unrecognized tax benefits (excluding accrued interest and penalties) was approximately $551 million. Accrued interest and penalties related to unrecognized tax benefits as of June 29, 2018 was approximately $110 million. Of these amounts, approximately $508 million could result in potential cash payments. We are not able to provide a reasonable estimate of the timing of future tax payments related to these obligations. For additional information regarding our total tax liability for unrecognized tax benefits, see Part II, Item 8, Note 13, </w:t>
      </w:r>
      <w:r>
        <w:rPr>
          <w:rFonts w:ascii="Arial" w:cs="Arial" w:eastAsia="Arial" w:hAnsi="Arial"/>
          <w:sz w:val="18"/>
          <w:szCs w:val="18"/>
          <w:i w:val="1"/>
          <w:iCs w:val="1"/>
          <w:color w:val="auto"/>
        </w:rPr>
        <w:t>Income Tax Expense (Benefit)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80" w:firstLine="324"/>
        <w:spacing w:after="0" w:line="221" w:lineRule="exact"/>
        <w:rPr>
          <w:sz w:val="20"/>
          <w:szCs w:val="20"/>
          <w:color w:val="auto"/>
        </w:rPr>
      </w:pPr>
      <w:r>
        <w:rPr>
          <w:rFonts w:ascii="Arial" w:cs="Arial" w:eastAsia="Arial" w:hAnsi="Arial"/>
          <w:sz w:val="16"/>
          <w:szCs w:val="16"/>
          <w:color w:val="auto"/>
        </w:rPr>
        <w:t xml:space="preserve">We have entered into interest rate swap agreements to moderate our exposure to fluctuations in interest rates underlying our variable rate debt. For a description of our current interest rate swaps, see Part II,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and Part II, Item 8, Note 5,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and Part II, Item 8,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Board of Directors previously authorized $5.00 billion for the repurchase of our common stock. In 2018, we repurchased 7.1 million shares for a total cost of $591 million. Subsequent to June 29, 2018 and through July 25, 2018, we repurchased an additional 0.8 million shares for a total cost of $61 million. On July 25, 2018, our Board of Directors authorized a new $5.00 billion share repurchase program that is effective through July 25, 2023, replacing all prior programs. Repurchases under the stock repurchase program may be made in the open market or in privately negotiated transactions and may be made under a Rule 10b5-1 plan. We expect stock repurchases to be funded principally by operating cash flows. Subsequent to July 25, 2018 and through August 22, 2018, we repurchased an additional 5.9 million shares for a total cost of $404 million under this new program.</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Since the first quarter of 2013, we have issued a quarterly cash dividend. During the year ended June 29, 2018, we declared aggregate cash dividends of $2.00 per share of our common stock totaling $592 million. On May 2, 2018, we declared a cash dividend of $0.50 per share of our common stock to our shareholders of record as of June 29, 2018, which aggregated $148 million and was paid on July 16, 2018. On August 1, 2018, we declared a cash dividend of $0.50 per share of our common stock to our shareholders of record as of September 28, 2018, which will be paid on October 15, 2018. We may modify, suspend, or cancel our cash dividend policy in any manner and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40" w:firstLine="324"/>
        <w:spacing w:after="0" w:line="221" w:lineRule="exact"/>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II, Item 8,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We believe the following are our most critical accounting policies that affect significant areas and involve judgment and estimates made by us. If these estimates differ significantly from actual results, the impact to Consolidated Financial Statements may be material.</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accordance with standard industry practice, we provide distributors and retailers (collectively referred to as “resellers”) with limited price protection for inventories held by resellers at the time of published list price reductions and/or a right of return and we provide resellers and OEMs with other sales incentive programs. At the time we recognize revenue to resellers and OEMs, we record a reduction of revenue for estimated price protection and/or returns until the resellers sell such inventory to their customers and we also record a reduction of revenue for the other programs in effect. We base these adjustments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If customer demand for our products or market conditions differ from our expectations, our operating results could be materially affected. We also have programs under which we reimburse qualified distributors and retailers for certain marketing expenditures, which are recorded as a reduction of revenue. These amounts generally vary according to several factors including industry conditions, seasonal demand, competitor actions, channel mix and overall availability of product. Changes in future customer demand and market conditions may require us to adjust our incentive programs as a percentage of gross revenue from the current range. Total sales incentive and marketing programs have ranged from 12% to 13% of gross revenue and adjustments to revenue due to changes in accruals for these programs related to revenue reported in prior periods have generally averaged less than 1% of gross revenue over the last three fiscal years.</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establish provisions against revenue and cost of revenue for sales returns in the same period that the related revenue is recognized. We base these provisions on existing product return notifications. If actual sales returns exceed expectations, an increase in the sales return accrual would be required, which could materially affect operating results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value inventories at the lower of cost (first-in, first-out)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25"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 xml:space="preserve">When we become aware of a claim or potential claim, we assess the likelihood of any loss or exposure. We disclose information regarding each material claim where the likelihood of a loss contingency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judgments, estimates and inherent uncertainties. The actual outcome of such matters could differ materially from management’s estimates. For additional information, see Part II, Item 8, Note 16, </w:t>
      </w:r>
      <w:r>
        <w:rPr>
          <w:rFonts w:ascii="Arial" w:cs="Arial" w:eastAsia="Arial" w:hAnsi="Arial"/>
          <w:sz w:val="16"/>
          <w:szCs w:val="16"/>
          <w:i w:val="1"/>
          <w:iCs w:val="1"/>
          <w:color w:val="auto"/>
        </w:rPr>
        <w:t>Legal Proceedings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Goodwill is not amortized. Instead, it is tested for impairment on an annual basis or more frequently whenever events or changes in circumstances indicate that goodwill may be impaired. We perform our annual impairment test as of the first day of our fiscal fourth quarter. We use qualitative factors to determine whether goodwill is more likely than not impaired and whether a quantitative test for impairment is considered necessary. If we conclude from the qualitative assessment that goodwill is more likely than not impaired, we are required to perform a quantitative approach to determine the amount of impairment. We are required to use judgment when applying the goodwill impairment test, including the identification of reporting units,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In-process research and development (“IPR&amp;D”) is an intangible asset accounted as an indefinite-lived asset until the completion or abandonment of the associated R&amp;D effort. During the development period, we conduct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the impact of the economic environment on us and our customer base. If impairment is indicated, the impairment is measured as the amount by which the carrying amount of the assets exceeds the fair value of the assets.</w:t>
      </w:r>
    </w:p>
    <w:p>
      <w:pPr>
        <w:spacing w:after="0" w:line="19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120" w:firstLine="324"/>
        <w:spacing w:after="0" w:line="218" w:lineRule="exact"/>
        <w:rPr>
          <w:sz w:val="20"/>
          <w:szCs w:val="20"/>
          <w:color w:val="auto"/>
        </w:rPr>
      </w:pPr>
      <w:r>
        <w:rPr>
          <w:rFonts w:ascii="Arial" w:cs="Arial" w:eastAsia="Arial" w:hAnsi="Arial"/>
          <w:sz w:val="16"/>
          <w:szCs w:val="16"/>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II, Item 8, Note 4,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June 29, 2018, we had outstanding the foreign exchange contracts presented in the following table. The designated foreign exchange contracts are entered to protect the U.S. dollar value of our product cost and operating expenses. Changes in fair values of the non-designated foreign exchange contracts are recognized in other income (expense), net and are largely offset by corresponding changes in the fair values of the foreign currency denominated monetary assets and liabilities.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tcPr>
          <w:p>
            <w:pPr>
              <w:jc w:val="center"/>
              <w:ind w:right="102"/>
              <w:spacing w:after="0"/>
              <w:rPr>
                <w:sz w:val="20"/>
                <w:szCs w:val="20"/>
                <w:color w:val="auto"/>
              </w:rPr>
            </w:pPr>
            <w:r>
              <w:rPr>
                <w:rFonts w:ascii="Arial" w:cs="Arial" w:eastAsia="Arial" w:hAnsi="Arial"/>
                <w:sz w:val="14"/>
                <w:szCs w:val="14"/>
                <w:b w:val="1"/>
                <w:bCs w:val="1"/>
                <w:color w:val="auto"/>
              </w:rPr>
              <w:t>Mark to Market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Designated Hedges (cash flow hedges)</w:t>
            </w:r>
          </w:p>
        </w:tc>
        <w:tc>
          <w:tcPr>
            <w:tcW w:w="160" w:type="dxa"/>
            <w:vAlign w:val="bottom"/>
          </w:tcPr>
          <w:p>
            <w:pPr>
              <w:spacing w:after="0"/>
              <w:rPr>
                <w:sz w:val="12"/>
                <w:szCs w:val="12"/>
                <w:color w:val="auto"/>
              </w:rPr>
            </w:pPr>
          </w:p>
        </w:tc>
        <w:tc>
          <w:tcPr>
            <w:tcW w:w="13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Contract Amount</w:t>
            </w:r>
          </w:p>
        </w:tc>
        <w:tc>
          <w:tcPr>
            <w:tcW w:w="1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Unrealized Gain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7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4"/>
          </w:tcPr>
          <w:p>
            <w:pPr>
              <w:jc w:val="center"/>
              <w:ind w:right="62"/>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Japanese yen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634</w:t>
            </w:r>
          </w:p>
        </w:tc>
        <w:tc>
          <w:tcPr>
            <w:tcW w:w="17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109.39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Malaysian ringgit</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3.97</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Philippine peso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17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52.69</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Thai baht</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162</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31.48</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Total designated forward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945</w:t>
            </w: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Non-Designated Hedges</w:t>
            </w:r>
          </w:p>
        </w:tc>
        <w:tc>
          <w:tcPr>
            <w:tcW w:w="160" w:type="dxa"/>
            <w:vAlign w:val="bottom"/>
          </w:tcPr>
          <w:p>
            <w:pPr>
              <w:spacing w:after="0"/>
              <w:rPr>
                <w:sz w:val="24"/>
                <w:szCs w:val="24"/>
                <w:color w:val="auto"/>
              </w:rPr>
            </w:pPr>
          </w:p>
        </w:tc>
        <w:tc>
          <w:tcPr>
            <w:tcW w:w="13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Contract Amount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24"/>
                <w:szCs w:val="24"/>
                <w:color w:val="auto"/>
              </w:rPr>
            </w:pPr>
          </w:p>
        </w:tc>
        <w:tc>
          <w:tcPr>
            <w:tcW w:w="130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Unrealized Gain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7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4"/>
          </w:tcPr>
          <w:p>
            <w:pPr>
              <w:jc w:val="center"/>
              <w:ind w:right="62"/>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British pound sterling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7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0.76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Euro</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0.86</w:t>
            </w:r>
          </w:p>
        </w:tc>
        <w:tc>
          <w:tcPr>
            <w:tcW w:w="1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Japanese yen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2,921</w:t>
            </w:r>
          </w:p>
        </w:tc>
        <w:tc>
          <w:tcPr>
            <w:tcW w:w="17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108.20</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Malaysian ringgit</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104</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4.00</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Philippine peso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17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53.11</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Thai baht</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211</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32.42</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Total non-designated forward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3,420</w:t>
            </w: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During 2018, 2017 and 2016, total net realized and unrealized transaction and foreign exchange contract currency gains and losses were not material to our Consolidated Financial Statements.</w:t>
      </w:r>
    </w:p>
    <w:p>
      <w:pPr>
        <w:spacing w:after="0" w:line="170"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Borrowings under our Revolving Facility and Term Loan A-1 bear interest at a rate per annum, at our option, of either an adjusted London Interbank Offered Rate (“LIBOR”) (subject to a 0.0% floor) plus an applicable margin varying from 1.125% to 2.000% or a base rate plus an applicable margin varying from 0.125% to 1.000%, in each case depending on our corporate credit ratings. As of June 29, 2018, the applicable margin based on our current credit ratings was 1.5%. Borrowings under our U.S. Term Loan B-4 bear interest at a rate per annum, at our option, of either an adjusted LIBOR (subject to a 0.0% floor) plus a margin of 1.75% or a base rate plus a margin of 0.75%.</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generally held a balance of fixed and variable rate debt. At June 29, 2018, 70% of the par value of our debt was at variable rates. We entered into pay-fixed interest rate swaps, which effectively converts $1.00 billion of our term loans to fixed rates through May 2020 and an incremental $1.00 billion through April 2023. As of June 29, 2018, we had $7.94 billion of variable rate debt. After giving effect to the $2.00 billion of interest rate swaps, we effectively had $5.94 billion of long-term debt subject to variations in interest rates and a one percent increase in the variable rate of interest would increase annual interest expense by $59 million.</w:t>
      </w:r>
    </w:p>
    <w:p>
      <w:pPr>
        <w:spacing w:after="0" w:line="188" w:lineRule="exact"/>
        <w:rPr>
          <w:sz w:val="20"/>
          <w:szCs w:val="20"/>
          <w:color w:val="auto"/>
        </w:rPr>
      </w:pPr>
    </w:p>
    <w:p>
      <w:pPr>
        <w:ind w:right="680" w:firstLine="324"/>
        <w:spacing w:after="0" w:line="223" w:lineRule="exact"/>
        <w:rPr>
          <w:sz w:val="20"/>
          <w:szCs w:val="20"/>
          <w:color w:val="auto"/>
        </w:rPr>
      </w:pPr>
      <w:r>
        <w:rPr>
          <w:rFonts w:ascii="Arial" w:cs="Arial" w:eastAsia="Arial" w:hAnsi="Arial"/>
          <w:sz w:val="18"/>
          <w:szCs w:val="18"/>
          <w:color w:val="auto"/>
        </w:rPr>
        <w:t xml:space="preserve">For additional information regarding our indebtedness and our interest rate swaps,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04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70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904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Index to Financial Statements and Financial Statement Schedule</w:t>
            </w:r>
          </w:p>
        </w:tc>
        <w:tc>
          <w:tcPr>
            <w:tcW w:w="1700" w:type="dxa"/>
            <w:vAlign w:val="bottom"/>
          </w:tcPr>
          <w:p>
            <w:pPr>
              <w:spacing w:after="0"/>
              <w:rPr>
                <w:sz w:val="24"/>
                <w:szCs w:val="24"/>
                <w:color w:val="auto"/>
              </w:rPr>
            </w:pPr>
          </w:p>
        </w:tc>
      </w:tr>
      <w:tr>
        <w:trPr>
          <w:trHeight w:val="399"/>
        </w:trPr>
        <w:tc>
          <w:tcPr>
            <w:tcW w:w="680" w:type="dxa"/>
            <w:vAlign w:val="bottom"/>
            <w:tcBorders>
              <w:bottom w:val="single" w:sz="8" w:color="CCEEFF"/>
            </w:tcBorders>
          </w:tcPr>
          <w:p>
            <w:pPr>
              <w:spacing w:after="0"/>
              <w:rPr>
                <w:sz w:val="24"/>
                <w:szCs w:val="24"/>
                <w:color w:val="auto"/>
              </w:rPr>
            </w:pPr>
          </w:p>
        </w:tc>
        <w:tc>
          <w:tcPr>
            <w:tcW w:w="90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PAGE NO.</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Reports of Independent Registered Public Accounting Firm</w:t>
            </w:r>
          </w:p>
        </w:tc>
        <w:tc>
          <w:tcPr>
            <w:tcW w:w="1700" w:type="dxa"/>
            <w:vAlign w:val="bottom"/>
          </w:tcPr>
          <w:p>
            <w:pPr>
              <w:jc w:val="cente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Consolidated Balance Sheets — As of June 29, 2018 and June 30, 2017</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Operations — Three Years Ended June 29, 2018</w:t>
            </w:r>
          </w:p>
        </w:tc>
        <w:tc>
          <w:tcPr>
            <w:tcW w:w="1700" w:type="dxa"/>
            <w:vAlign w:val="bottom"/>
          </w:tcPr>
          <w:p>
            <w:pPr>
              <w:jc w:val="cente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Consolidated Statements of Comprehensive Income — Three Years Ended June 29, 2018</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Cash Flows — Three Years Ended June 29, 2018</w:t>
            </w:r>
          </w:p>
        </w:tc>
        <w:tc>
          <w:tcPr>
            <w:tcW w:w="1700" w:type="dxa"/>
            <w:vAlign w:val="bottom"/>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Consolidated Statements of Shareholders' Equity — Three Years Ended June 29, 2018</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700" w:type="dxa"/>
            <w:vAlign w:val="bottom"/>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r>
      <w:tr>
        <w:trPr>
          <w:trHeight w:val="702"/>
        </w:trPr>
        <w:tc>
          <w:tcPr>
            <w:tcW w:w="680" w:type="dxa"/>
            <w:vAlign w:val="bottom"/>
          </w:tcPr>
          <w:p>
            <w:pPr>
              <w:spacing w:after="0"/>
              <w:rPr>
                <w:sz w:val="24"/>
                <w:szCs w:val="24"/>
                <w:color w:val="auto"/>
              </w:rPr>
            </w:pPr>
          </w:p>
        </w:tc>
        <w:tc>
          <w:tcPr>
            <w:tcW w:w="9040" w:type="dxa"/>
            <w:vAlign w:val="bottom"/>
          </w:tcPr>
          <w:p>
            <w:pPr>
              <w:jc w:val="right"/>
              <w:ind w:right="3830"/>
              <w:spacing w:after="0"/>
              <w:rPr>
                <w:sz w:val="20"/>
                <w:szCs w:val="20"/>
                <w:color w:val="auto"/>
              </w:rPr>
            </w:pPr>
            <w:r>
              <w:rPr>
                <w:rFonts w:ascii="Arial" w:cs="Arial" w:eastAsia="Arial" w:hAnsi="Arial"/>
                <w:sz w:val="18"/>
                <w:szCs w:val="18"/>
                <w:color w:val="auto"/>
              </w:rPr>
              <w:t>55</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Western Digital Corporation and subsidiaries (the Company) as of June 29, 2018 and June 30, 2017, the related consolidated statements of operations, comprehensive income, shareholders’ equity, and cash flows for each of the years in the three-year period ended June 29, 2018, and the related notes, collectively the consolidated financial statements. We also have audited the Company’s internal control over financial reporting as of June 29,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29, 2018 and June 30, 2017, and the results of its operations and its cash flows for each of the years in the three-year period ended June 29, 2018, in conformity with U.S. generally accepted accounting principles. Also in our opinion, the Company maintained, in all material respects, effective internal control over financial reporting as of June 29,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Item 9A, </w:t>
      </w:r>
      <w:r>
        <w:rPr>
          <w:rFonts w:ascii="Arial" w:cs="Arial" w:eastAsia="Arial" w:hAnsi="Arial"/>
          <w:sz w:val="17"/>
          <w:szCs w:val="17"/>
          <w:i w:val="1"/>
          <w:iCs w:val="1"/>
          <w:color w:val="auto"/>
        </w:rPr>
        <w:t>Management’s Report on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over Financial Reporting</w:t>
      </w:r>
      <w:r>
        <w:rPr>
          <w:rFonts w:ascii="Arial" w:cs="Arial" w:eastAsia="Arial" w:hAnsi="Arial"/>
          <w:sz w:val="17"/>
          <w:szCs w:val="17"/>
          <w:color w:val="auto"/>
        </w:rPr>
        <w:t>. Our responsibility is to express an opinion on the Company’s consolidated financial statements and an opinion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24,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June 29,</w:t>
      </w:r>
      <w:r>
        <w:rPr>
          <w:sz w:val="20"/>
          <w:szCs w:val="20"/>
          <w:color w:val="auto"/>
        </w:rPr>
        <w:tab/>
      </w:r>
      <w:r>
        <w:rPr>
          <w:rFonts w:ascii="Arial" w:cs="Arial" w:eastAsia="Arial" w:hAnsi="Arial"/>
          <w:sz w:val="12"/>
          <w:szCs w:val="12"/>
          <w:b w:val="1"/>
          <w:bCs w:val="1"/>
          <w:color w:val="auto"/>
        </w:rPr>
        <w:t>June 30,</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6, 9, 13 and 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260"/>
        <w:spacing w:after="0" w:line="293" w:lineRule="auto"/>
        <w:rPr>
          <w:sz w:val="20"/>
          <w:szCs w:val="20"/>
          <w:color w:val="auto"/>
        </w:rPr>
      </w:pPr>
      <w:r>
        <w:rPr>
          <w:rFonts w:ascii="Arial" w:cs="Arial" w:eastAsia="Arial" w:hAnsi="Arial"/>
          <w:sz w:val="16"/>
          <w:szCs w:val="16"/>
          <w:color w:val="auto"/>
        </w:rPr>
        <w:t>Common stock, $0.01 par value; authorized — 450 shares; issued — 312 shares in 2018 and 2017; outstanding — 296 shares in 2018 and 294 shares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16 shares in 2018 and 18 shares in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5,005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6,354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2,197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2,944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492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413</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10,638</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3,095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2,105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10,075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10,014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2,680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642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29,235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2,265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259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1,274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479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179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4,456</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10,993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12,918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2,255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17,704</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18,442</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4,254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4,506</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8,757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8,633</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(1,444)</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-3340100</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11,418</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29,235</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50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1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00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504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12,994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12,942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9,559</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3,435</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50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997</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asset impairment, and other charges</w:t>
            </w:r>
          </w:p>
        </w:tc>
        <w:tc>
          <w:tcPr>
            <w:tcW w:w="2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2,969</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interest and other expense, net</w:t>
            </w:r>
          </w:p>
        </w:tc>
        <w:tc>
          <w:tcPr>
            <w:tcW w:w="2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Basic</w:t>
            </w:r>
          </w:p>
        </w:tc>
        <w:tc>
          <w:tcPr>
            <w:tcW w:w="2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242</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w:t>
            </w:r>
          </w:p>
        </w:tc>
      </w:tr>
      <w:tr>
        <w:trPr>
          <w:trHeight w:val="459"/>
        </w:trPr>
        <w:tc>
          <w:tcPr>
            <w:tcW w:w="9000" w:type="dxa"/>
            <w:vAlign w:val="bottom"/>
            <w:gridSpan w:val="6"/>
          </w:tcPr>
          <w:p>
            <w:pPr>
              <w:jc w:val="center"/>
              <w:ind w:left="23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5040" w:type="dxa"/>
            <w:vAlign w:val="bottom"/>
          </w:tcPr>
          <w:p>
            <w:pPr>
              <w:spacing w:after="0"/>
              <w:rPr>
                <w:sz w:val="24"/>
                <w:szCs w:val="24"/>
                <w:color w:val="auto"/>
              </w:rPr>
            </w:pPr>
          </w:p>
        </w:tc>
        <w:tc>
          <w:tcPr>
            <w:tcW w:w="2400" w:type="dxa"/>
            <w:vAlign w:val="bottom"/>
          </w:tcPr>
          <w:p>
            <w:pPr>
              <w:jc w:val="right"/>
              <w:ind w:right="1557"/>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1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96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pension gain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(loss) on derivative contracts and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other comprehensive income (loss), before tax</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Income tax benefit (expense) related to items of other comprehensive income (loss), before tax</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3"/>
                <w:szCs w:val="13"/>
                <w:color w:val="auto"/>
              </w:rPr>
            </w:pPr>
          </w:p>
        </w:tc>
        <w:tc>
          <w:tcPr>
            <w:tcW w:w="100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242</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1,154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premium on extinguishment of debt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Loss on convertible debt and related instruments</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466</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to related parties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and liabilities, net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r>
      <w:tr>
        <w:trPr>
          <w:trHeight w:val="25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1,983</w:t>
            </w: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net of cash acquired</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(9,835)</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(632)</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405</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Flash Ventures</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25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(9,608)</w:t>
            </w: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from employee stock plans</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acquired call option</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409</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convertible debt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shareholders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Settlement of debt hedge contracts</w:t>
            </w: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(repayment of) revolving credit facility</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Repayment of debt and premiums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(17,074)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(2,313)</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debt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17,108</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Debt issuance costs</w:t>
            </w: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(524)</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upon settlement of acquired warrants</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r>
      <w:tr>
        <w:trPr>
          <w:trHeight w:val="250"/>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(3,900)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10,751</w:t>
            </w: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3,127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5,024</w:t>
            </w:r>
          </w:p>
        </w:tc>
      </w:tr>
      <w:tr>
        <w:trPr>
          <w:trHeight w:val="28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year</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8,151</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8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paid for income taxes</w:t>
            </w: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26</w:t>
            </w:r>
          </w:p>
        </w:tc>
      </w:tr>
    </w:tbl>
    <w:p>
      <w:pPr>
        <w:sectPr>
          <w:pgSz w:w="11900" w:h="16900" w:orient="portrait"/>
          <w:cols w:equalWidth="0" w:num="1">
            <w:col w:w="11420"/>
          </w:cols>
          <w:pgMar w:left="240" w:top="125"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188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708</w:t>
            </w:r>
          </w:p>
        </w:tc>
        <w:tc>
          <w:tcPr>
            <w:tcW w:w="6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777</w:t>
            </w:r>
          </w:p>
        </w:tc>
        <w:tc>
          <w:tcPr>
            <w:tcW w:w="5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and equity awards assumed in connection with acquisition</w:t>
            </w:r>
          </w:p>
        </w:tc>
        <w:tc>
          <w:tcPr>
            <w:tcW w:w="18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1,822</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Shares issued in conjunction with settlement of convertible notes</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received in conjunction with assumed call options</w:t>
            </w:r>
          </w:p>
        </w:tc>
        <w:tc>
          <w:tcPr>
            <w:tcW w:w="18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3, 2015</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9,107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9,219</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issued in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connection with acquisition</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Stock awards assumed in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acquisition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excess tax benefits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from 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5"/>
              </w:rPr>
              <w:t>Shares issued in conjunction with</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settlement of convertible notes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received in conjunction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 assumed call options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Actuarial pension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7"/>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1, 2016</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11,145</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excess tax benefits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from 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5"/>
              </w:rPr>
              <w:t>Shares issued in conjunction with</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settlement of convertible notes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received in conjunction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 assumed call options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Net unrealized loss on derivative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contracts and available-for-sale</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4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at June 30, 2017</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(1,666)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8,633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11,418</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Adoption of New Accounting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Standards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value of convertible debt</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net of deferred taxes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Actuarial pension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7"/>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80"/>
              <w:spacing w:after="0" w:line="149" w:lineRule="exact"/>
              <w:rPr>
                <w:sz w:val="20"/>
                <w:szCs w:val="20"/>
                <w:color w:val="auto"/>
              </w:rPr>
            </w:pPr>
            <w:r>
              <w:rPr>
                <w:rFonts w:ascii="Arial" w:cs="Arial" w:eastAsia="Arial" w:hAnsi="Arial"/>
                <w:sz w:val="14"/>
                <w:szCs w:val="14"/>
                <w:color w:val="auto"/>
              </w:rPr>
              <w:t>contracts and available-for-sale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securities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29, 2018</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 three categories.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Company’s fiscal year ends on the Friday nearest to June 30 and typically consists of 52 weeks. Approximately every six years, the Company reports a 53-week fiscal year to align the fiscal year with the foregoing policy. Fiscal years 2018, which ended on June 29, 2018; 2017, which ended on June 30, 2017; and 2016, which ended on July 1, 2016, were each comprised of 52 weeks, with all quarters presented consisting of 13 weeks.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Consolidation</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a component of shareholders’ equity.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in the consolidated balance sheets to conform to the current year presentation.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Cash equivalents are carried at cost plus accrued interest, which approximates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invests in U.S. Treasury securities, U.S. and International Government agency securities, certificates of deposit, asset-backed securities, and corporate and municipal notes and bonds, with original maturities at purchase of more than three months. These investments are classified as available-for-sale securities and included within other non-current assets in the Consolidated Balance Sheets. Available-for-sale securities are stated at fair value with unrealized gains and losses included in accumulated other comprehensive income (loss), which is a component of shareholders’ equity. Gains and losses on available-for-sale securities are recorded based on the specific identification method. The Company evaluates the available-for-sale securities in an unrealized loss position for other-than-temporary impairment. The amortized cost of available-for-sale securities is adjusted for amortization of premiums and accretion of discounts to maturity. Such amortization and accretion are included in Other expense, net in the Consolidated Statement of Operations. In addition, realized gains and losses are included in Other expense, net in the Consolidated Statement of Operations.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expense, net, in the Consolidated Statement of Operations.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accounts for investments in equity securities of other entities under the cost method of accounting if the Company’s ownership interest is less than 20% and the Company does not have the ability to exercise significant influence over operating and financial policies of the investee. Investments accounted for under the cost method of accounting are recorded within Other non-current assets in the Consolidated Balance Sheets and are also periodically analyzed to determine whether or not there are indicators of impairment.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 values inventories at the lower of cost (first-in, first out) or net realizable value. The first-in, first-out (“FIFO”)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Property and equipment are carried at cost less accumulated depreciation and amortization. The cost of property, plant and equipment is depreciated over the estimated useful lives of the respective assets. The Company’s buildings are depreciated over periods ranging from fifteen to thirty-five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application of acquisition accounting to a business combination requires that the Company identify the individual assets acquired and liabilities assumed and estimate the fair value of each. The fair value of assets acquired and liabilities assumed in a business acquisition are recognized at the acquisition date using a combination of valuation techniques,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excess purchase price are based upon preliminary estimates and assumptions and subject to revision when the Company receives final information, including appraisals and other analyses. Accordingly, the measurement period for such purchase price allocations will end when the information, or the facts and circumstances, becomes available, but will not exceed twelve months. The Company will recognize measurement-period adjustments during the period of resolution, including the effect on earnings of any amounts that would have been recorded in previous periods if the accounting had been completed at the acquisition date.</w:t>
      </w:r>
    </w:p>
    <w:p>
      <w:pPr>
        <w:spacing w:after="0" w:line="18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Goodwill and intangible assets often represent a significant portion of the assets acquired in a business combination. The Company recognizes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The Company’s assessment of IPR&amp;D also includes consideration of the risk of the projects not achieving technological feasibility.</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Goodwill is not amortized. Instead, it is tested for impairment on an annual basis or more frequently whenever events or changes in circumstances indicate that goodwill may be impaired. The Company performs an annual impairment test as of the first day of its fiscal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IPR&amp;D is an intangible asset accounted as an indefinite-lived asset until the completion or abandonment of the associated research and development effort. During the development period, the Company conducts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the Company and on its customer base. If impairment is indicated, the impairment is measured as the amount by which the carrying amount of the assets exceeds the fair value of the assets.</w:t>
      </w:r>
    </w:p>
    <w:p>
      <w:pPr>
        <w:spacing w:after="0" w:line="19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 xml:space="preserve">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See Note 7,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for additional disclosures related to the Company’s other intangible assets.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and Accounts Receivable</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Revenue is recognized when the title and risk of loss have passed to the customer, there is persuasive evidence of an arrangement, delivery has occurred, or services have been rendered, the sales price is fixed or determinable and collectability is reasonably assured. The Company establishes provisions against revenue and cost of revenue for estimated sales returns in the same period that the related revenue is recognized based on existing product return notifications. If actual sales returns exceed expectations, an increase in the sales return accrual would be required, which could materially affect operating results.</w:t>
      </w:r>
    </w:p>
    <w:p>
      <w:pPr>
        <w:spacing w:after="0" w:line="15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accordance with standard industry practice, the Company provides distributors and retailers (collectively referred to as “resellers”) with limited price protection for inventories held by resellers at the time of published list price reductions and/or a right of return and the Company provides resellers and original equipment manufacturers (“OEMs”) with other sales incentive programs. At the time the Company recognizes revenue to resellers and OEMs, a reduction of revenue is recorded for estimated price protection and/or returns until the resellers sell such inventory to their customers and the Company also records a reduction of revenue for the other programs in effect. The Company bases these adjustments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If customer demand for the Company’s products or market conditions differ from the Company’s expectations, the Company’s operating results could be materially affected. The Company also has programs under which it reimburses qualified distributors and retailers for certain marketing expenditures, which are recorded as a reduction of revenue.</w:t>
      </w:r>
    </w:p>
    <w:p>
      <w:pPr>
        <w:spacing w:after="0" w:line="16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Revenue from patent licensing arrangements is recognized when earned, estimable and realizable. The timing of revenue recognition is dependent on the terms of each license agreement and on the timing of sales of licensed products. The Company generally recognizes royalty revenue when it is reported to the Company by its licensees, which is generally one quarter in arrears from the licensees’ sales of licensed products. For licensing fees that are not determined by the licensees’ sales, the Company generally recognizes license fee revenue on a straight-line basis over the life of the license.</w:t>
      </w:r>
    </w:p>
    <w:p>
      <w:pPr>
        <w:spacing w:after="0" w:line="15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Some of the Company’s revenue arrangements are multiple-element arrangements because they are generally comprised of product, software and support services or multiple distinct licenses. For multiple-element arrangements, the Company evaluates whether each deliverable should be accounted for as a separate unit of accounting. For multiple-element arrangements that include support or software elements, the Company analyzes whether tangible products containing software and non-software components function together and therefore should be excluded from industry-specific software revenue recognition guidance. For all multiple-element arrangements, the Company allocates revenue to each element, or the software elements as a group, based on the relative selling price determined in accordance with the Company’s normal pricing and discounting practices for the specific element when sold separately. For multiple-element license agreements that include more than one license to distinct technology that are separate units of accounting, the Company allocates revenue to each license based on the relative selling price of each deliverable. License fees related to existing technology with no continuing performance obligations are generally recognized upon license commencement and other license fees are generally recognized on a straight-line basis over the life of the license. The Company primarily uses an estimate of selling price to allocate revenue for multiple-element license agreements based upon similar licenses, historical and estimated future sales volume, duration and market conditions.</w:t>
      </w:r>
    </w:p>
    <w:p>
      <w:pPr>
        <w:spacing w:after="0" w:line="173"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Company records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its historical levels of bad debt losses. If the financial condition of a significant customer deteriorates resulting in its inability to pay its accounts when due, or if the Company’s overall loss history changes significantly, an adjustment in the Company’s allowance for doubtful accounts would be required, which could materially affect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estimates, future results of operations could be materially affected.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16,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for additional disclosures related to the Company’s litigation.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Advertising Expense</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Advertising costs are expensed as incurred and amounted to $112 million, $89 million and $60 million in 2018, 2017 and 2016, respectively. These expenses are included in Selling, general and administrative (“SG&amp;A”) in the Consolidated Statements of Operations.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(“R&amp;D”) expenditures are expensed as incurred.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per Common Share</w:t>
      </w:r>
    </w:p>
    <w:p>
      <w:pPr>
        <w:spacing w:after="0" w:line="225"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restricted stock unit awards (“RSUs”), performance-based restricted stock unit awards (“PSUs”), rights to purchase shares of common stock under the Company’s Employee Stock Purchase Plan (“ESPP”) and shares issuable in connection with convertible debt.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accounts for all stock-based compensation at fair value. Stock-based compensation cost is measured at the grant date based on the value of the award and is recognized as expense over the vesting period. The fair values of all stock options granted are estimated using a binomial option-pricing model, and the fair values of all ESPP purchase rights are estimated using the Black-Scholes-Merton option-pricing model. Both the binomial and the Black-Scholes-Merton option-pricing models require the input of highly subjective assumptions. PSUs are granted to certain employees and vest only after the achievement of pre-determined performance metrics. Once the performance metrics are met, vesting of PSUs is subject to continued service by the employee. At the end of each reporting period, the Company evaluates the probability that PSUs will be earned. The Company records stock-based compensation expense based on the probability that the performance metrics will be achieved over the vesting period.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Other comprehensive income (loss), net of tax refers to revenue, expenses, gains and losses that are recorded as an element of shareholders’ equity but are excluded from net income. The Company’s other comprehensive income (loss), net of tax is comprised of unrealized gains or losses on foreign exchange contracts and interest rate swap agreements designated as cash flow hedges, available-for-sale securities, foreign currency translation, and actuarial gains or losses related to pensions.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Contracts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Singapore dollar and Thai baht, which had an aggregate notional amount of $4.37 billion and $2.79 billion at June 29, 2018 and June 30, 2017, respectively.</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193"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 xml:space="preserve">A change in the fair value of undesignated hedges is recognized in earnings in the period incurred and is reported in Other expense, net. See Note 4,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 and Investments</w:t>
      </w:r>
      <w:r>
        <w:rPr>
          <w:rFonts w:ascii="Arial" w:cs="Arial" w:eastAsia="Arial" w:hAnsi="Arial"/>
          <w:sz w:val="18"/>
          <w:szCs w:val="18"/>
          <w:color w:val="auto"/>
        </w:rPr>
        <w:t>, and Note 5,</w:t>
      </w:r>
      <w:r>
        <w:rPr>
          <w:rFonts w:ascii="Arial" w:cs="Arial" w:eastAsia="Arial" w:hAnsi="Arial"/>
          <w:sz w:val="18"/>
          <w:szCs w:val="18"/>
          <w:i w:val="1"/>
          <w:iCs w:val="1"/>
          <w:color w:val="auto"/>
        </w:rPr>
        <w:t xml:space="preserve"> Derivative Instruments and Hedging Activities</w:t>
      </w:r>
      <w:r>
        <w:rPr>
          <w:rFonts w:ascii="Arial" w:cs="Arial" w:eastAsia="Arial" w:hAnsi="Arial"/>
          <w:sz w:val="18"/>
          <w:szCs w:val="18"/>
          <w:color w:val="auto"/>
        </w:rPr>
        <w:t>, for additional disclosures related to the Company’s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contracts.</w:t>
      </w:r>
    </w:p>
    <w:p>
      <w:pPr>
        <w:spacing w:after="0" w:line="18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 xml:space="preserve">The Company accounts for its interest rate swaps as designated cash flow hedges to mitigate variations in interest payments under a portion of its LIBOR-based term loans due to variations in the LIBOR index. The Company pays interest monthly at a fixed rate and receives interest monthly at the LIBOR rate on the notional amount of the contract. The effective portion of the change in fair value of this designated cash flow hedge is deferred in Other comprehensive income (loss), net of tax, with any ineffective portion recognized in Other income (expense), net. See Note 5, </w:t>
      </w:r>
      <w:r>
        <w:rPr>
          <w:rFonts w:ascii="Arial" w:cs="Arial" w:eastAsia="Arial" w:hAnsi="Arial"/>
          <w:sz w:val="18"/>
          <w:szCs w:val="18"/>
          <w:i w:val="1"/>
          <w:iCs w:val="1"/>
          <w:color w:val="auto"/>
        </w:rPr>
        <w:t>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and Note 6,</w:t>
      </w:r>
      <w:r>
        <w:rPr>
          <w:rFonts w:ascii="Arial" w:cs="Arial" w:eastAsia="Arial" w:hAnsi="Arial"/>
          <w:sz w:val="18"/>
          <w:szCs w:val="18"/>
          <w:i w:val="1"/>
          <w:iCs w:val="1"/>
          <w:color w:val="auto"/>
        </w:rPr>
        <w:t xml:space="preserve"> Debt</w:t>
      </w:r>
      <w:r>
        <w:rPr>
          <w:rFonts w:ascii="Arial" w:cs="Arial" w:eastAsia="Arial" w:hAnsi="Arial"/>
          <w:sz w:val="18"/>
          <w:szCs w:val="18"/>
          <w:color w:val="auto"/>
        </w:rPr>
        <w:t>, for further discussion on interest rate swaps.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fiscal year-end. The Company recognizes the funded status of its defined benefit pension and post-retirement plans in the Consolidated Balance Sheets, with changes in the funded status recognized through accumulated other comprehensive income (loss) in the year in which such changes occur. See Note 8, </w:t>
      </w:r>
      <w:r>
        <w:rPr>
          <w:rFonts w:ascii="Arial" w:cs="Arial" w:eastAsia="Arial" w:hAnsi="Arial"/>
          <w:sz w:val="17"/>
          <w:szCs w:val="17"/>
          <w:i w:val="1"/>
          <w:iCs w:val="1"/>
          <w:color w:val="auto"/>
        </w:rPr>
        <w:t>Pension and Other Post-Retirement Benefit Plans</w:t>
      </w:r>
      <w:r>
        <w:rPr>
          <w:rFonts w:ascii="Arial" w:cs="Arial" w:eastAsia="Arial" w:hAnsi="Arial"/>
          <w:sz w:val="17"/>
          <w:szCs w:val="17"/>
          <w:color w:val="auto"/>
        </w:rPr>
        <w:t>, for additional disclosures related to the Company’s pensions and other post-retirement benefit plans.</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80"/>
          </w:cols>
          <w:pgMar w:left="240" w:top="125"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January 2017, the Financial Accounting Standards Board (“FASB”) issued Accounting Standards Update (“ASU”) No. 2017-04, “Intangibles — Goodwill and Other (Topic 350): Simplifying the Test for Goodwill Impairment” (“ASU 2017-04”). ASU 2017-04 simplifies the test for goodwill impairment by removing Step 2 from the goodwill impairment test. Companies will now perform the goodwill impairment test by comparing the fair value of a reporting unit with its carrying amount, recognizing an impairment charge for the amount by which the carrying amount exceeds the reporting unit’s fair value not to exceed the total amount of goodwill allocated to that reporting unit. An entity still has the option to perform the qualitative assessment for a reporting unit to determine if the quantitative impairment test is necessary. As permitted by ASU 2017-04, the Company has elected to early adopt this standard for its fiscal 2018 goodwill impairment test, which was performed as of the first day of the Company’s fourth quarter, March 31, 2018. The adoption of this standard did not have a material impact on the Company’s Consolidated Financial Statements.</w:t>
      </w:r>
    </w:p>
    <w:p>
      <w:pPr>
        <w:spacing w:after="0" w:line="1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(“ASU 2016-15”). ASU 2016-15 provides amendments that address eight specific cash flow classification issues for which there exists diversity in practice: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 adopted ASU 2016-15 in the second quarter of 2018 on a modified retrospective basis as required by the standard. The Company’s adoption of ASU 2016-15 did not have a material effect on the Company’s historical Consolidated Financial Statements.</w:t>
      </w:r>
    </w:p>
    <w:p>
      <w:pPr>
        <w:spacing w:after="0" w:line="166"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(“ASU 2016-09”). ASU 2016-09 simplifies several aspects of the accounting for stock-based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Company adopted this standard in the first quarter of 2018 using the modified retrospective approach. This adoption resulted in a one-time net increase to beginning retained earnings of $70 million, consisting of a $58 million cumulative adjustment for the previously unrecognized windfall tax benefits related to previous vesting and exercises of stock-based awards, and a $19 million cumulative adjustment related to the change in accounting policy for estimated forfeitures and share cancellations, partially offset by a decrease of $7 million for the related tax impacts of change in forfeiture policy. In addition, upon adoption of the new standard in the Company’s first quarter of 2018, the Company began prospectively reflecting the tax deficiencies and benefits as an operating activity, rather than as a financing activity under the previous standard, in the Company’s Consolidated Statements of Cash Flows. For the year ended June 29, 2018, the Company recognized net excess tax benefits $78 million, as a component of Income tax expense (benefit).</w:t>
      </w:r>
    </w:p>
    <w:p>
      <w:pPr>
        <w:spacing w:after="0" w:line="173" w:lineRule="exact"/>
        <w:rPr>
          <w:sz w:val="20"/>
          <w:szCs w:val="20"/>
          <w:color w:val="auto"/>
        </w:rPr>
      </w:pPr>
    </w:p>
    <w:p>
      <w:pPr>
        <w:ind w:right="20" w:firstLine="324"/>
        <w:spacing w:after="0" w:line="220" w:lineRule="exact"/>
        <w:rPr>
          <w:sz w:val="20"/>
          <w:szCs w:val="20"/>
          <w:color w:val="auto"/>
        </w:rPr>
      </w:pPr>
      <w:r>
        <w:rPr>
          <w:rFonts w:ascii="Arial" w:cs="Arial" w:eastAsia="Arial" w:hAnsi="Arial"/>
          <w:sz w:val="16"/>
          <w:szCs w:val="16"/>
          <w:color w:val="auto"/>
        </w:rPr>
        <w:t>In July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11, “Inventory (Topic 330) - Simplifying the Measurement of Inventory” (“ASU 2015</w:t>
      </w:r>
      <w:r>
        <w:rPr>
          <w:rFonts w:ascii="MS PGothic" w:cs="MS PGothic" w:eastAsia="MS PGothic" w:hAnsi="MS PGothic"/>
          <w:sz w:val="16"/>
          <w:szCs w:val="16"/>
          <w:color w:val="auto"/>
        </w:rPr>
        <w:t>‑</w:t>
      </w:r>
      <w:r>
        <w:rPr>
          <w:rFonts w:ascii="Arial" w:cs="Arial" w:eastAsia="Arial" w:hAnsi="Arial"/>
          <w:sz w:val="16"/>
          <w:szCs w:val="16"/>
          <w:color w:val="auto"/>
        </w:rPr>
        <w:t>11”), which dictates that an entity should measure inventory within the scope of this update at the lower of cost and net realizable value. Net realizable value is the estimated selling price in the ordinary course of business, less reasonably predictable costs of completion, disposal, and transportation. The Company adopted this standard in the first quarter of 2018. The Company’s adoption of ASU 2015</w:t>
      </w:r>
      <w:r>
        <w:rPr>
          <w:rFonts w:ascii="MS PGothic" w:cs="MS PGothic" w:eastAsia="MS PGothic" w:hAnsi="MS PGothic"/>
          <w:sz w:val="16"/>
          <w:szCs w:val="16"/>
          <w:color w:val="auto"/>
        </w:rPr>
        <w:t>‑</w:t>
      </w:r>
      <w:r>
        <w:rPr>
          <w:rFonts w:ascii="Arial" w:cs="Arial" w:eastAsia="Arial" w:hAnsi="Arial"/>
          <w:sz w:val="16"/>
          <w:szCs w:val="16"/>
          <w:color w:val="auto"/>
        </w:rPr>
        <w:t>11 did not have a material impact on its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February 2018, the Financial Accounting Standards Board ("FASB") issued Accounting Standards Update (“ASU”) No. 2018-02, “Income Statement-Reporting Comprehensive Income (Topic 220): Reclassification of Certain Tax Effects from Accumulated Other Comprehensive Income” (“ASU 2018-02”). ASU 2018-02 allows a reclassification from accumulated other comprehensive income to retained earnings for stranded tax effects resulting from the 2017 Act. Consequently, the amendments eliminate the stranded tax effects resulting from the 2017 Act and will improve the usefulness of information reported to financial statement users. However, because the amendments only relate to the reclassification of the income tax effects of the 2017 Act, the underlying guidance that requires that the effect of a change in tax laws or rates be included in income from continuing operations is not affected. The amendments in this update also require certain disclosures about stranded tax effects. The Company early adopted this standard effective June 30, 2018, the beginning of the first quarter of 2019. The adoption of this standard did not have a material impact on the Company’s Consolidated Financial Statements.</w:t>
      </w:r>
    </w:p>
    <w:p>
      <w:pPr>
        <w:spacing w:after="0" w:line="16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 xml:space="preserve">In August 2017, the FASB issued ASU No. 2017-12, “Derivatives and Hedging (Topic 815): Targeted Improvements to Accounting for Hedging Activities” (“ASU 2017-12”). ASU 2017-12 </w:t>
      </w:r>
      <w:r>
        <w:rPr>
          <w:rFonts w:ascii="Arial" w:cs="Arial" w:eastAsia="Arial" w:hAnsi="Arial"/>
          <w:sz w:val="18"/>
          <w:szCs w:val="18"/>
          <w:color w:val="252525"/>
        </w:rPr>
        <w:t>simplifies hedge accounting through changes to both designation and measurement requirements. For hedges</w:t>
      </w:r>
      <w:r>
        <w:rPr>
          <w:rFonts w:ascii="Arial" w:cs="Arial" w:eastAsia="Arial" w:hAnsi="Arial"/>
          <w:sz w:val="18"/>
          <w:szCs w:val="18"/>
          <w:color w:val="auto"/>
        </w:rPr>
        <w:t xml:space="preserve"> </w:t>
      </w:r>
      <w:r>
        <w:rPr>
          <w:rFonts w:ascii="Arial" w:cs="Arial" w:eastAsia="Arial" w:hAnsi="Arial"/>
          <w:sz w:val="18"/>
          <w:szCs w:val="18"/>
          <w:color w:val="252525"/>
        </w:rPr>
        <w:t>that qualify as highly effective, the new standard eliminates the requirement to separately measure and record hedge ineffectiveness, resulting in better alignment between the presentation of the effects of the hedging instrument and the hedged item in the financial statements. T</w:t>
      </w:r>
      <w:r>
        <w:rPr>
          <w:rFonts w:ascii="Arial" w:cs="Arial" w:eastAsia="Arial" w:hAnsi="Arial"/>
          <w:sz w:val="18"/>
          <w:szCs w:val="18"/>
          <w:color w:val="000000"/>
        </w:rPr>
        <w:t>he Company adopted this</w:t>
      </w:r>
      <w:r>
        <w:rPr>
          <w:rFonts w:ascii="Arial" w:cs="Arial" w:eastAsia="Arial" w:hAnsi="Arial"/>
          <w:sz w:val="18"/>
          <w:szCs w:val="18"/>
          <w:color w:val="252525"/>
        </w:rPr>
        <w:t xml:space="preserve"> </w:t>
      </w:r>
      <w:r>
        <w:rPr>
          <w:rFonts w:ascii="Arial" w:cs="Arial" w:eastAsia="Arial" w:hAnsi="Arial"/>
          <w:sz w:val="18"/>
          <w:szCs w:val="18"/>
          <w:color w:val="000000"/>
        </w:rPr>
        <w:t>standard effective June 30, 2018, the beginning of the first quarter of 2019</w:t>
      </w:r>
      <w:r>
        <w:rPr>
          <w:rFonts w:ascii="Arial" w:cs="Arial" w:eastAsia="Arial" w:hAnsi="Arial"/>
          <w:sz w:val="18"/>
          <w:szCs w:val="18"/>
          <w:color w:val="252525"/>
        </w:rPr>
        <w:t>. The adoption of this standard did not have a material impact</w:t>
      </w:r>
      <w:r>
        <w:rPr>
          <w:rFonts w:ascii="Arial" w:cs="Arial" w:eastAsia="Arial" w:hAnsi="Arial"/>
          <w:sz w:val="18"/>
          <w:szCs w:val="18"/>
          <w:color w:val="000000"/>
        </w:rPr>
        <w:t xml:space="preserve"> on the Company’s Consolidated Financial Statements.</w:t>
      </w:r>
    </w:p>
    <w:p>
      <w:pPr>
        <w:spacing w:after="0" w:line="19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(“ASU 2017-09”). ASU 2017-09 provides clarification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This ASU is effective prospectively and was adopted effective June 30, 2018, the beginning of the first quarter of 2019. The adoption of this standard did not have a material impact on the Company’s Consolidated Financial Statements.</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March 2017, the FASB issued ASU No. 2017-07, “Compensation—Retirement Benefits (Topic 715): Improving the Presentation of Net Periodic Pension Cost and Net Periodic Postretirement Benefit Cost” (“ASU 2017-07”). ASU 2017-07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not used, the line item or items used in the income statement to present the other components of net benefit cost must be disclosed. The Company adopted this standard effective June 30, 2018, the beginning of the first quarter of 2019. The adoption of this standard did not have a material impact on the Company’s Consolidated Financial Statements.</w:t>
      </w:r>
    </w:p>
    <w:p>
      <w:pPr>
        <w:spacing w:after="0" w:line="16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ASU 2017-01 narrows the definition of a “business”. This standard provides guidance to assist entities with evaluating when a set of transferred assets and activities is a business. The Company adopted this standard effective June 30, 2018, the beginning of the first quarter of 2019, and applied it prospectively to transactions occurring thereafter. The adoption of this standard did not have a material impact on the Company’s Consolidated Financial Statements.</w:t>
      </w:r>
    </w:p>
    <w:p>
      <w:pPr>
        <w:spacing w:after="0" w:line="18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(“ASU 2016-16”). ASU 2016-16 removes the prohibition in the FASB ASC Topic 740 against the immediate recognition of the current and deferred income tax effects of intra-entity transfers of assets other than inventory. The new standard is intended to reduce the complexity of accounting principles generally accepted in the United States (“U.S. GAAP”) and diversity in practice related to the tax consequences of certain types of intra-entity asset transfers, particularly those involving IP. The Company adopted this standard effective June 30, 2018, the beginning of the first quarter of 2019. The adoption of this standard did not have a material impact on the Company’s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Consolidated Financial Statements.</w:t>
      </w:r>
    </w:p>
    <w:p>
      <w:pPr>
        <w:spacing w:after="0" w:line="17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February 2016, the FASB issued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Based on the standard as originally issued, lessees and lessors were to apply a modified retrospective transition approach for leases existing at, or entered into after, the beginning of the earliest comparative period presented in the financial statements. However, the FASB issued ASU 2018-11 on July 30, 2018, which allows entities to apply the provisions of ASC 842 at the effective date without adjusting comparative periods. The standard is effective for interim and annual reporting periods beginning after December 15, 2018, with early adoption permitted. As the Company plans for the adoption of this standard, the Company has completed its first phase of globally identifying its leases including the identification of embedded leases. The Company is in the process of identifying changes to its processes, internal controls and system requirements and configurations that would result from the new lease standard. The Company’s implementation efforts are progressing as planned. The Company expects to adopt this standard in the first quarter of fiscal 2020 and expects to elect the practical expedient to not present historical comparative information. The Company continues to evaluate the impact ASU 2016-02 will have on its Consolidated Financial Statements.</w:t>
      </w:r>
    </w:p>
    <w:p>
      <w:pPr>
        <w:spacing w:after="0" w:line="18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including the requirement to measure certain equity investments at fair value with changes in fair value recognized in net income. In addition, the FASB clarified guidance related to the valuation allowance assessment when recognizing deferred tax assets resulting from unrealized losses on available-for-sale debt securities. The Company adopted this standard effective June 30, 2018, the beginning of the first quarter of 2019. The adoption of this standard did not have a material impact on the Company’s Consolidated Financial Statements.</w:t>
      </w:r>
    </w:p>
    <w:p>
      <w:pPr>
        <w:spacing w:after="0" w:line="18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(Topic 606)” (“ASC Topic 606”), which amends the guidance in former ASC Topic 605, “Revenue Recognition” (“ASC Topic 605”), to provide a single, comprehensive revenue recognition model for all contracts with customers. ASC Topic 606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Company adopted the new standard effective June 30, 2018, the beginning of the first quarter of 2019, using the modified retrospective method, with the cumulative effect of initially applying the guidance recognized at the date of initial application.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implementation of the new standard will impact the recognition of the Company’s revenue and cost as follows:</w:t>
      </w:r>
    </w:p>
    <w:p>
      <w:pPr>
        <w:spacing w:after="0" w:line="225" w:lineRule="exact"/>
        <w:rPr>
          <w:sz w:val="20"/>
          <w:szCs w:val="20"/>
          <w:color w:val="auto"/>
        </w:rPr>
      </w:pPr>
    </w:p>
    <w:p>
      <w:pPr>
        <w:jc w:val="both"/>
        <w:ind w:left="660" w:right="12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Substantially all of the Company’s current revenue is from the sale of hardware products. The Company does not believe that there are any material changes to the timing or amount of revenue for these types of sales under the new standard as the majority of the Company’s revenue is recognized at a point in time.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sales-based royalties, the Company will estimate and recognize revenue in the period the royalty-bearing sales occur as opposed to the existing treatment of recognizing revenue in the period the royalty report is received. This change will result in the acceleration of revenue recognition by one fiscal quarter as well as fluctuations between the estimated and actual reported sales-based royalties, which the Company does not expect to be material.</w:t>
      </w:r>
    </w:p>
    <w:p>
      <w:pPr>
        <w:spacing w:after="0" w:line="18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other revenue streams such as multi-element transactions, software and IP licenses, these transactions are immaterial and the related changes to revenue recognition will not be material.</w:t>
      </w:r>
    </w:p>
    <w:p>
      <w:pPr>
        <w:spacing w:after="0" w:line="170"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assets recognized from costs incurred to obtain or fulfill a contract, the Company does not expect to have material capitalized fees for contracts where the amortization period is greater than one year. The Company will continue to expense these costs as incurred.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revenue disclosures will expand and may require judgment in certain areas.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adoption of the new revenue standard resulted in a post-tax adjustment of approximately $54 million to increase the beginning retained earnings for fiscal year 2019 for uncompleted contracts for which revenue will not be recognized in the future periods under ASC Topic 606. The Company continues to evaluate the effect that ASC Topic 606 will have on its Consolidated Financial Statements, including the impact on income tax expense and related balance sheet accounts. Changes to the Company’s processes, internal controls and systems as a result of the adoption of this new revenue standard were not significant.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During 2018, the Company sold trade accounts receivable and received cash proceeds of $57 million. The discounts on the trade accounts receivable sold during 2018 were not material and were recorded within Other expense, net in the Consolidated Financial Statements. During 2017, the Company did not sell any trade accounts receivable.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w w:val="89"/>
              </w:rPr>
              <w:t>1,048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646</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100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w w:val="89"/>
              </w:rPr>
              <w:t>1,018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1,063</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2,944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2,341</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1,855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Computer equipment and software</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404</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10,186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9,526</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(6,493)</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3,033</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Depreciation expense of property, plant, and equipment totaled $871 million, $960 million and $888 million in 2018, 2017 and 2016,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190"/>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Warranty liabilities assumed as a result of acquisitions</w:t>
            </w:r>
          </w:p>
        </w:tc>
        <w:tc>
          <w:tcPr>
            <w:tcW w:w="10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Charges to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Utilization</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Warranty accrual, end of period</w:t>
            </w:r>
          </w:p>
        </w:tc>
        <w:tc>
          <w:tcPr>
            <w:tcW w:w="100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279</w:t>
            </w:r>
          </w:p>
        </w:tc>
      </w:tr>
      <w:tr>
        <w:trPr>
          <w:trHeight w:val="33"/>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 2018, the Company updated its estimate of the timing of its expected expenditures for warranty obligations resulting in a reclassification from current to long-term warranty obligations. The current portion of the warranty accrual classified in Accrued expenses was $168 million and $186 million as of June 29, 2018 and June 30, 2017, respectively, with the long-term portion of $150 million and $125 million, respectively, classified in Other liabilities</w:t>
      </w:r>
      <w:r>
        <w:rPr>
          <w:rFonts w:ascii="Arial" w:cs="Arial" w:eastAsia="Arial" w:hAnsi="Arial"/>
          <w:sz w:val="14"/>
          <w:szCs w:val="14"/>
          <w:color w:val="auto"/>
        </w:rPr>
        <w:t>.</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gridSpan w:val="3"/>
          </w:tcPr>
          <w:p>
            <w:pPr>
              <w:jc w:val="right"/>
              <w:ind w:right="7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Non-current net tax payable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w w:val="99"/>
              </w:rPr>
              <w:t>1,315</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other non-current liabilities</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99"/>
              </w:rPr>
              <w:t>2,255</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1,180</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Other comprehensive income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Contracts and</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Available for Sale</w:t>
            </w:r>
          </w:p>
        </w:tc>
        <w:tc>
          <w:tcPr>
            <w:tcW w:w="120" w:type="dxa"/>
            <w:vAlign w:val="bottom"/>
          </w:tcPr>
          <w:p>
            <w:pPr>
              <w:spacing w:after="0"/>
              <w:rPr>
                <w:sz w:val="12"/>
                <w:szCs w:val="12"/>
                <w:color w:val="auto"/>
              </w:rPr>
            </w:pPr>
          </w:p>
        </w:tc>
        <w:tc>
          <w:tcPr>
            <w:tcW w:w="13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3"/>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0"/>
        </w:trPr>
        <w:tc>
          <w:tcPr>
            <w:tcW w:w="5160" w:type="dxa"/>
            <w:vAlign w:val="bottom"/>
          </w:tcPr>
          <w:p>
            <w:pPr>
              <w:ind w:left="180"/>
              <w:spacing w:after="0"/>
              <w:rPr>
                <w:sz w:val="20"/>
                <w:szCs w:val="20"/>
                <w:color w:val="auto"/>
              </w:rPr>
            </w:pPr>
            <w:r>
              <w:rPr>
                <w:rFonts w:ascii="Arial" w:cs="Arial" w:eastAsia="Arial" w:hAnsi="Arial"/>
                <w:sz w:val="16"/>
                <w:szCs w:val="16"/>
                <w:color w:val="auto"/>
              </w:rPr>
              <w:t>Income tax benefit (expense) related to items of other comprehensive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8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Balance at June 30, 2017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w w:val="93"/>
              </w:rPr>
              <w:t>Amounts reclassified from accumulated other comprehensive income (loss)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(expense) related to items of other comprehensive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significant amounts of each component reclassified out of AOCI to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107950</wp:posOffset>
            </wp:positionV>
            <wp:extent cx="711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AOCI Component</w:t>
            </w: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b w:val="1"/>
                <w:bCs w:val="1"/>
                <w:color w:val="auto"/>
                <w:w w:val="98"/>
              </w:rPr>
              <w:t>Statement of Operations Line Item</w:t>
            </w:r>
          </w:p>
        </w:tc>
      </w:tr>
      <w:tr>
        <w:trPr>
          <w:trHeight w:val="182"/>
        </w:trPr>
        <w:tc>
          <w:tcPr>
            <w:tcW w:w="5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2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top w:val="single" w:sz="8" w:color="auto"/>
            </w:tcBorders>
          </w:tcPr>
          <w:p>
            <w:pPr>
              <w:spacing w:after="0"/>
              <w:rPr>
                <w:sz w:val="15"/>
                <w:szCs w:val="15"/>
                <w:color w:val="auto"/>
              </w:rPr>
            </w:pPr>
          </w:p>
        </w:tc>
      </w:tr>
      <w:tr>
        <w:trPr>
          <w:trHeight w:val="88"/>
        </w:trPr>
        <w:tc>
          <w:tcPr>
            <w:tcW w:w="5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80" w:type="dxa"/>
            <w:vAlign w:val="bottom"/>
          </w:tcPr>
          <w:p>
            <w:pPr>
              <w:spacing w:after="0"/>
              <w:rPr>
                <w:sz w:val="7"/>
                <w:szCs w:val="7"/>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Unrealized holding gain (loss) on designated hedging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Cost of revenue</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exchange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r>
      <w:tr>
        <w:trPr>
          <w:trHeight w:val="244"/>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Total reclassifications for the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available-for-sale securities was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5,005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available-for-sale securities (included within Other current assets)</w:t>
            </w:r>
          </w:p>
        </w:tc>
        <w:tc>
          <w:tcPr>
            <w:tcW w:w="100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24</w:t>
            </w:r>
          </w:p>
        </w:tc>
      </w:tr>
      <w:tr>
        <w:trPr>
          <w:trHeight w:val="33"/>
        </w:trPr>
        <w:tc>
          <w:tcPr>
            <w:tcW w:w="83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available-for-sale securities (included within Other non-current assets)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available-for-sale securities</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5,121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6,472</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29, 2018 and June 30, 2017,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29,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short-term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available-for-sale securities: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long-term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Exchange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based on quoted market prices.</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Asset-Backed Securities, and Corporate and Municipal Notes and Bonds. </w:t>
      </w:r>
      <w:r>
        <w:rPr>
          <w:rFonts w:ascii="Arial" w:cs="Arial" w:eastAsia="Arial" w:hAnsi="Arial"/>
          <w:sz w:val="18"/>
          <w:szCs w:val="18"/>
          <w:color w:val="auto"/>
        </w:rPr>
        <w:t>The Company’s asset-backed securities, and Corporate and Municipal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bonds securities are investments issued by corporations and U.S. state municipalities which are held in custody by a third party. Asset-backed securities, and Corporate and Municipal notes and bonds are valued using a market approach which is based on observable inputs including market interest rates from multiple pricing sources.</w:t>
      </w:r>
    </w:p>
    <w:p>
      <w:pPr>
        <w:spacing w:after="0" w:line="18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U.S. Treasury Securities. </w:t>
      </w:r>
      <w:r>
        <w:rPr>
          <w:rFonts w:ascii="Arial" w:cs="Arial" w:eastAsia="Arial" w:hAnsi="Arial"/>
          <w:sz w:val="18"/>
          <w:szCs w:val="18"/>
          <w:color w:val="auto"/>
        </w:rPr>
        <w:t>The Company’s U.S. Treasury securities are direct obligations of the U.S. federal government and are held in custody by a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U.S. Treasury securities are valued using a market approach which is based on observable inputs including market interest rates from multiple pricing sources.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U.S. Government Agency and International Government Securities. </w:t>
      </w:r>
      <w:r>
        <w:rPr>
          <w:rFonts w:ascii="Arial" w:cs="Arial" w:eastAsia="Arial" w:hAnsi="Arial"/>
          <w:sz w:val="18"/>
          <w:szCs w:val="18"/>
          <w:color w:val="auto"/>
        </w:rPr>
        <w:t>The Company’s U.S. Government agency and international government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fixed income securities sponsored by the U.S. Government and international governments and are held in custody by a third party. U.S. Government agency and international government securities are valued using a market approach which is based on observable inputs including market interest rates from multiple pricing sources.</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are short-term contracts to hedge the Company’s foreign currency risk.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5,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Derivative assets and liabilities are reflected in the Company’s Consolidated Balance Sheet under Other current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Accrued expenses, respectively.</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Company’s interest rate swaps are long-term contracts to hedge the Company’s variable rate debt risk. Interest rate swaps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based on estimated present value of future cash flows model. The market-based observable inputs for the model include interest rate curves and credit valuation adjustments.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and Liabilities Measured at Fair Value on a Recurring Basis Using Significant Unobservable Inputs (Level 3)</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i w:val="1"/>
          <w:iCs w:val="1"/>
          <w:color w:val="auto"/>
        </w:rPr>
        <w:t xml:space="preserve">Exchange Options. </w:t>
      </w:r>
      <w:r>
        <w:rPr>
          <w:rFonts w:ascii="Arial" w:cs="Arial" w:eastAsia="Arial" w:hAnsi="Arial"/>
          <w:sz w:val="17"/>
          <w:szCs w:val="17"/>
          <w:color w:val="auto"/>
        </w:rPr>
        <w:t>The Company’s 2020 Convertible Notes (as defined in Note 6,</w:t>
      </w:r>
      <w:r>
        <w:rPr>
          <w:rFonts w:ascii="Arial" w:cs="Arial" w:eastAsia="Arial" w:hAnsi="Arial"/>
          <w:sz w:val="17"/>
          <w:szCs w:val="17"/>
          <w:i w:val="1"/>
          <w:iCs w:val="1"/>
          <w:color w:val="auto"/>
        </w:rPr>
        <w:t xml:space="preserve"> Debt</w:t>
      </w:r>
      <w:r>
        <w:rPr>
          <w:rFonts w:ascii="Arial" w:cs="Arial" w:eastAsia="Arial" w:hAnsi="Arial"/>
          <w:sz w:val="17"/>
          <w:szCs w:val="17"/>
          <w:color w:val="auto"/>
        </w:rPr>
        <w:t>) were bifurcated into a debt host and exchange option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purposes. The exchange options are accounted for as derivative liabilities because they are predominantly settled in cash.</w:t>
      </w:r>
    </w:p>
    <w:p>
      <w:pPr>
        <w:spacing w:after="0" w:line="14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fair value measurement of the exchange options arising from the Company’s 2020 Convertible Notes, which are not actively traded, is determined using unobservable inputs (Level 3). These inputs include (i) the estimated amount and timing of settlement of the underlying debt; (ii) the probability of the achievement of the factor(s) on which the settlement is based; (iii) the risk-adjusted discount rate based on the expected term to maturity of the debt; and (iv) the economic incentive for holders to exercise their exchange option. Significant increases or decreases in any of those inputs in isolation could result in a significantly lower or higher fair value measurement.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2018 and 2017, the Company had no transfers of financial assets and liabilities between levels.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June 29, 2018 and June 30,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fourth quarter of 2018 and the fourth quarter of 2017,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29, 2018</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00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16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Value</w:t>
            </w: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4,130</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Variable interest rate U.S. Term Loan B-2 maturing 2023</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2,989</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Variable interest rate Euro Term Loan B-2 maturing 2023</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1,010</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7.375% senior secured notes due 2023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1.50% convertible notes due 2024</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10.50% senior unsecured notes due 2024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3,956</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4.750% senior unsecured notes due 2026</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10,672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14,181</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6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Euro Term Loan B-2 outstanding principal amount as of June 30, 2017 was based upon the Euro to U.S. dollar exchange rate as of that date.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 xml:space="preserve">The Company has joint venture investments with Toshiba Memory Corporation and with Unisplendour Corporation Limited and Unissoft (Wuxi) Group Co. Ltd. (“Unis”). See Note 9, </w:t>
      </w:r>
      <w:r>
        <w:rPr>
          <w:rFonts w:ascii="Arial" w:cs="Arial" w:eastAsia="Arial" w:hAnsi="Arial"/>
          <w:sz w:val="17"/>
          <w:szCs w:val="17"/>
          <w:i w:val="1"/>
          <w:iCs w:val="1"/>
          <w:color w:val="auto"/>
        </w:rPr>
        <w:t>Commitments, Contingencies and Related Parties</w:t>
      </w:r>
      <w:r>
        <w:rPr>
          <w:rFonts w:ascii="Arial" w:cs="Arial" w:eastAsia="Arial" w:hAnsi="Arial"/>
          <w:sz w:val="17"/>
          <w:szCs w:val="17"/>
          <w:color w:val="auto"/>
        </w:rPr>
        <w:t>, for further discussion regarding these joint ventures.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Method Investments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From time to time, the Company enters into certain strategic investments for the promotion of business and strategic objectives. The Company reports these investments under the cost method of accounting as it does not have a significant influence over the operations of these investees. These investments consist of debt and equity securities of privately-held companies that do not have a readily determinable fair value and are carried at historical cost. The Company assesses these securities for indications of other-than-temporary impairments.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2018 and 2017, the Company recorded impairment charges and losses related to the sale of these cost method investments of $17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$55 million, respectively, which were included in Other expense, net in the Consolidated Statements of Operations. There were no impairments in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these investments. As of June 29, 2018 and June 30, 2017, these investments aggregated $39 million and $91 million, respectively, and are reported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Other non-current assets in the Consolidated Balance Sheets.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of June 29, 2018, the Company had outstanding foreign exchange forward contracts that were designated as either cash flow hedges or non-designated hedges. The contract maturity dates of these foreign exchange forward contracts do not exceed 12 months. In addition, the Company had outstanding interest rate swaps that were designated as cash flow hedges. The Company determined the ineffective portion and the amount excluded for effectiveness testing associated with its cash flow hedges to be immaterial to the Consolidated Financial Statements for 2018, 2017 and 2016.</w:t>
      </w:r>
    </w:p>
    <w:p>
      <w:pPr>
        <w:spacing w:after="0" w:line="17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of June 29, 2018, the amount of existing net gains related to cash flow hedges recorded in AOCI was $2 million, of which the majority is expected to be reclassified to earnings over the next twelve months. In addition, as of June 29, 2018, the Company did not have any foreign exchange forward contracts with credit-risk-related contingent features.</w:t>
      </w:r>
    </w:p>
    <w:p>
      <w:pPr>
        <w:spacing w:after="0" w:line="18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Changes in fair values of the non-designated foreign exchange contracts are recognized in other income (expense), net and are largely offset by corresponding changes in the fair values of the foreign currency denominated monetary assets and liabilities. During 2018, 2017 and 2016, total net realized and unrealized transaction and foreign exchange contract currency gains and losses were not material to the Company’s Consolidated Financial Statements.</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for additional disclosures related to the fair value of the Company’s foreign exchange forward contracts.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June 29, 2018 and June 30, 2017, the effect of rights of offset was not material and the Company did not offset or net the fair value amounts of derivative instruments in its Consolidated Balance Sheets.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520" w:type="dxa"/>
            <w:vAlign w:val="bottom"/>
            <w:gridSpan w:val="2"/>
          </w:tcPr>
          <w:p>
            <w:pPr>
              <w:jc w:val="center"/>
              <w:ind w:right="7160"/>
              <w:spacing w:after="0"/>
              <w:rPr>
                <w:sz w:val="20"/>
                <w:szCs w:val="20"/>
                <w:color w:val="auto"/>
              </w:rPr>
            </w:pPr>
            <w:r>
              <w:rPr>
                <w:rFonts w:ascii="Arial" w:cs="Arial" w:eastAsia="Arial" w:hAnsi="Arial"/>
                <w:sz w:val="18"/>
                <w:szCs w:val="18"/>
                <w:b w:val="1"/>
                <w:bCs w:val="1"/>
                <w:color w:val="auto"/>
                <w:w w:val="89"/>
              </w:rPr>
              <w:t>Debt</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3"/>
          </w:tcPr>
          <w:p>
            <w:pPr>
              <w:ind w:left="340"/>
              <w:spacing w:after="0"/>
              <w:rPr>
                <w:sz w:val="20"/>
                <w:szCs w:val="20"/>
                <w:color w:val="auto"/>
              </w:rPr>
            </w:pPr>
            <w:r>
              <w:rPr>
                <w:rFonts w:ascii="Arial" w:cs="Arial" w:eastAsia="Arial" w:hAnsi="Arial"/>
                <w:sz w:val="18"/>
                <w:szCs w:val="18"/>
                <w:color w:val="auto"/>
              </w:rPr>
              <w:t>Debt consisted of the following as of June 29, 2018 and June 30, 2017:</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4"/>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Revolving credit facility maturing 2023</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4,991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B-2 maturing 2023</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2,449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Euro Term Loan B-2 maturing 2023</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7.375% senior secured notes due 2023</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1,875</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1.50% convertible notes due 2024</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10.50% senior unsecured notes due 2024</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3,350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4.750% senior unsecured notes due 2026</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Total debt</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11,375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13,356</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7"/>
        </w:trPr>
        <w:tc>
          <w:tcPr>
            <w:tcW w:w="820" w:type="dxa"/>
            <w:vAlign w:val="bottom"/>
          </w:tcPr>
          <w:p>
            <w:pPr>
              <w:ind w:left="280"/>
              <w:spacing w:after="0"/>
              <w:rPr>
                <w:sz w:val="20"/>
                <w:szCs w:val="20"/>
                <w:color w:val="auto"/>
              </w:rPr>
            </w:pPr>
            <w:r>
              <w:rPr>
                <w:rFonts w:ascii="Arial" w:cs="Arial" w:eastAsia="Arial" w:hAnsi="Arial"/>
                <w:sz w:val="16"/>
                <w:szCs w:val="16"/>
                <w:color w:val="auto"/>
                <w:w w:val="88"/>
              </w:rPr>
              <w:t>Subtotal</w:t>
            </w:r>
          </w:p>
        </w:tc>
        <w:tc>
          <w:tcPr>
            <w:tcW w:w="8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11,172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13,151</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44"/>
        </w:trPr>
        <w:tc>
          <w:tcPr>
            <w:tcW w:w="8340" w:type="dxa"/>
            <w:vAlign w:val="bottom"/>
            <w:gridSpan w:val="3"/>
          </w:tcPr>
          <w:p>
            <w:pPr>
              <w:jc w:val="center"/>
              <w:ind w:right="6340"/>
              <w:spacing w:after="0"/>
              <w:rPr>
                <w:sz w:val="20"/>
                <w:szCs w:val="20"/>
                <w:color w:val="auto"/>
              </w:rPr>
            </w:pPr>
            <w:r>
              <w:rPr>
                <w:rFonts w:ascii="Arial" w:cs="Arial" w:eastAsia="Arial" w:hAnsi="Arial"/>
                <w:sz w:val="16"/>
                <w:szCs w:val="16"/>
                <w:color w:val="auto"/>
                <w:w w:val="92"/>
              </w:rPr>
              <w:t>Long-term debt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10,993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12,918</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6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Euro Term Loan B-2 outstanding principal amount as of June 30, 2017 was based upon the Euro to U.S. dollar exchange rate as of that date.</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February 2018, the Company entered into an amendment to the credit agreement entered into on April 29, 2016 (as amended, the “Credit Agreement”), to provide for, among other things, (i) the issuance of a new $5.02 billion of term loan A-1 due 2023 (the “Term Loan A-1”), (ii) a new $2.25 billion revolving credit facility maturing in 2023 (the “Revolving Facility”), which replaced the Company’s prior $1.50 billion revolving credit facility maturing in 2021, (iii) modifications to the restrictive and financial maintenance covenants, to provide more flexibility and increased incremental debt capacity, (iv) amendments of the applicable varying interest rate margins to be based on the Company’s corporate credit ratings as described in the indenture, and (v) upon the occurrence of certain circumstances, a release of the security and guarantees as well as further covenant flexibility and increased incremental debt capacity. The Company used a portion of the proceeds of the Term Loan A-1 to repay in full its previous variable interest rate Term Loan A in the principal amount of $4.02 billion.</w:t>
      </w:r>
    </w:p>
    <w:p>
      <w:pPr>
        <w:spacing w:after="0" w:line="19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The Term Loan A-1 bears interest at a per annum rate equal to, at the Company’s option, either an adjusted London Interbank Offered Rate (“LIBOR”) rate, subject to a 0.00% floor, plus an applicable margin varying from 1.125% to 2.000% or a base rate plus an applicable margin varying from 0.125% to</w:t>
      </w:r>
    </w:p>
    <w:p>
      <w:pPr>
        <w:ind w:right="180"/>
        <w:spacing w:after="0" w:line="281" w:lineRule="auto"/>
        <w:rPr>
          <w:sz w:val="20"/>
          <w:szCs w:val="20"/>
          <w:color w:val="auto"/>
        </w:rPr>
      </w:pPr>
      <w:r>
        <w:rPr>
          <w:rFonts w:ascii="Arial" w:cs="Arial" w:eastAsia="Arial" w:hAnsi="Arial"/>
          <w:sz w:val="16"/>
          <w:szCs w:val="16"/>
          <w:color w:val="auto"/>
        </w:rPr>
        <w:t>1.000%, in each case depending on the Company’s corporate credit ratings. Currently the Company has selected the LIBOR rate option, and the applicable rate was 3.59% as of June 29, 2018. Principal payments are due in quarterly installments of (i) 0.625% per quarter from June 2018 through March 2019 and</w:t>
      </w:r>
    </w:p>
    <w:p>
      <w:pPr>
        <w:spacing w:after="0" w:line="1" w:lineRule="exact"/>
        <w:rPr>
          <w:sz w:val="20"/>
          <w:szCs w:val="20"/>
          <w:color w:val="auto"/>
        </w:rPr>
      </w:pPr>
    </w:p>
    <w:p>
      <w:pPr>
        <w:ind w:right="60" w:firstLine="8"/>
        <w:spacing w:after="0" w:line="323" w:lineRule="auto"/>
        <w:tabs>
          <w:tab w:leader="none" w:pos="2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1.25% per quarter from June 2019 through December 2022, with the remaining balance payable on February 27, 2023. The Term Loan A-1 issuance costs are amortized to interest expense over the term of the loan, and as of June 29, 2018, issuance costs of $8 million remained unamortized.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May 2017, the Company entered into an interest rate swap for $1.00 billion notional amount which it has designated as a cash flow hedge to mitigate variations in interest payments under a portion of its LIBOR-based term loans due to variations in the LIBOR index. Under the agreement, the Company pays interest monthly at a fixed rate of 1.66% and receives a LIBOR rate on the notional amount of the contract through May 2020. In addition, in April 2018, the Company entered into an interest rate swap for $1.00 billion notional amount which it has designated as a cash flow hedge to mitigate variations in interest payments under a portion of its LIBOR-based term loans due to variations in the LIBOR index. Under the agreement, the Company pays interest monthly at a fixed rate of 2.75% and receives a LIBOR rate on the notional amount of the contract through February 2023.</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Proceeds of $500 million were drawn under the Revolving Facility and were used to fund a voluntary partial prepayment of the Company’s existing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 Dollar denominated term B-3 loans (“U.S. Term Loan B-3”). Loans under the Revolving Facility bear interest, at the Company’s option, at either LIBOR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varying from 1.125% to 2.000% or a base rate plus an applicable margin varying from 0.125% to 1.000%, in each case depending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Company’s corporate credit ratings. Currently the Company has selected the LIBOR rate option, and the applicable interest rate was 3.59%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29, 2018. The Company will also pay an unused commitment fee on the Revolving Facility ranging from 0.120% to 0.350% based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corporate credit ratings as described in the indenture, with an initial fee of 0.250%. As of June 29, 2018, the Company had $1.75 billion of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 availability under the Revolving Facility.</w:t>
      </w:r>
    </w:p>
    <w:p>
      <w:pPr>
        <w:spacing w:after="0" w:line="21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November 2017, the Company borrowed $2.96 billion under U.S. Term Loan B-3 under its Credit Agreement and used the proceeds of this new loan to prepay in full the U.S. Term Loan B-2 previously outstanding under the Credit Agreement. During the year ended June 29, 2018, the Company funded a voluntary partial prepayment of $500 million, using proceeds from the Revolving Facility. In May 2018, the Company borrowed $2.46 billion under U.S. Term Loan B-4 under its Credit Agreement and used the proceeds of this new loan to prepay in full the U.S. Term Loan B-3 previously outstanding under the Credit Agreement. The U.S. Term Loan B-4 has an interest rate equal to, at the Company’s option, either an adjusted LIBOR rate, subject to a 0.00% floor, plus 1.75% or a base rate plus 0.75%. Currently the Company has selected the LIBOR rate option, and the applicable interest rate was 3.84% as of June 29, 2018. Principal payments on U.S. Term Loan B-4 of 0.25% are due quarterly and began on June 29, 2018 with the balance due on April 29, 2023. The U.S. Term Loan B-4 issuance costs are amortized to interest expense over the term of the loan and as of June 29, 2018, issuance costs of $1 million remained unamortized.</w:t>
      </w:r>
    </w:p>
    <w:p>
      <w:pPr>
        <w:spacing w:after="0" w:line="19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Revolving Facility, Term Loan A-1 and Term Loan B-4 are unconditionally guaranteed by each of the guarantors under the Credit Agreement and are secured on a first-priority basis (subject to permitted liens) by a lien on the same collateral that secure the other loans under the Credit Agreement; provided that the security and guarantees will be automatically suspended upon certain conditions.</w:t>
      </w:r>
    </w:p>
    <w:p>
      <w:pPr>
        <w:spacing w:after="0" w:line="18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Company assumed the 0.5% convertible senior notes due November 15, 2020 (the “2020 Convertible Notes”) in connection with its acquisition of SanDisk Corporation (“SanDisk”), pursuant to an Agreement and Plan of Merger (the “Merger”), on May 12, 2016 (the “SanDisk Closing Date”). As of June 29, 2018, $35 million principal amount of the 2020 Convertible Notes was outstanding and had a conversion rate of 10.9006 units of reference property per $1,000 principal amount of the 2020 Convertible Notes, corresponding to 2.6020 shares of the Company’s common stock and $735.79 of cash, subject to adjustments under the indenture. The 2020 Convertible Notes are not currently exchangeable into reference property.</w:t>
      </w:r>
    </w:p>
    <w:p>
      <w:pPr>
        <w:spacing w:after="0" w:line="17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The 2020 Convertible Notes were bifurcated into a debt host and exchange option for accounting purposes. The exchange options are accounted for as a derivative liability because they are predominantly settled in cash. Changes in the fair value of the exchange options are reported, and will be reported until the Company extinguishes the related debt, in Other expense, net in the Consolidated Statements of Operations. The exchange options are measured and reported at fair value on a recurring basis, within Level 3 of the fair value hierarchy. The fair value of the unredeemed and unsettled exchange options is reported in Accrued expenses and Other liabilities in the Consolidated Balance Sheets. See Note 4,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for additional disclosures related to the fair values of the exchange options. For 2018, the change in the fair value of the outstanding exchange options related to the 2020 Notes resulted in an immaterial loss.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February 2018, the Company issued $1.10 billion aggregate principal amount of convertible senior notes due February 1, 2024 (the “2024 Convertible Notes”). The 2024 Convertible Notes bear interest at an annual rate of 1.50% with interest payable on February 1 and August 1 of each year. The Company is not required to make principal payments on the 2024 Convertible Notes prior to the maturity date. The 2024 Convertible Notes are jointly and severally guaranteed by certain material domestic subsidiaries of the Company.</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2024 Convertible Notes are convertible into cash, shares of the Company’s common stock, or a combination thereof at an initial conversion price of approximately $121.91 per share of common stock. Holders of the 2024 Convertible Notes may freely convert their 2024 Convertible Notes on or after November 1, 2023 until the close of business on the business day immediately preceding the maturity date. Prior to November 1, 2023, holders may convert their 2024 Convertible Notes based on variations in market price of the Company’s common stock in relation to the conversion price or the trading price of the 2024 Convertible Notes or upon the occurrence of specified corporate events. On or after February 5, 2021, the Company may redeem all or part of the 2024 Convertible Notes, at its option, if the market price of the Company’s stock achieves certain levels.</w:t>
      </w:r>
    </w:p>
    <w:p>
      <w:pPr>
        <w:spacing w:after="0" w:line="17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Company separately accounts for the liability and equity components of the 2024 Convertible Notes. The value of the liability component as of the date of issuance was recognized at the present value of its cash flows using a discount rate of 4.375%, the Company’s borrowing rate at the date of the issuance for a similar debt instrument without the conversion feature, resulting in a debt discount of $165 million, which was allocated to equity as the value of the conversion feature. The 2024 Convertible Notes debt issuance costs were approximately $18 million, of which $15 million was allocated to the debt component and $3 million was allocated to equity. The debt discount and issuance costs are amortized to interest expense over the term of the 2024 Convertible Notes. As of June 29, 2018, debt discount and issuance cost of $169 million remained unamortized.</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The 2026 Senior Unsecured Notes are jointly and severally guaranteed by certain material domestic subsidiaries of the Company. The 2026 Senior Unsecured Notes issuance costs are amortized to interest expense over the term of the 2026 Senior Unsecured Notes and as of June 29, 2018, issuance costs of $20 million remained unamortized.</w:t>
      </w:r>
    </w:p>
    <w:p>
      <w:pPr>
        <w:spacing w:after="0" w:line="15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February and March, 2018, the Company completed the redemption of all of its outstanding 7.375% senior secured notes due 2023 in the aggregate principal amount of $1.875 billion (the “2023 Notes”) and the tender offer and redemption and settlement of all of its outstanding 10.50% senior unsecured notes due 2024 in the aggregate principal amount of $3.350 billion (the “2024 Notes” and collectively with the 2023 Notes, the “Redeemed Notes”), including an aggregate of $720 million of “make-whole” and tender premiums required for the tender offer of the 2024 Notes and the optional redemption of the Redeemed Notes in accordance with the applicable indentures and accrued interest through the applicable redemption dates. In November 2017, the Company settled in full the principal amounts of the Euro Term Loan B-2, plus accrued interest, using cash on hand.</w:t>
      </w:r>
    </w:p>
    <w:p>
      <w:pPr>
        <w:spacing w:after="0" w:line="17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settlements of the various debt instruments described above, in 2018, the Company recognized an aggregate loss on debt extinguishment of $899 million, consisting of $720 million of “make-whole” and tender premiums and $179 million of unamortized issuance costs. In 2017, the Company incurred losses on the extinguishment of debt of $274 million.</w:t>
      </w:r>
    </w:p>
    <w:p>
      <w:pPr>
        <w:spacing w:after="0" w:line="181"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The Credit Agreement requires the Company to comply with certain financial covenants, such as a leverage ratio and an interest coverage ratio. As of June 29, 2018, the Company was in compliance with all financial covenants. In addition, the Credit Agreement requires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 In addition, the indentures governing the 2026 Senior Unsecured Notes and the 2024 Convertible Notes contain restrictive covenants that limit the Company’s and its subsidiaries’ ability to, among other things, consolidate, merge or sell all or substantially all of their assets; create liens; and incur, assume or guarantee additional indebtedness.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Future Debt Payments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2018, annual future debt payments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40" w:type="dxa"/>
            <w:vAlign w:val="bottom"/>
          </w:tcPr>
          <w:p>
            <w:pPr>
              <w:spacing w:after="0"/>
              <w:rPr>
                <w:sz w:val="16"/>
                <w:szCs w:val="16"/>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8"/>
              </w:rPr>
              <w:t>Future Debt Payments</w:t>
            </w:r>
          </w:p>
        </w:tc>
      </w:tr>
      <w:tr>
        <w:trPr>
          <w:trHeight w:val="190"/>
        </w:trPr>
        <w:tc>
          <w:tcPr>
            <w:tcW w:w="9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9840" w:type="dxa"/>
            <w:vAlign w:val="bottom"/>
          </w:tcPr>
          <w:p>
            <w:pPr>
              <w:ind w:left="180"/>
              <w:spacing w:after="0"/>
              <w:rPr>
                <w:sz w:val="20"/>
                <w:szCs w:val="20"/>
                <w:color w:val="auto"/>
              </w:rPr>
            </w:pPr>
            <w:r>
              <w:rPr>
                <w:rFonts w:ascii="Arial" w:cs="Arial" w:eastAsia="Arial" w:hAnsi="Arial"/>
                <w:sz w:val="16"/>
                <w:szCs w:val="16"/>
                <w:color w:val="auto"/>
              </w:rPr>
              <w:t>2019</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179</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r>
      <w:tr>
        <w:trPr>
          <w:trHeight w:val="237"/>
        </w:trPr>
        <w:tc>
          <w:tcPr>
            <w:tcW w:w="9840" w:type="dxa"/>
            <w:vAlign w:val="bottom"/>
          </w:tcPr>
          <w:p>
            <w:pPr>
              <w:ind w:left="18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311</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r>
      <w:tr>
        <w:trPr>
          <w:trHeight w:val="237"/>
        </w:trPr>
        <w:tc>
          <w:tcPr>
            <w:tcW w:w="9840" w:type="dxa"/>
            <w:vAlign w:val="bottom"/>
          </w:tcPr>
          <w:p>
            <w:pPr>
              <w:ind w:left="18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6,931</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2024 and 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3,400</w:t>
            </w:r>
          </w:p>
        </w:tc>
      </w:tr>
      <w:tr>
        <w:trPr>
          <w:trHeight w:val="217"/>
        </w:trPr>
        <w:tc>
          <w:tcPr>
            <w:tcW w:w="9840" w:type="dxa"/>
            <w:vAlign w:val="bottom"/>
          </w:tcPr>
          <w:p>
            <w:pPr>
              <w:ind w:left="40"/>
              <w:spacing w:after="0"/>
              <w:rPr>
                <w:sz w:val="20"/>
                <w:szCs w:val="20"/>
                <w:color w:val="auto"/>
              </w:rPr>
            </w:pPr>
            <w:r>
              <w:rPr>
                <w:rFonts w:ascii="Arial" w:cs="Arial" w:eastAsia="Arial" w:hAnsi="Arial"/>
                <w:sz w:val="16"/>
                <w:szCs w:val="16"/>
                <w:color w:val="auto"/>
              </w:rPr>
              <w:t>Total debt maturities</w:t>
            </w: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11,375</w:t>
            </w:r>
          </w:p>
        </w:tc>
      </w:tr>
      <w:tr>
        <w:trPr>
          <w:trHeight w:val="33"/>
        </w:trPr>
        <w:tc>
          <w:tcPr>
            <w:tcW w:w="9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44"/>
        </w:trPr>
        <w:tc>
          <w:tcPr>
            <w:tcW w:w="9840" w:type="dxa"/>
            <w:vAlign w:val="bottom"/>
          </w:tcPr>
          <w:p>
            <w:pPr>
              <w:ind w:left="280"/>
              <w:spacing w:after="0"/>
              <w:rPr>
                <w:sz w:val="20"/>
                <w:szCs w:val="20"/>
                <w:color w:val="auto"/>
              </w:rPr>
            </w:pPr>
            <w:r>
              <w:rPr>
                <w:rFonts w:ascii="Arial" w:cs="Arial" w:eastAsia="Arial" w:hAnsi="Arial"/>
                <w:sz w:val="16"/>
                <w:szCs w:val="16"/>
                <w:color w:val="auto"/>
              </w:rPr>
              <w:t>Net carrying value</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11,172</w:t>
            </w:r>
          </w:p>
        </w:tc>
      </w:tr>
      <w:tr>
        <w:trPr>
          <w:trHeight w:val="20"/>
        </w:trPr>
        <w:tc>
          <w:tcPr>
            <w:tcW w:w="9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ind w:left="4160"/>
              <w:spacing w:after="0"/>
              <w:rPr>
                <w:sz w:val="20"/>
                <w:szCs w:val="20"/>
                <w:color w:val="auto"/>
              </w:rPr>
            </w:pPr>
            <w:r>
              <w:rPr>
                <w:rFonts w:ascii="Arial" w:cs="Arial" w:eastAsia="Arial" w:hAnsi="Arial"/>
                <w:sz w:val="18"/>
                <w:szCs w:val="18"/>
                <w:b w:val="1"/>
                <w:bCs w:val="1"/>
                <w:color w:val="auto"/>
              </w:rPr>
              <w:t>WESTERN DIGITAL CORPORATION</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9720" w:type="dxa"/>
            <w:vAlign w:val="bottom"/>
          </w:tcPr>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9720" w:type="dxa"/>
            <w:vAlign w:val="bottom"/>
          </w:tcPr>
          <w:p>
            <w:pPr>
              <w:spacing w:after="0"/>
              <w:rPr>
                <w:sz w:val="20"/>
                <w:szCs w:val="20"/>
                <w:color w:val="auto"/>
              </w:rPr>
            </w:pPr>
            <w:r>
              <w:rPr>
                <w:rFonts w:ascii="Arial" w:cs="Arial" w:eastAsia="Arial" w:hAnsi="Arial"/>
                <w:sz w:val="18"/>
                <w:szCs w:val="18"/>
                <w:b w:val="1"/>
                <w:bCs w:val="1"/>
                <w:color w:val="auto"/>
              </w:rPr>
              <w:t>Note 7.   Goodwill and Other Intangible Assets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972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related to the carrying amount of goodwill:</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9"/>
        </w:trPr>
        <w:tc>
          <w:tcPr>
            <w:tcW w:w="9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9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80"/>
              <w:spacing w:after="0"/>
              <w:rPr>
                <w:sz w:val="20"/>
                <w:szCs w:val="20"/>
                <w:color w:val="auto"/>
              </w:rPr>
            </w:pPr>
            <w:r>
              <w:rPr>
                <w:rFonts w:ascii="Arial" w:cs="Arial" w:eastAsia="Arial" w:hAnsi="Arial"/>
                <w:sz w:val="16"/>
                <w:szCs w:val="16"/>
                <w:i w:val="1"/>
                <w:iCs w:val="1"/>
                <w:color w:val="auto"/>
              </w:rPr>
              <w:t>(in millions)</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1, 2016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9,951</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Purchase price adjustments to goodwill</w:t>
            </w:r>
          </w:p>
        </w:tc>
        <w:tc>
          <w:tcPr>
            <w:tcW w:w="20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66</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Balance at June 30, 2017</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10,014</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recorded in connection with acquisitions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Balance at June 29, 2018</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10,075</w:t>
            </w:r>
          </w:p>
        </w:tc>
      </w:tr>
      <w:tr>
        <w:trPr>
          <w:trHeight w:val="33"/>
        </w:trPr>
        <w:tc>
          <w:tcPr>
            <w:tcW w:w="9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September 15, 2017, the Company acquired substantially all the assets of Tegile Systems, Inc., a provider of flash and persistent-memory storage solutions for enterprise data center applications. On August 25, 2017, the Company acquired substantially all the assets of Upthere, Inc., a cloud services company. These acquisitions are primarily intended to help meet the evolving needs of customers, while driving long-term growth for the Company's existing data center and client solution products over the long term.</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aggregate purchase price of acquisitions during the year ended June 29, 2018 was $100 million in cash, with net assets acquired primarily consisting of developed technology and other intangible assets, of which $61 million was allocated to goodwill. Goodwill is primarily attributable to the benefits the Company expects to derive from diversifying product offerings to its Data Center Devices and Solutions and Client Solutions end markets as well as the acquired workforce. Goodwill is expected to be deductible for tax purposes because the acquisitions were structured as asset acquisitions but accounted for as business combinations. Concurrent with these acquisitions, the Company received $36 million in proceeds on previously outstanding notes receivable due from these acquired entities.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the year ended June 29, 2018, the expenses incurred by the Company related to these acquisitions were immaterial and are primarily included within Selling, general and administrative expenses in the Consolidated Statements of Operations. Revenues and earnings related to these acquisitions was not material.</w:t>
      </w:r>
    </w:p>
    <w:p>
      <w:pPr>
        <w:spacing w:after="0" w:line="18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purchase price adjustments in 2017 resulted from adjustments to the assessment of fair value for certain acquired intangible assets; inventory; property, plant and equipment; and a portion of the deferred tax liability related to the Merger.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intangible assets as of June 29, 2018 and June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2018</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3"/>
                <w:szCs w:val="13"/>
                <w:color w:val="auto"/>
              </w:rPr>
            </w:pPr>
          </w:p>
        </w:tc>
        <w:tc>
          <w:tcPr>
            <w:tcW w:w="14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(in years)</w:t>
            </w: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Existing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Customer relationships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Leasehold interests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finite intangible assets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3"/>
                <w:szCs w:val="13"/>
                <w:color w:val="auto"/>
              </w:rPr>
            </w:pPr>
          </w:p>
        </w:tc>
        <w:tc>
          <w:tcPr>
            <w:tcW w:w="14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(in years)</w:t>
            </w: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Existing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3,478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Customer relationships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Leasehold interests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finite intangible assets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During 2018, two IPR&amp;D projects reached technological feasibility totaling $616 million and commenced amortization over an estimated useful life of 4 years.</w:t>
      </w:r>
    </w:p>
    <w:p>
      <w:pPr>
        <w:spacing w:after="0" w:line="15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During 2018 and 2017, the Company did not record any impairment charges related to intangible assets. During 2016, the Company recorded $36 million of impairment charges related to intangible assets, which are recorded in Employee termination, asset impairment and other charges within the Consolidated Statements of Operations. The impairment charges primarily relate to acquired IPR&amp;D projects that were abandoned and resulted in full impairment.</w:t>
      </w:r>
    </w:p>
    <w:p>
      <w:pPr>
        <w:spacing w:after="0" w:line="14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Intangible assets are amortized over the estimated useful lives based on the pattern in which the economic benefits are expected to be received. Intangible asset amortization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7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center"/>
              <w:ind w:right="208"/>
              <w:spacing w:after="0"/>
              <w:rPr>
                <w:sz w:val="20"/>
                <w:szCs w:val="20"/>
                <w:color w:val="auto"/>
              </w:rPr>
            </w:pPr>
            <w:r>
              <w:rPr>
                <w:rFonts w:ascii="Arial" w:cs="Arial" w:eastAsia="Arial" w:hAnsi="Arial"/>
                <w:sz w:val="13"/>
                <w:szCs w:val="13"/>
                <w:i w:val="1"/>
                <w:iCs w:val="1"/>
                <w:color w:val="auto"/>
                <w:w w:val="96"/>
              </w:rPr>
              <w:t>(In millions)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84"/>
        </w:trPr>
        <w:tc>
          <w:tcPr>
            <w:tcW w:w="6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 amortization</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1,185</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1,169</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266</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estimated future amortization expense for intangible assets currently subject to amortization as of June 29,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Future Intangible</w:t>
            </w:r>
          </w:p>
        </w:tc>
      </w:tr>
      <w:tr>
        <w:trPr>
          <w:trHeight w:val="149"/>
        </w:trPr>
        <w:tc>
          <w:tcPr>
            <w:tcW w:w="9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Asset Amortization</w:t>
            </w:r>
          </w:p>
        </w:tc>
      </w:tr>
      <w:tr>
        <w:trPr>
          <w:trHeight w:val="192"/>
        </w:trPr>
        <w:tc>
          <w:tcPr>
            <w:tcW w:w="9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Expense</w:t>
            </w:r>
          </w:p>
        </w:tc>
      </w:tr>
      <w:tr>
        <w:trPr>
          <w:trHeight w:val="223"/>
        </w:trPr>
        <w:tc>
          <w:tcPr>
            <w:tcW w:w="9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62"/>
              <w:spacing w:after="0"/>
              <w:rPr>
                <w:sz w:val="20"/>
                <w:szCs w:val="20"/>
                <w:color w:val="auto"/>
              </w:rPr>
            </w:pPr>
            <w:r>
              <w:rPr>
                <w:rFonts w:ascii="Arial" w:cs="Arial" w:eastAsia="Arial" w:hAnsi="Arial"/>
                <w:sz w:val="16"/>
                <w:szCs w:val="16"/>
                <w:i w:val="1"/>
                <w:iCs w:val="1"/>
                <w:color w:val="auto"/>
                <w:w w:val="98"/>
              </w:rPr>
              <w:t>(in millions)</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968</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755</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503</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230</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2023 and thereafter</w:t>
            </w:r>
          </w:p>
        </w:tc>
        <w:tc>
          <w:tcPr>
            <w:tcW w:w="14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144</w:t>
            </w:r>
          </w:p>
        </w:tc>
      </w:tr>
      <w:tr>
        <w:trPr>
          <w:trHeight w:val="33"/>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future amortization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2,600</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r>
      <w:tr>
        <w:trPr>
          <w:trHeight w:val="190"/>
        </w:trPr>
        <w:tc>
          <w:tcPr>
            <w:tcW w:w="6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6"/>
        </w:trPr>
        <w:tc>
          <w:tcPr>
            <w:tcW w:w="6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benefit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Benefit obligation at beginning of period</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108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231</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Service cost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Interest cost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Actuarial loss (gain)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Benefits paid</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Settlement/Curtailment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Non-U.S. currency movement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33"/>
        </w:trPr>
        <w:tc>
          <w:tcPr>
            <w:tcW w:w="6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 obligation at end of period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color w:val="auto"/>
              </w:rPr>
              <w:t>Change in plan assets:</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of plan assets at beginning of period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Actual return on plan assets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Employer contributions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Benefits paid</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Non-U.S. currency movement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r>
      <w:tr>
        <w:trPr>
          <w:trHeight w:val="217"/>
        </w:trPr>
        <w:tc>
          <w:tcPr>
            <w:tcW w:w="6860" w:type="dxa"/>
            <w:vAlign w:val="bottom"/>
          </w:tcPr>
          <w:p>
            <w:pPr>
              <w:ind w:left="180"/>
              <w:spacing w:after="0"/>
              <w:rPr>
                <w:sz w:val="20"/>
                <w:szCs w:val="20"/>
                <w:color w:val="auto"/>
              </w:rPr>
            </w:pPr>
            <w:r>
              <w:rPr>
                <w:rFonts w:ascii="Arial" w:cs="Arial" w:eastAsia="Arial" w:hAnsi="Arial"/>
                <w:sz w:val="16"/>
                <w:szCs w:val="16"/>
                <w:color w:val="auto"/>
              </w:rPr>
              <w:t>Fair value of plan assets at end of period</w:t>
            </w:r>
          </w:p>
        </w:tc>
        <w:tc>
          <w:tcPr>
            <w:tcW w:w="102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212</w:t>
            </w:r>
          </w:p>
        </w:tc>
      </w:tr>
      <w:tr>
        <w:trPr>
          <w:trHeight w:val="33"/>
        </w:trPr>
        <w:tc>
          <w:tcPr>
            <w:tcW w:w="6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status</w:t>
            </w: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r>
      <w:tr>
        <w:trPr>
          <w:trHeight w:val="20"/>
        </w:trPr>
        <w:tc>
          <w:tcPr>
            <w:tcW w:w="6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unfunded amounts related to the Japanese Plan as recognized on the Company’s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ind w:right="43"/>
              <w:spacing w:after="0"/>
              <w:rPr>
                <w:sz w:val="20"/>
                <w:szCs w:val="20"/>
                <w:color w:val="auto"/>
              </w:rPr>
            </w:pPr>
            <w:r>
              <w:rPr>
                <w:rFonts w:ascii="Arial" w:cs="Arial" w:eastAsia="Arial" w:hAnsi="Arial"/>
                <w:sz w:val="14"/>
                <w:szCs w:val="14"/>
                <w:b w:val="1"/>
                <w:bCs w:val="1"/>
                <w:color w:val="auto"/>
              </w:rPr>
              <w:t>June 29,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accumulated benefit obligation for the Japanese defined benefit pension plans was $260 million at June 29, 2018. As of June 29, 2018, actuarial losses for the Japanese defined benefit pension plans of $21 million are included in Accumulated other comprehensive loss in the Consolidated Balance Sheet. There were no prior service credits for the defined benefit pension plans recognized in Accumulated other comprehensive loss in the Consolidated Balance Sheet as of June 29,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Weighted-Average Assumptions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actuarial assumptions used to determine benefit obligations for the Japanese defined benefit pension plans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r>
      <w:tr>
        <w:trPr>
          <w:trHeight w:val="23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4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0.8%</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actuarial assumptions used to determine benefit costs for the Japanese defined benefit pension plans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r>
      <w:tr>
        <w:trPr>
          <w:trHeight w:val="23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6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develops a discount rate by calculating when the estimated benefit payments will be due. Management in Japan then matches the benefit payments to bond ratings that are “AA” or higher which match the timing of the expected benefit payments to determine the appropriate discount rate.</w:t>
      </w:r>
    </w:p>
    <w:p>
      <w:pPr>
        <w:spacing w:after="0" w:line="12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develops the expected long-term rate of return on plan assets by analyzing rates of return in Japan as well as the investment portfolio applicable to the plan.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Policies and Strategies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investment policy in Japan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63% in debt securities, 34% in equity securities, and the remaining 3%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18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Japanese defined benefit pension plans’ major asset categories and their associated fair values as of June 29,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603"/>
              <w:spacing w:after="0"/>
              <w:rPr>
                <w:sz w:val="20"/>
                <w:szCs w:val="20"/>
                <w:color w:val="auto"/>
              </w:rPr>
            </w:pPr>
            <w:r>
              <w:rPr>
                <w:rFonts w:ascii="Arial" w:cs="Arial" w:eastAsia="Arial" w:hAnsi="Arial"/>
                <w:sz w:val="14"/>
                <w:szCs w:val="14"/>
                <w:b w:val="1"/>
                <w:bCs w:val="1"/>
                <w:color w:val="auto"/>
                <w:w w:val="92"/>
              </w:rPr>
              <w:t>June 29, 2018</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125</w:t>
            </w: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200</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03"/>
              <w:spacing w:after="0"/>
              <w:rPr>
                <w:sz w:val="20"/>
                <w:szCs w:val="20"/>
                <w:color w:val="auto"/>
              </w:rPr>
            </w:pPr>
            <w:r>
              <w:rPr>
                <w:rFonts w:ascii="Arial" w:cs="Arial" w:eastAsia="Arial" w:hAnsi="Arial"/>
                <w:sz w:val="14"/>
                <w:szCs w:val="14"/>
                <w:b w:val="1"/>
                <w:bCs w:val="1"/>
                <w:color w:val="auto"/>
                <w:w w:val="92"/>
              </w:rPr>
              <w:t>June 30, 2017</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116</w:t>
            </w: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189</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Commingled funds represent pooled institutional investments.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Equity mutual funds invest primarily in equity securities.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Fixed income mutual funds invest primarily in fixed income securities.</w:t>
      </w:r>
    </w:p>
    <w:p>
      <w:pPr>
        <w:spacing w:after="0" w:line="202" w:lineRule="exact"/>
        <w:rPr>
          <w:rFonts w:ascii="Arial" w:cs="Arial" w:eastAsia="Arial" w:hAnsi="Arial"/>
          <w:sz w:val="24"/>
          <w:szCs w:val="24"/>
          <w:color w:val="auto"/>
          <w:vertAlign w:val="superscript"/>
        </w:rPr>
      </w:pPr>
    </w:p>
    <w:p>
      <w:pPr>
        <w:ind w:left="340"/>
        <w:spacing w:after="0"/>
        <w:rPr>
          <w:rFonts w:ascii="Arial" w:cs="Arial" w:eastAsia="Arial" w:hAnsi="Arial"/>
          <w:sz w:val="24"/>
          <w:szCs w:val="24"/>
          <w:color w:val="auto"/>
          <w:vertAlign w:val="superscript"/>
        </w:rPr>
      </w:pPr>
      <w:r>
        <w:rPr>
          <w:rFonts w:ascii="Arial" w:cs="Arial" w:eastAsia="Arial" w:hAnsi="Arial"/>
          <w:sz w:val="18"/>
          <w:szCs w:val="18"/>
          <w:color w:val="auto"/>
        </w:rPr>
        <w:t>Assets held in defined benefit plans in the Philippines, Taiwan and Thailand were immaterial and are not presented in the above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1020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movements of assets between any level categories in 2018, 2017 or 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Valuation Techniques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17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181" w:lineRule="exact"/>
        <w:rPr>
          <w:sz w:val="20"/>
          <w:szCs w:val="20"/>
          <w:color w:val="auto"/>
        </w:rPr>
      </w:pPr>
    </w:p>
    <w:p>
      <w:pPr>
        <w:jc w:val="both"/>
        <w:ind w:right="260" w:firstLine="324"/>
        <w:spacing w:after="0" w:line="308" w:lineRule="auto"/>
        <w:rPr>
          <w:sz w:val="20"/>
          <w:szCs w:val="20"/>
          <w:color w:val="auto"/>
        </w:rPr>
      </w:pPr>
      <w:r>
        <w:rPr>
          <w:rFonts w:ascii="Arial" w:cs="Arial" w:eastAsia="Arial" w:hAnsi="Arial"/>
          <w:sz w:val="17"/>
          <w:szCs w:val="17"/>
          <w:color w:val="auto"/>
        </w:rPr>
        <w:t>Cash equivalents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expected employer contributions for 2019 and annual benefit payments over the next 5 years for its Japanese defined benefit pension plans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240" w:top="125" w:right="5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business ventures with Toshiba Memory Corporation (“TMC”) consist of three separate legal entities: Flash Partners Ltd. (“Flash Partners”), Flash Alliance Ltd. (“Flash Alliance”), and Flash Forward Ltd. (“Flash Forward”), collectively referred to as “Flash Ventures”. The Company has a 49.9% ownership interest and TMC has a 50.1% ownership interest in each of these entities. Through Flash Ventures, the Company and TMC collaborate in the development and manufacture of flash-based memory wafers, which are manufactured by TMC at its wafer fabrication facilities located in Yokkaichi, Japan, using semiconductor manufacturing equipment individually owned or leased by each Flash Ventures entity. Each Flash Ventures entity purchases wafers from TMC at cost and then resell those wafers to the Company and TMC at cost plus a markup.</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Flash Partners. </w:t>
      </w:r>
      <w:r>
        <w:rPr>
          <w:rFonts w:ascii="Arial" w:cs="Arial" w:eastAsia="Arial" w:hAnsi="Arial"/>
          <w:sz w:val="18"/>
          <w:szCs w:val="18"/>
          <w:color w:val="auto"/>
        </w:rPr>
        <w:t>Flash Partners was formed in 2004 in connection with the construction of TMC’s “Fab 3”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Flash Alliance. </w:t>
      </w:r>
      <w:r>
        <w:rPr>
          <w:rFonts w:ascii="Arial" w:cs="Arial" w:eastAsia="Arial" w:hAnsi="Arial"/>
          <w:sz w:val="18"/>
          <w:szCs w:val="18"/>
          <w:color w:val="auto"/>
        </w:rPr>
        <w:t>Flash Alliance was formed in 2006 in connection with the construction of TMC’s “Fab 4”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 xml:space="preserve">Flash Forward. </w:t>
      </w:r>
      <w:r>
        <w:rPr>
          <w:rFonts w:ascii="Arial" w:cs="Arial" w:eastAsia="Arial" w:hAnsi="Arial"/>
          <w:sz w:val="18"/>
          <w:szCs w:val="18"/>
          <w:color w:val="auto"/>
        </w:rPr>
        <w:t>Flash Forward was formed in 2010 in connection with the construction of TMC’s “Fab 5”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 Fab 5 was built in two phases of approximately equal size.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New Fab 2. </w:t>
      </w:r>
      <w:r>
        <w:rPr>
          <w:rFonts w:ascii="Arial" w:cs="Arial" w:eastAsia="Arial" w:hAnsi="Arial"/>
          <w:sz w:val="18"/>
          <w:szCs w:val="18"/>
          <w:color w:val="auto"/>
        </w:rPr>
        <w:t>The Company has a facility agreement with TMC related to the construction and operation of TMC’s “New Fab 2” 300-millimeter wafer</w:t>
      </w:r>
      <w:r>
        <w:rPr>
          <w:rFonts w:ascii="Arial" w:cs="Arial" w:eastAsia="Arial" w:hAnsi="Arial"/>
          <w:sz w:val="18"/>
          <w:szCs w:val="18"/>
          <w:i w:val="1"/>
          <w:iCs w:val="1"/>
          <w:color w:val="auto"/>
        </w:rPr>
        <w:t xml:space="preserve"> </w:t>
      </w:r>
      <w:r>
        <w:rPr>
          <w:rFonts w:ascii="Arial" w:cs="Arial" w:eastAsia="Arial" w:hAnsi="Arial"/>
          <w:sz w:val="18"/>
          <w:szCs w:val="18"/>
          <w:color w:val="auto"/>
        </w:rPr>
        <w:t>fabrication facility located in Yokkaichi, Japan. New Fab 2 is primarily intended to provide additional clean room space to convert a portion of 2-dimensional (“2D”) flash-based wafer production capacity to 3-dimensional (“3D”) flash-based wafer production capacity. Production of flash-based wafers in New Fab 2 started in 2016.</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Fab 6. </w:t>
      </w:r>
      <w:r>
        <w:rPr>
          <w:rFonts w:ascii="Arial" w:cs="Arial" w:eastAsia="Arial" w:hAnsi="Arial"/>
          <w:sz w:val="18"/>
          <w:szCs w:val="18"/>
          <w:color w:val="auto"/>
        </w:rPr>
        <w:t>In December 2017, the Company entered into a facility agreement with TMC related to the construction and operation of a new 300-millimeter</w:t>
      </w:r>
      <w:r>
        <w:rPr>
          <w:rFonts w:ascii="Arial" w:cs="Arial" w:eastAsia="Arial" w:hAnsi="Arial"/>
          <w:sz w:val="18"/>
          <w:szCs w:val="18"/>
          <w:i w:val="1"/>
          <w:iCs w:val="1"/>
          <w:color w:val="auto"/>
        </w:rPr>
        <w:t xml:space="preserve"> </w:t>
      </w:r>
      <w:r>
        <w:rPr>
          <w:rFonts w:ascii="Arial" w:cs="Arial" w:eastAsia="Arial" w:hAnsi="Arial"/>
          <w:sz w:val="18"/>
          <w:szCs w:val="18"/>
          <w:color w:val="auto"/>
        </w:rPr>
        <w:t>wafer fabrication facility in Yokkaichi, Japan, referred to as “Fab 6”, which is primarily intended to provide clean room space to continue the transition of the parties’ existing 2D flash-based wafer capacity to 3D flash-based wafer production capacity. The Company is committed to 50% of Fab 6’s start-up costs, as well as 50% of approved Flash Ventures investments in manufacturing equipment for Fab 6.</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variable interest entities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June 29, 2018 and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119</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187</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112</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2,105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1,340</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2018 and 2017, the Company made net payments to Flash Ventures of $3.79 billion and $2.64 billion, respectively, for purchased flash-based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Company assesses financing receivable credit quality through financial and operational reviews of the borrower and creditworthiness, including credit rating agency ratings, of significant investors of the borrower, where material or known. There were no impairments in 2018, 2017, or 2016.</w:t>
      </w:r>
    </w:p>
    <w:p>
      <w:pPr>
        <w:spacing w:after="0" w:line="124"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As of June 29, 2018 and June 30, 2017, the Company had accounts payable balances due to Flash Ventures of $259 million and $206 million, respectively.</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June 29, 2018, is presented below. Investments in Flash Ventures are denominated in Japanese yen, and the maximum possible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22"/>
              <w:spacing w:after="0"/>
              <w:rPr>
                <w:sz w:val="20"/>
                <w:szCs w:val="20"/>
                <w:color w:val="auto"/>
              </w:rPr>
            </w:pPr>
            <w:r>
              <w:rPr>
                <w:rFonts w:ascii="Arial" w:cs="Arial" w:eastAsia="Arial" w:hAnsi="Arial"/>
                <w:sz w:val="14"/>
                <w:szCs w:val="14"/>
                <w:b w:val="1"/>
                <w:bCs w:val="1"/>
                <w:color w:val="auto"/>
              </w:rPr>
              <w:t>June 29,</w:t>
            </w:r>
          </w:p>
        </w:tc>
      </w:tr>
      <w:tr>
        <w:trPr>
          <w:trHeight w:val="192"/>
        </w:trPr>
        <w:tc>
          <w:tcPr>
            <w:tcW w:w="9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83"/>
        </w:trPr>
        <w:tc>
          <w:tcPr>
            <w:tcW w:w="9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590</w:t>
            </w:r>
          </w:p>
        </w:tc>
      </w:tr>
      <w:tr>
        <w:trPr>
          <w:trHeight w:val="33"/>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1,223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 and prepayments</w:t>
            </w:r>
          </w:p>
        </w:tc>
        <w:tc>
          <w:tcPr>
            <w:tcW w:w="3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282</w:t>
            </w:r>
          </w:p>
        </w:tc>
      </w:tr>
      <w:tr>
        <w:trPr>
          <w:trHeight w:val="33"/>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3,610</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As of June 29, 2018 and June 30, 2017, the Company’s retained earnings included undistributed earnings of Flash Ventures of $8 million and $5 million, respectively.</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is committed to purchase its provided three-month forecast of Flash Ventures’ flash-based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TMC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June 29,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135</w:t>
            </w: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1,223</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June 29, 2018 in U.S. dollars, based upon the Japanese yen to U.S. dollar exchange rate as of June 29,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and TMC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June 29, 2018, no amounts have been accrued in the Consolidated Financial Statements with respect to these indemnification agreements.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November 2015, the Company entered into an agreement with Unis to form a joint venture, referred to as the “Unis Venture”, to market and sell the Company’s products in China and to develop data storage systems for the Chinese market in the future. The Unis Venture became operational during 2017. The Unis Venture is 49% owned by the Company and 51% owned by Unis. The Company accounts for its investment in the Unis Venture under the equity method of accounting. Revenue on products distributed by the Unis Venture are recognized upon sell through to third-party customers. During 2018, the Company recognized less than 1% of its consolidated revenue on products distributed by the Unis Venture. The outstanding accounts receivable due from and investment in Unis Venture were not material to the Consolidated Financial Statements as of June 29, 2018 or June 30, 2017.</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leases certain facilities and equipment under long-term, non-cancelable operating leases. The Company’s operating leases consist of leased property and equipment that expire at various dates through 2030. Future minimum lease payments under operating leases that have initial non-cancelable lease terms in excess of one year at June 29, 2018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Lease Amounts</w:t>
            </w:r>
          </w:p>
        </w:tc>
      </w:tr>
      <w:tr>
        <w:trPr>
          <w:trHeight w:val="250"/>
        </w:trPr>
        <w:tc>
          <w:tcPr>
            <w:tcW w:w="9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1"/>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53</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35</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r>
      <w:tr>
        <w:trPr>
          <w:trHeight w:val="244"/>
        </w:trPr>
        <w:tc>
          <w:tcPr>
            <w:tcW w:w="9940" w:type="dxa"/>
            <w:vAlign w:val="bottom"/>
          </w:tcPr>
          <w:p>
            <w:pPr>
              <w:ind w:left="280"/>
              <w:spacing w:after="0"/>
              <w:rPr>
                <w:sz w:val="20"/>
                <w:szCs w:val="20"/>
                <w:color w:val="auto"/>
              </w:rPr>
            </w:pPr>
            <w:r>
              <w:rPr>
                <w:rFonts w:ascii="Arial" w:cs="Arial" w:eastAsia="Arial" w:hAnsi="Arial"/>
                <w:sz w:val="16"/>
                <w:szCs w:val="16"/>
                <w:color w:val="auto"/>
              </w:rPr>
              <w:t>Total future minimum lease payments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190</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rent expense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7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center"/>
              <w:ind w:right="208"/>
              <w:spacing w:after="0"/>
              <w:rPr>
                <w:sz w:val="20"/>
                <w:szCs w:val="20"/>
                <w:color w:val="auto"/>
              </w:rPr>
            </w:pPr>
            <w:r>
              <w:rPr>
                <w:rFonts w:ascii="Arial" w:cs="Arial" w:eastAsia="Arial" w:hAnsi="Arial"/>
                <w:sz w:val="13"/>
                <w:szCs w:val="13"/>
                <w:i w:val="1"/>
                <w:iCs w:val="1"/>
                <w:color w:val="auto"/>
                <w:w w:val="96"/>
              </w:rPr>
              <w:t>(In millions)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84"/>
        </w:trPr>
        <w:tc>
          <w:tcPr>
            <w:tcW w:w="6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expense, net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56</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purchase agreements with various component suppliers that carry fixed volumes and pricing which obligates the Company to make certain future purchases, contingent on certain conditions of performance, quality and technology of the vendor’s components. As of June 29, 2018, the Company had the following minimum long-term purchase commitments: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Long-term purchase</w:t>
            </w:r>
          </w:p>
        </w:tc>
      </w:tr>
      <w:tr>
        <w:trPr>
          <w:trHeight w:val="192"/>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commitments</w:t>
            </w:r>
          </w:p>
        </w:tc>
      </w:tr>
      <w:tr>
        <w:trPr>
          <w:trHeight w:val="250"/>
        </w:trPr>
        <w:tc>
          <w:tcPr>
            <w:tcW w:w="9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i w:val="1"/>
                <w:iCs w:val="1"/>
                <w:color w:val="auto"/>
                <w:w w:val="98"/>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135</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137</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2023 and thereafter</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170</w:t>
            </w:r>
          </w:p>
        </w:tc>
      </w:tr>
      <w:tr>
        <w:trPr>
          <w:trHeight w:val="33"/>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9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733</w:t>
            </w:r>
          </w:p>
        </w:tc>
      </w:tr>
      <w:tr>
        <w:trPr>
          <w:trHeight w:val="33"/>
        </w:trPr>
        <w:tc>
          <w:tcPr>
            <w:tcW w:w="9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Business Segment, Geographic Information and Concentration of Risk</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The Company introduced a new operating model during the fourth quarter of fiscal 2016 that incorporates the HGST, WD and SanDisk businesses. Based upon the management structure under the current operating model, the Company determined that the Company’s Chief Operating Decision Maker, its Chief Executive Officer, evaluates performance of the Company and makes decisions regarding allocation of resources based on total Company results. As a result, the Company concluded it operates in one segment, data storage devices and solutions.</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table summarizes the Company’s revenues by end market product category, between Client Devices (mobile, desktop, gaming and digital video hard drives, client solid-state drives (“SSD”), embedded products and wafers); Data Center Devices and Solutions (capacity and performance enterprise hard disk drives (“HDD”), enterprise SSDs, data center software and system solutions); and Client Solutions (removable products, hard drive content solutions and flash content solutions):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0"/>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Devices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6,205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Data Center Devices &amp; Solutions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6,075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5,505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4,919</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Solutions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1,870</w:t>
            </w: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9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20,647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19,093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12,994</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tables summarize the Company’s operations by geographic area: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3,651</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China</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Hong Kong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3,257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1,527</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 of Asia</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3,858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2,664</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20,647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19,093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12,994</w:t>
            </w: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80" w:hanging="332"/>
        <w:spacing w:after="0" w:line="216"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Net revenue is attributed to geographic regions based on the ship-to location of the customer. License and royalty revenue is attributed to countries based upon the location of the headquarters of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020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Long-lived assets</w:t>
      </w:r>
      <w:r>
        <w:rPr>
          <w:rFonts w:ascii="Arial" w:cs="Arial" w:eastAsia="Arial" w:hAnsi="Arial"/>
          <w:sz w:val="21"/>
          <w:szCs w:val="21"/>
          <w:color w:val="auto"/>
          <w:vertAlign w:val="superscript"/>
        </w:rPr>
        <w:t>(1)</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States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Malaysia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China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Thailand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 of Asia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Europe, Middle East and Africa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274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91" w:lineRule="exact"/>
        <w:rPr>
          <w:sz w:val="20"/>
          <w:szCs w:val="20"/>
          <w:color w:val="auto"/>
        </w:rPr>
      </w:pPr>
    </w:p>
    <w:tbl>
      <w:tblPr>
        <w:tblLayout w:type="fixed"/>
        <w:tblInd w:w="55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44"/>
        </w:trPr>
        <w:tc>
          <w:tcPr>
            <w:tcW w:w="300" w:type="dxa"/>
            <w:vAlign w:val="bottom"/>
          </w:tcPr>
          <w:p>
            <w:pPr>
              <w:spacing w:after="0"/>
              <w:rPr>
                <w:sz w:val="21"/>
                <w:szCs w:val="21"/>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51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1,249</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556</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443</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392</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345</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3,033</w:t>
            </w:r>
          </w:p>
        </w:tc>
      </w:tr>
      <w:tr>
        <w:trPr>
          <w:trHeight w:val="33"/>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-1397000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-1054100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-711200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-368300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2240" w:space="520"/>
            <w:col w:w="8660"/>
          </w:cols>
          <w:pgMar w:left="240" w:top="125" w:right="239" w:bottom="1440" w:gutter="0" w:footer="0" w:header="0"/>
        </w:sectPr>
      </w:pPr>
    </w:p>
    <w:p>
      <w:pPr>
        <w:ind w:left="340" w:hanging="332"/>
        <w:spacing w:after="0"/>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Long-lived assets include property, plant and equipment and are attributed to the geographic location in which they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20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Customer Concentration and Credit Risk</w:t>
      </w:r>
    </w:p>
    <w:p>
      <w:pPr>
        <w:spacing w:after="0" w:line="22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Company sells its products to computer manufacturers, resellers and retailers throughout the world. For each of 2018, 2017 and 2016, no customer accounted for 10% or more of the Company’s net revenue. For 2018, 2017 and 2016, the Company’s top 10 customers accounted for 42%, 36%, and 43%, respectively, of the Company’s net revenue.</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June 29, 2018, two customers, Apple, Inc. and Dell Inc., accounted for 13% and 10%, respectively, of the Company’s net accounts receivable. As of June 30, 2017, one customer, Dell Inc., accounted for 11% of the Company’s net accounts receivable. As of June 29, 2018 and June 30, 2017, the Company had net accounts receivable of $2.20 billion and $1.95 billion, respectively, and reserves for potential credit losses were not material as of each period.</w:t>
      </w:r>
    </w:p>
    <w:p>
      <w:pPr>
        <w:spacing w:after="0" w:line="178"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Supplier Concentration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All of the Company’s flash memory system products require silicon wafers for the memory and controller components. The Company’s flash memory wafers are currently supplied almost entirely from Flash Ventures and the controller wafers are all manufactured by third-party sources. The failure of any of these sources to deliver silicon wafers could have a material adverse effect on the Company’s business, financial condition and results of operations.</w:t>
      </w:r>
    </w:p>
    <w:p>
      <w:pPr>
        <w:spacing w:after="0" w:line="14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Western Digital Corporation 401(k) Plan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maintains the Western Digital Corporation 401(k) Plan (the “Plan”).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Eligible employees are generally able to contribute up to 30% of their eligible compensation on a pre-tax basis or 10% of their eligible compensation on an after-tax basis subject to Internal Revenue Service (“IRS”) limitations. The Company makes a basic matching contribution equal to 50% of the each eligible participant’s contribution that does not exceed 6% of the eligible participant’s annual compensation in the year of contribution. The Company’s employer matching contributions vest over a two-year graded period. The Company may suspend matching contributions at any time at its discretion. Contributions, including the Company’s matching contribution to the Plan, are recorded as soon as administratively possible after the Company makes payroll deductions from Plan participants.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2018, 2017 and 2016, the Company made Plan contributions of $35 million, $36 million and $20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2017 Performance Incentive Plan</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types of awards that may be granted under the Western Digital Corporation Amended and Restated 2017 Performance Incentive Plan (“2017 Performance Incentive Plan”) include stock options, SARs, RSUs, PSUs, stock bonuses and other forms of awards granted or denominated in the Company’s common stock or units of the Company’s common stock, as well as cash bonus awards. Persons eligible to receive awards under the 2017 Performance Incentive Plan include officers and employees of the Company or any of its subsidiaries, directors of the Company and certain consultants and advisors to the Company or any of its subsidiaries. The vesting of awards under the 2017 Performance Incentive Plan is determined at the date of grant. Each award expires on a date determined at the date of grant; however, the maximum term of options and SARs under the 2017 Performance Incentive Plan is ten years after the grant date of the award. RSUs granted under the 2017 Performance Incentive Plan typically vest over periods ranging from one to four years from the date of grant. PSUs are granted to certain employees and vest only after the achievement of pre-determined performance metrics and completion of requisite service periods. Once the performance metrics are met, vesting of PSUs is generally subject to continued service by the employee. To the extent available, the Company issues shares out of treasury stock upon the vesting of awards, the exercise of employee stock options and the purchase of shares pursuant to the ESPP.</w:t>
      </w:r>
    </w:p>
    <w:p>
      <w:pPr>
        <w:spacing w:after="0" w:line="18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166"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As of June 29, 2018, the maximum number of shares of the Company’s common stock that was authorized for award grants under the 2017 Performance Incentive Plan was 80.5 million shares. Shares issued in respect of stock options and SARs granted under the 2017 Performance Incentive Plan count against the plan’s share limit on a one-for-one basis, whereas currently, shares issued in respect of any other type of award granted count against the plan’s share limit as 1.72 shares for every one share issued in connection with such award. The 2017 Performance Incentive Plan was extended in 2013 and will terminate on August 4, 2025 unless terminated earlier by the Company’s Board of Directors (the “Board”).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on either the first day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1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2018, 2017 and 2016, the Company issued 2.5 million, 2.3 million, and 1.3 million shares, respectively, for aggregate purchase amounts of $119 million, $105 million, and $68 million, respectively.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123</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17"/>
        </w:trPr>
        <w:tc>
          <w:tcPr>
            <w:tcW w:w="6740" w:type="dxa"/>
            <w:vAlign w:val="bottom"/>
          </w:tcPr>
          <w:p>
            <w:pPr>
              <w:jc w:val="center"/>
              <w:ind w:right="5759"/>
              <w:spacing w:after="0"/>
              <w:rPr>
                <w:sz w:val="20"/>
                <w:szCs w:val="20"/>
                <w:color w:val="auto"/>
              </w:rPr>
            </w:pPr>
            <w:r>
              <w:rPr>
                <w:rFonts w:ascii="Arial" w:cs="Arial" w:eastAsia="Arial" w:hAnsi="Arial"/>
                <w:sz w:val="16"/>
                <w:szCs w:val="16"/>
                <w:color w:val="auto"/>
                <w:w w:val="91"/>
              </w:rPr>
              <w:t>Subtotal</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4"/>
        </w:trPr>
        <w:tc>
          <w:tcPr>
            <w:tcW w:w="6740" w:type="dxa"/>
            <w:vAlign w:val="bottom"/>
          </w:tcPr>
          <w:p>
            <w:pPr>
              <w:jc w:val="center"/>
              <w:ind w:right="5779"/>
              <w:spacing w:after="0"/>
              <w:rPr>
                <w:sz w:val="20"/>
                <w:szCs w:val="20"/>
                <w:color w:val="auto"/>
              </w:rPr>
            </w:pPr>
            <w:r>
              <w:rPr>
                <w:rFonts w:ascii="Arial" w:cs="Arial" w:eastAsia="Arial" w:hAnsi="Arial"/>
                <w:sz w:val="16"/>
                <w:szCs w:val="16"/>
                <w:color w:val="auto"/>
                <w:w w:val="89"/>
              </w:rPr>
              <w:t>Total</w:t>
            </w:r>
          </w:p>
        </w:tc>
        <w:tc>
          <w:tcPr>
            <w:tcW w:w="102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143</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Employee termination, asset impairment, and other charges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jc w:val="center"/>
              <w:ind w:right="5759"/>
              <w:spacing w:after="0"/>
              <w:rPr>
                <w:sz w:val="20"/>
                <w:szCs w:val="20"/>
                <w:color w:val="auto"/>
              </w:rPr>
            </w:pPr>
            <w:r>
              <w:rPr>
                <w:rFonts w:ascii="Arial" w:cs="Arial" w:eastAsia="Arial" w:hAnsi="Arial"/>
                <w:sz w:val="16"/>
                <w:szCs w:val="16"/>
                <w:color w:val="auto"/>
                <w:w w:val="91"/>
              </w:rPr>
              <w:t>Subtotal</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jc w:val="center"/>
              <w:ind w:right="5779"/>
              <w:spacing w:after="0"/>
              <w:rPr>
                <w:sz w:val="20"/>
                <w:szCs w:val="20"/>
                <w:color w:val="auto"/>
              </w:rPr>
            </w:pPr>
            <w:r>
              <w:rPr>
                <w:rFonts w:ascii="Arial" w:cs="Arial" w:eastAsia="Arial" w:hAnsi="Arial"/>
                <w:sz w:val="16"/>
                <w:szCs w:val="16"/>
                <w:color w:val="auto"/>
                <w:w w:val="89"/>
              </w:rPr>
              <w:t>Total</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Compensation cost related to unvested stock options, RSU, PSU and ESPP will generally be amortized on a straight-line basis over the remaining average service period. The following table presents the unamortized compensation cost and weighted average service period of all unvested outstanding awards as of June 29,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1.8</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464</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2.1</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1.5</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580" w:right="4700" w:hanging="5572"/>
        <w:spacing w:after="0" w:line="773" w:lineRule="auto"/>
        <w:tabs>
          <w:tab w:leader="none" w:pos="333"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Weighted average service period assumes the performance metrics are met for the PSUs.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-963295</wp:posOffset>
            </wp:positionV>
            <wp:extent cx="1020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3, 2015</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82.68</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Assumed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27.43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66.03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Options outstanding at July 1, 2016</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55.74</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37.72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71.31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Options outstanding at June 30, 2017</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58.14</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60.85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29, 2018</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Exercisable at June 29, 2018</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70.70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RSU and PSU activity under the Company’s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July 3, 2015</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Assumed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July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Forfeited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Forfeited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RSUs and PSUs outstanding at June 29,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right"/>
              <w:ind w:right="43"/>
              <w:spacing w:after="0"/>
              <w:rPr>
                <w:sz w:val="20"/>
                <w:szCs w:val="20"/>
                <w:color w:val="auto"/>
              </w:rPr>
            </w:pPr>
            <w:r>
              <w:rPr>
                <w:rFonts w:ascii="Arial" w:cs="Arial" w:eastAsia="Arial" w:hAnsi="Arial"/>
                <w:sz w:val="14"/>
                <w:szCs w:val="14"/>
                <w:b w:val="1"/>
                <w:bCs w:val="1"/>
                <w:color w:val="auto"/>
                <w:w w:val="90"/>
              </w:rPr>
              <w:t>Value at Vest Date</w:t>
            </w:r>
          </w:p>
        </w:tc>
        <w:tc>
          <w:tcPr>
            <w:tcW w:w="0" w:type="dxa"/>
            <w:vAlign w:val="bottom"/>
          </w:tcPr>
          <w:p>
            <w:pPr>
              <w:spacing w:after="0"/>
              <w:rPr>
                <w:sz w:val="1"/>
                <w:szCs w:val="1"/>
                <w:color w:val="auto"/>
              </w:rPr>
            </w:pPr>
          </w:p>
        </w:tc>
      </w:tr>
      <w:tr>
        <w:trPr>
          <w:trHeight w:val="190"/>
        </w:trPr>
        <w:tc>
          <w:tcPr>
            <w:tcW w:w="128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317"/>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73.80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56.11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62.09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46.98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43.89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74.68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45.20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50.35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58.31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120"/>
            <w:col w:w="4220"/>
          </w:cols>
          <w:pgMar w:left="240" w:top="125" w:right="239" w:bottom="1440" w:gutter="0" w:footer="0" w:header="0"/>
          <w:type w:val="continuous"/>
        </w:sectPr>
      </w:pPr>
    </w:p>
    <w:p>
      <w:pPr>
        <w:spacing w:after="0" w:line="2" w:lineRule="exact"/>
        <w:rPr>
          <w:sz w:val="20"/>
          <w:szCs w:val="20"/>
          <w:color w:val="auto"/>
        </w:rPr>
      </w:pPr>
    </w:p>
    <w:p>
      <w:pPr>
        <w:ind w:left="5580" w:right="1420" w:hanging="5246"/>
        <w:spacing w:after="0" w:line="559" w:lineRule="auto"/>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 103</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Valuation Assumptions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 Grants — Binomial Model</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fair value of stock options granted is estimated using a binomial option-pricing model. The binomial model requires the input of highly subjective assumptions. The Company uses historical data to estimate exercise, employee termination and expected stock price volatility within the binomial model. The risk-free rate for periods within the contractual life of the option is based on the U.S. Treasury yield curve in effect at the time of grant. No options were granted in 2018. The fair value of stock options granted in 2017 and 2016 was estimated using the following weighted average assumptions:</w:t>
      </w:r>
    </w:p>
    <w:p>
      <w:pPr>
        <w:sectPr>
          <w:pgSz w:w="11900" w:h="16838" w:orient="portrait"/>
          <w:cols w:equalWidth="0" w:num="1">
            <w:col w:w="11420"/>
          </w:cols>
          <w:pgMar w:left="240" w:top="125" w:right="239" w:bottom="1440" w:gutter="0" w:footer="0" w:header="0"/>
        </w:sect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Suboptimal exercise factor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risk-free interest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stock price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Weighted-average expected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Post-vesting termination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 yield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expected term (in years)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23"/>
        </w:trPr>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2.69</w:t>
            </w:r>
          </w:p>
        </w:tc>
        <w:tc>
          <w:tcPr>
            <w:tcW w:w="1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2.71</w:t>
            </w:r>
          </w:p>
        </w:tc>
      </w:tr>
      <w:tr>
        <w:trPr>
          <w:trHeight w:val="270"/>
        </w:trPr>
        <w:tc>
          <w:tcPr>
            <w:tcW w:w="840" w:type="dxa"/>
            <w:vAlign w:val="bottom"/>
          </w:tcPr>
          <w:p>
            <w:pPr>
              <w:jc w:val="right"/>
              <w:spacing w:after="0"/>
              <w:rPr>
                <w:sz w:val="20"/>
                <w:szCs w:val="20"/>
                <w:color w:val="auto"/>
              </w:rPr>
            </w:pPr>
            <w:r>
              <w:rPr>
                <w:rFonts w:ascii="Arial" w:cs="Arial" w:eastAsia="Arial" w:hAnsi="Arial"/>
                <w:sz w:val="16"/>
                <w:szCs w:val="16"/>
                <w:color w:val="auto"/>
              </w:rPr>
              <w:t>0.59% to</w:t>
            </w:r>
          </w:p>
        </w:tc>
        <w:tc>
          <w:tcPr>
            <w:tcW w:w="640" w:type="dxa"/>
            <w:vAlign w:val="bottom"/>
          </w:tcPr>
          <w:p>
            <w:pPr>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0.25% to</w:t>
            </w:r>
          </w:p>
        </w:tc>
        <w:tc>
          <w:tcPr>
            <w:tcW w:w="640" w:type="dxa"/>
            <w:vAlign w:val="bottom"/>
          </w:tcPr>
          <w:p>
            <w:pPr>
              <w:spacing w:after="0"/>
              <w:rPr>
                <w:sz w:val="20"/>
                <w:szCs w:val="20"/>
                <w:color w:val="auto"/>
              </w:rPr>
            </w:pPr>
            <w:r>
              <w:rPr>
                <w:rFonts w:ascii="Arial" w:cs="Arial" w:eastAsia="Arial" w:hAnsi="Arial"/>
                <w:sz w:val="16"/>
                <w:szCs w:val="16"/>
                <w:color w:val="auto"/>
              </w:rPr>
              <w:t>2.09%</w:t>
            </w:r>
          </w:p>
        </w:tc>
      </w:tr>
      <w:tr>
        <w:trPr>
          <w:trHeight w:val="270"/>
        </w:trPr>
        <w:tc>
          <w:tcPr>
            <w:tcW w:w="840" w:type="dxa"/>
            <w:vAlign w:val="bottom"/>
          </w:tcPr>
          <w:p>
            <w:pPr>
              <w:jc w:val="right"/>
              <w:spacing w:after="0"/>
              <w:rPr>
                <w:sz w:val="20"/>
                <w:szCs w:val="20"/>
                <w:color w:val="auto"/>
              </w:rPr>
            </w:pPr>
            <w:r>
              <w:rPr>
                <w:rFonts w:ascii="Arial" w:cs="Arial" w:eastAsia="Arial" w:hAnsi="Arial"/>
                <w:sz w:val="16"/>
                <w:szCs w:val="16"/>
                <w:color w:val="auto"/>
              </w:rPr>
              <w:t>0.35 to</w:t>
            </w:r>
          </w:p>
        </w:tc>
        <w:tc>
          <w:tcPr>
            <w:tcW w:w="640" w:type="dxa"/>
            <w:vAlign w:val="bottom"/>
          </w:tcPr>
          <w:p>
            <w:pPr>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0.28 to</w:t>
            </w:r>
          </w:p>
        </w:tc>
        <w:tc>
          <w:tcPr>
            <w:tcW w:w="640" w:type="dxa"/>
            <w:vAlign w:val="bottom"/>
          </w:tcPr>
          <w:p>
            <w:pPr>
              <w:spacing w:after="0"/>
              <w:rPr>
                <w:sz w:val="20"/>
                <w:szCs w:val="20"/>
                <w:color w:val="auto"/>
              </w:rPr>
            </w:pPr>
            <w:r>
              <w:rPr>
                <w:rFonts w:ascii="Arial" w:cs="Arial" w:eastAsia="Arial" w:hAnsi="Arial"/>
                <w:sz w:val="16"/>
                <w:szCs w:val="16"/>
                <w:color w:val="auto"/>
              </w:rPr>
              <w:t>0.49</w:t>
            </w:r>
          </w:p>
        </w:tc>
      </w:tr>
      <w:tr>
        <w:trPr>
          <w:trHeight w:val="270"/>
        </w:trPr>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0.40</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0.35</w:t>
            </w:r>
          </w:p>
        </w:tc>
      </w:tr>
      <w:tr>
        <w:trPr>
          <w:trHeight w:val="270"/>
        </w:trPr>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1.71%</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0.47%</w:t>
            </w:r>
          </w:p>
        </w:tc>
      </w:tr>
      <w:tr>
        <w:trPr>
          <w:trHeight w:val="270"/>
        </w:trPr>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3.42%</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2.61%</w:t>
            </w:r>
          </w:p>
        </w:tc>
      </w:tr>
      <w:tr>
        <w:trPr>
          <w:trHeight w:val="270"/>
        </w:trPr>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$13.72</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$22.54</w:t>
            </w:r>
          </w:p>
        </w:tc>
      </w:tr>
      <w:tr>
        <w:trPr>
          <w:trHeight w:val="270"/>
        </w:trPr>
        <w:tc>
          <w:tcPr>
            <w:tcW w:w="840" w:type="dxa"/>
            <w:vAlign w:val="bottom"/>
          </w:tcPr>
          <w:p>
            <w:pPr>
              <w:jc w:val="center"/>
              <w:ind w:left="560"/>
              <w:spacing w:after="0"/>
              <w:rPr>
                <w:sz w:val="20"/>
                <w:szCs w:val="20"/>
                <w:color w:val="auto"/>
              </w:rPr>
            </w:pPr>
            <w:r>
              <w:rPr>
                <w:rFonts w:ascii="Arial" w:cs="Arial" w:eastAsia="Arial" w:hAnsi="Arial"/>
                <w:sz w:val="16"/>
                <w:szCs w:val="16"/>
                <w:color w:val="auto"/>
                <w:w w:val="89"/>
              </w:rPr>
              <w:t>3.6</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center"/>
              <w:ind w:left="560"/>
              <w:spacing w:after="0"/>
              <w:rPr>
                <w:sz w:val="20"/>
                <w:szCs w:val="20"/>
                <w:color w:val="auto"/>
              </w:rPr>
            </w:pPr>
            <w:r>
              <w:rPr>
                <w:rFonts w:ascii="Arial" w:cs="Arial" w:eastAsia="Arial" w:hAnsi="Arial"/>
                <w:sz w:val="16"/>
                <w:szCs w:val="16"/>
                <w:color w:val="auto"/>
                <w:w w:val="89"/>
              </w:rPr>
              <w:t>4.7</w:t>
            </w:r>
          </w:p>
        </w:tc>
        <w:tc>
          <w:tcPr>
            <w:tcW w:w="6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-1350645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-1007745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-664210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-321310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 Grants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the Company’s RSU and PSU awards granted, excluding unvested RSU awards assumed through acquisitions, was based upon the closing price of the Company’s stock price on the date of grant.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ESPP — Black-Scholes-Merton Model</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highly subjective assumptions such as the expected stock price volatility and the expected period until options are exercised. Purchase rights under the ESPP are generally granted on either June 1st or December 1st of each year.</w:t>
      </w:r>
    </w:p>
    <w:p>
      <w:pPr>
        <w:spacing w:after="0" w:line="14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fair values of all outstanding ESPP purchase rights have been estimated at the date of grant using a Black-Scholes-Merton option-pricing model with the following weighted average assumptions:</w:t>
      </w:r>
    </w:p>
    <w:p>
      <w:pPr>
        <w:sectPr>
          <w:pgSz w:w="11900" w:h="16838" w:orient="portrait"/>
          <w:cols w:equalWidth="0" w:num="1">
            <w:col w:w="11420"/>
          </w:cols>
          <w:pgMar w:left="240" w:top="125" w:right="239" w:bottom="1440" w:gutter="0" w:footer="0" w:header="0"/>
          <w:type w:val="continuous"/>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expected term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Risk-free interest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price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 yield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23"/>
        </w:trPr>
        <w:tc>
          <w:tcPr>
            <w:tcW w:w="1500" w:type="dxa"/>
            <w:vAlign w:val="bottom"/>
          </w:tcPr>
          <w:p>
            <w:pPr>
              <w:jc w:val="center"/>
              <w:spacing w:after="0"/>
              <w:rPr>
                <w:sz w:val="20"/>
                <w:szCs w:val="20"/>
                <w:color w:val="auto"/>
              </w:rPr>
            </w:pPr>
            <w:r>
              <w:rPr>
                <w:rFonts w:ascii="Arial" w:cs="Arial" w:eastAsia="Arial" w:hAnsi="Arial"/>
                <w:sz w:val="16"/>
                <w:szCs w:val="16"/>
                <w:color w:val="auto"/>
                <w:w w:val="96"/>
              </w:rPr>
              <w:t>1.24</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1.26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1.27</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2"/>
              </w:rPr>
              <w:t>2.25%</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0.81%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0.82%</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6"/>
              </w:rPr>
              <w:t>0.35</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0.42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0.38</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2"/>
              </w:rPr>
              <w:t>2.42%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4.02%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3.92%</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3"/>
              </w:rPr>
              <w:t>$16.89</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$10.06</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-835660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-492760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-149860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Board of Directors previously authorized $5.00 billion for the repurchase of the Company’s common stock. In 2018, the Company repurchased 7.1 million shares for a total cost of $591 million. Subsequent to June 29, 2018 and through July 25, 2018, the Company repurchased an additional 0.8 million shares for a total cost of $61 million. On July 25, 2018, the Company’s Board of Directors authorized a new $5.00 billion share repurchase program that is effective through July 25, 2023, replacing all prior programs. Repurchases under the stock repurchase program may be made in the open market or in privately negotiated transactions and may be made under a Rule 10b5-1 plan. The Company expects stock repurchases to be funded principally by operating cash flows. Subsequent to July 25, 2018 and through August 22, 2018, the Company repurchased an additional 5.9 million shares for a total cost of $404 million under this new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Reserved for Issuance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all common stock reserved for issuance at June 29,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Number of Shares</w:t>
            </w:r>
          </w:p>
        </w:tc>
      </w:tr>
      <w:tr>
        <w:trPr>
          <w:trHeight w:val="250"/>
        </w:trPr>
        <w:tc>
          <w:tcPr>
            <w:tcW w:w="9820" w:type="dxa"/>
            <w:vAlign w:val="bottom"/>
          </w:tcPr>
          <w:p>
            <w:pPr>
              <w:spacing w:after="0"/>
              <w:rPr>
                <w:sz w:val="21"/>
                <w:szCs w:val="21"/>
                <w:color w:val="auto"/>
              </w:rPr>
            </w:pPr>
          </w:p>
        </w:tc>
        <w:tc>
          <w:tcPr>
            <w:tcW w:w="1600" w:type="dxa"/>
            <w:vAlign w:val="bottom"/>
          </w:tcPr>
          <w:p>
            <w:pPr>
              <w:jc w:val="right"/>
              <w:ind w:right="363"/>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awards and shares available for award grants</w:t>
            </w:r>
          </w:p>
        </w:tc>
        <w:tc>
          <w:tcPr>
            <w:tcW w:w="1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ESPP</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5</w:t>
            </w:r>
          </w:p>
        </w:tc>
      </w:tr>
      <w:tr>
        <w:trPr>
          <w:trHeight w:val="33"/>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5"/>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Since the first quarter of 2013, the Company has issued a quarterly cash dividend. During the year ended June 29, 2018, the Company declared aggregate cash dividends of $2.00 per share on its outstanding common stock totaling $592 million, of which $148 million was paid on July 16, 2018.</w:t>
      </w:r>
    </w:p>
    <w:p>
      <w:pPr>
        <w:spacing w:after="0" w:line="14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August 1, 2018, the Board declared a cash dividend of $0.50 per share to shareholders of record as of September 28, 2018, which will be paid on October 15, 2018. The Company may modify, suspend or cancel its cash dividend policy in any manner and at any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Before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 and foreign components of income before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2,398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Domestic</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taxes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income tax expense (benefit)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Foreign</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Domestic - 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Domestic - State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Domestic - Federal</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Domestic - State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Tax Cuts and Jobs Act (“2017 Act”) was enacted on December 22, 2017. The 2017 Act includes a broad range of tax reform proposals affecting businesses, including a reduction in the U.S. federal corporate tax rate from 35% to 21%, a one-time mandatory deemed repatriation tax on earnings of certain foreign subsidiaries that were previously tax deferred and creates new taxes on certain foreign earnings.</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 the year ended June 29, 2018, the Company has not finalized the accounting for the tax effects of the enactment of the 2017 Act. However, consistent with applicable SEC guidance, the Company has made a reasonable estimate of the effects on the Company’s existing deferred tax balances and the one-time mandatory deemed repatriation tax required by the 2017 Act and has recognized a provisional income tax expense of $1.57 billion for the one-time mandatory deemed repatriation tax and a provisional income tax benefit of $65 million related to the re-measurement of deferred tax assets and liabilities for the year ended June 29, 2018. For other elements of tax expense noted below, or where the Company has not made an election, the Company has not been able to make a reasonable estimate and continues to account for such items based on the provisions of the tax laws that were in effect immediately prior to the 2017 Act. As the Company finalizes the accounting for the tax effects of the enactment of the 2017 Act during the one-year measurement period permitted by applicable SEC guidance, the Company expects to reflect adjustments to the recorded provisional amounts and record additional tax effects of the 2017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significant provisions of the 2017 Act that are expected to impact the Company is provided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Re-measurement of deferred taxes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provisional income tax benefit of $65 million recorded for the year ended June 29, 2018 related to the re-measurements of the Company’s deferred tax balances and is based primarily on the rates at which the deferred tax assets and liabilities are expected to reverse in the current and future fiscal years, which are generally 29% and 22%, respectively. However, the Company is still analyzing certain aspects of the 2017 Act and refining the calculations, which could potentially affect the measurement of these balances or potentially give rise to new deferred tax amounts. The Company is also analyzing the impact of the 2017 Act to the existing valuation allowance assessments from both a federal and state tax perspective, which could potentially affect the realizability of the existing deferred tax assets. In calculating the provisional amount, the Company utilized an estimate of the expected reversals of certain tax assets and liabilities, which will be revised in future quarters during the one-year measurement period as additional information becomes available. The provisional income tax benefit for the year ended June 29, 2018 reflects a revision to the Company’s initial provisional estimate resulting in income tax expense of $23 million for refinements to the expected reversals of deferred tax assets and liabilities.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connection with the transition from a global to a territorial U.S. tax system, companies are required to pay a mandatory deemed repatriation tax. For the year ended June 29, 2018, the Company recorded a provisional amount for the mandatory deemed repatriation tax liability of $1.57 billion for foreign subsidiaries and $131 million of this amount is classified as a current tax liability. The calculation of the mandatory deemed repatriation tax liability is provisional and based upon preliminary estimates of post-1986 earnings and profits. In addition, the mandatory deemed repatriation tax is based on a provisional amount of foreign earnings held in cash and other specified assets, which are taxed at 15.5% and 8%, respectively, and is payable over an 8-year period. On August 1, 2018, U.S. Treasury issued proposed regulations as guidance for the mandatory deemed repatriation tax. The Company will continue to evaluate the impact of this guidance through the end of the one-year measurement period. As such, the provisional amount may change during the one-year measurement period when the Company finalizes the calculation of post-1986 foreign earnings and profits and the amount of foreign earnings held in cash or other specified assets. The provisional income tax expense for the year ended June 29, 2018 reflects a revision to the Company’s initial provisional estimate resulting in income tax benefits of $18 million for the required utilization of the 2018 generated foreign tax credits and $73 million for potential cash tax payments arising from certain unrecognized tax benefits that would partially offset the mandatory deemed repatriation tax.</w:t>
      </w:r>
    </w:p>
    <w:p>
      <w:pPr>
        <w:spacing w:after="0" w:line="1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Although the mandatory deemed repatriation tax has removed U.S. federal taxes on distributions to the U.S., the Company continues to evaluate the expected manner of recovery to determine whether or not to continue to assert indefinite reinvestment on a part or all the foreign undistributed earnings. This requires the Company to re-evaluate the existing short and long-term capital allocation policies in light of the 2017 Act and calculate the tax cost that is incremental to the deemed repatriation tax (e.g., foreign withholding, state income taxes, and additional U.S. tax on currency transaction gains or losses) of repatriating cash to the U.S. While the provisional tax expense for the year ended June 29, 2018 is based upon an assumption that foreign undistributed earnings are indefinitely reinvested, the Company’s plan may change upon the completion of long-term capital allocation plans in light of the 2017 Act and completion of the calculation of the incremental tax effects on the repatriation of foreign undistributed earnings. In the event the Company determines not to continue to assert the permanent reinvestment of part or all of foreign undistributed earnings, such a determination could result in the accrual and payment of additional federal, foreign, state and local taxes.</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240" w:top="125" w:right="3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 on foreign earnings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a result of the shift to a territorial system for U.S. taxation, the new minimum tax on certain foreign earnings (“global intangible low-tax income”) provision of the 2017 Act imposes a tax on foreign earnings and profits in excess of a deemed return on tangible assets of foreign subsidiaries. This provision is effective for tax years beginning on or after January 1, 2018, which for the Company would be the fiscal year beginning on June 30, 2018 (fiscal year 2019). The Company has not progressed sufficiently in the analysis of this provision to make an election either to account for the effects of this provision either as a component of future income tax expense in the period the tax arises or as a component of deferred taxes on the related investments. Accordingly, no deferred tax assets and liabilities have been established for timing differences between foreign U.S. GAAP income and foreign earnings and profits that would be expected to reverse under the new minimum tax in future years. Additionally, the Company has not yet completed the calculation of post-1986 foreign earnings and profits for the mandatory repatriation tax, which would be the starting point for the measurement of deferred tax assets and liabilities in order to record any provisional amounts.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Undistributed Foreign Earnings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previously asserted all of its unremitted earnings offshore were permanently reinvested and had not recorded any deferred taxes related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any outside basis differences associated with its foreign subsidiaries. The estimated remaining net undistributed earnings from foreign subsidiaries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29, 2018 is estimated to be approximately $17 billion. While the Company has included a provisional estimate of the mandatory deemed repatriation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these earnings, the Company is currently evaluating how the 2017 Act will impact the Company's existing assertion of indefinite reinvestment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determining a reasonable estimate of the remaining tax liability, if any, for any outside basis differences after consideration of the mandatory repatriation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such, no change has been made with respect to this assertion for the year ended June 29, 2018. The Company will complete its analysis of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2017 Act on its indefinite reinvestment assertion and record amounts, such as any remaining outside basis differences, foreign withholding taxes, state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taxes, and additional U.S. tax on currency transaction gains or losses, if necessary, during the measurement period.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Temporary differences and carryforwards, which give rise to a significant portion of deferred tax assets and liabilities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Sales related reserves and accrued expenses not currently deductible</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84</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benefits not currently deductible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Net operating loss carryforward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292</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credit carryforward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236</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deferred tax assets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1,368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1,288</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Unremitted earnings of certain non-U.S. entities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(liabilities), net</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change from a net deferred tax liability to a net deferred tax asset is primarily due to an increase in the deferred tax asset for the 2018 generation of net operating losses and business credits of $316 million, the 2018 reversal of the deferred tax liability associated purchase accounting intangibles of $90 million, and the re-measurement of the Company’s deferred tax balances of $65 million due to the 2017 Act.</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net deferred tax asset valuation allowance increased by $96 million and $224 million in 2018 and 2017, respectively. The valuation allowance increase in 2018 is primarily attributable to the 2018 generation of foreign net operating loss carryforwards of $54 million and state tax credits of $33 million, which the Company does not anticipate being able to utilize.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189" w:lineRule="exact"/>
        <w:rPr>
          <w:sz w:val="20"/>
          <w:szCs w:val="20"/>
          <w:color w:val="auto"/>
        </w:rPr>
      </w:pPr>
    </w:p>
    <w:p>
      <w:pPr>
        <w:ind w:right="180" w:firstLine="324"/>
        <w:spacing w:after="0" w:line="220" w:lineRule="exact"/>
        <w:rPr>
          <w:sz w:val="20"/>
          <w:szCs w:val="20"/>
          <w:color w:val="auto"/>
        </w:rPr>
      </w:pPr>
      <w:r>
        <w:rPr>
          <w:rFonts w:ascii="Arial" w:cs="Arial" w:eastAsia="Arial" w:hAnsi="Arial"/>
          <w:sz w:val="18"/>
          <w:szCs w:val="18"/>
          <w:color w:val="auto"/>
        </w:rPr>
        <w:t xml:space="preserve">In addition to the deferred tax assets presented above, the Company had benefits related to net operating loss benefits from stock-based compensation deductions of $20 million as of June 30, 2017. The reduction in NOL benefits from stock-based compensation deductions was due to the adoption of ASU 2016-09 during the first quarter of 2018. See Part II, Item 8,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Under the 2017 Act, the reduction of the U.S. federal corporate tax rate from 35% to 21% is effective January 1, 2018, requiring companies to use a blended rate for their fiscal 2018 tax year by applying a pro-rated percentage of the number of days before and after the January 1, 2018 effective date. This results in the use of an estimated annual effective tax rate of approximately 28% for the Company’s U.S. federal corporate tax rate for fiscal year 2018. For fiscal year 2019 and beyond, the Company will utilize the enacted U.S. federal corporate tax rate of 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the U.S. Federal statutory rate to the Company’s effective tax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r>
      <w:tr>
        <w:trPr>
          <w:trHeight w:val="236"/>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Tax rate differential on international income</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(103)</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non-deductible convertible debt costs</w:t>
            </w:r>
          </w:p>
        </w:tc>
        <w:tc>
          <w:tcPr>
            <w:tcW w:w="1660" w:type="dxa"/>
            <w:vAlign w:val="bottom"/>
            <w:tcBorders>
              <w:bottom w:val="single" w:sz="8" w:color="CCEEFF"/>
            </w:tcBorders>
            <w:gridSpan w:val="3"/>
            <w:shd w:val="clear" w:color="auto" w:fill="CCEEFF"/>
          </w:tcPr>
          <w:p>
            <w:pPr>
              <w:jc w:val="right"/>
              <w:ind w:right="126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Tax effect of U.S. non-deductible acquisition costs</w:t>
            </w:r>
          </w:p>
        </w:tc>
        <w:tc>
          <w:tcPr>
            <w:tcW w:w="1660" w:type="dxa"/>
            <w:vAlign w:val="bottom"/>
            <w:gridSpan w:val="3"/>
          </w:tcPr>
          <w:p>
            <w:pPr>
              <w:jc w:val="right"/>
              <w:ind w:right="1268"/>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10</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foreign income inclusion</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Tax effect of U.S. non-deductible stock-based compensation</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9</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permanent differences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State income tax, net of federal tax</w:t>
            </w:r>
          </w:p>
        </w:tc>
        <w:tc>
          <w:tcPr>
            <w:tcW w:w="1660" w:type="dxa"/>
            <w:vAlign w:val="bottom"/>
            <w:gridSpan w:val="3"/>
          </w:tcPr>
          <w:p>
            <w:pPr>
              <w:jc w:val="right"/>
              <w:ind w:right="1268"/>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Impact of 2017 Act:</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7580" w:type="dxa"/>
            <w:vAlign w:val="bottom"/>
            <w:gridSpan w:val="2"/>
          </w:tcPr>
          <w:p>
            <w:pPr>
              <w:ind w:left="180"/>
              <w:spacing w:after="0"/>
              <w:rPr>
                <w:sz w:val="20"/>
                <w:szCs w:val="20"/>
                <w:color w:val="auto"/>
              </w:rPr>
            </w:pPr>
            <w:r>
              <w:rPr>
                <w:rFonts w:ascii="Arial" w:cs="Arial" w:eastAsia="Arial" w:hAnsi="Arial"/>
                <w:sz w:val="16"/>
                <w:szCs w:val="16"/>
                <w:color w:val="auto"/>
              </w:rPr>
              <w:t>One-time mandatory deemed repatriation tax</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Re-measurement of deferred taxes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Change in valuation allowance</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16</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Unremitted earnings of certain non-U.S. entities</w:t>
            </w:r>
          </w:p>
        </w:tc>
        <w:tc>
          <w:tcPr>
            <w:tcW w:w="1660" w:type="dxa"/>
            <w:vAlign w:val="bottom"/>
            <w:tcBorders>
              <w:bottom w:val="single" w:sz="8" w:color="CCEEFF"/>
            </w:tcBorders>
            <w:gridSpan w:val="3"/>
            <w:shd w:val="clear" w:color="auto" w:fill="CCEEFF"/>
          </w:tcPr>
          <w:p>
            <w:pPr>
              <w:jc w:val="right"/>
              <w:ind w:right="126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Tax related to SanDisk integration</w:t>
            </w:r>
          </w:p>
        </w:tc>
        <w:tc>
          <w:tcPr>
            <w:tcW w:w="1660" w:type="dxa"/>
            <w:vAlign w:val="bottom"/>
            <w:gridSpan w:val="3"/>
          </w:tcPr>
          <w:p>
            <w:pPr>
              <w:jc w:val="right"/>
              <w:ind w:right="1268"/>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Retroactive extension of Federal R&amp;D credit</w:t>
            </w:r>
          </w:p>
        </w:tc>
        <w:tc>
          <w:tcPr>
            <w:tcW w:w="1660" w:type="dxa"/>
            <w:vAlign w:val="bottom"/>
            <w:tcBorders>
              <w:bottom w:val="single" w:sz="8" w:color="CCEEFF"/>
            </w:tcBorders>
            <w:gridSpan w:val="3"/>
            <w:shd w:val="clear" w:color="auto" w:fill="CCEEFF"/>
          </w:tcPr>
          <w:p>
            <w:pPr>
              <w:jc w:val="right"/>
              <w:ind w:right="126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Income tax credits</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(43)</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126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r>
      <w:tr>
        <w:trPr>
          <w:trHeight w:val="244"/>
        </w:trPr>
        <w:tc>
          <w:tcPr>
            <w:tcW w:w="65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10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6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Holidays and Carryforwards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 substantial portion of the Company’s manufacturing operations in Malaysia, the Philippines, Singapore and Thailand operate under various tax holidays and tax incentive programs which expired or will expire in whole or in part at various dates from 2018 through 2030. Certain of the holidays may be extended if specific conditions are met. The net impact of these tax holidays and tax incentives was an increase to the Company’s net earnings by</w:t>
      </w:r>
    </w:p>
    <w:p>
      <w:pPr>
        <w:ind w:right="460"/>
        <w:spacing w:after="0" w:line="261" w:lineRule="auto"/>
        <w:rPr>
          <w:sz w:val="20"/>
          <w:szCs w:val="20"/>
          <w:color w:val="auto"/>
        </w:rPr>
      </w:pPr>
      <w:r>
        <w:rPr>
          <w:rFonts w:ascii="Arial" w:cs="Arial" w:eastAsia="Arial" w:hAnsi="Arial"/>
          <w:sz w:val="18"/>
          <w:szCs w:val="18"/>
          <w:color w:val="auto"/>
        </w:rPr>
        <w:t>$519 million, or $1.69 per diluted share, $467 million, or $1.58 per diluted share, and $500 million, or $2.07 per diluted share, in 2018, 2017, and 2016, respectively.</w:t>
      </w:r>
    </w:p>
    <w:p>
      <w:pPr>
        <w:spacing w:after="0" w:line="18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As of June 29, 2018,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NOL/Tax Credit</w:t>
            </w:r>
          </w:p>
        </w:tc>
        <w:tc>
          <w:tcPr>
            <w:tcW w:w="148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Carryforward</w:t>
            </w:r>
          </w:p>
        </w:tc>
        <w:tc>
          <w:tcPr>
            <w:tcW w:w="1480" w:type="dxa"/>
            <w:vAlign w:val="bottom"/>
          </w:tcPr>
          <w:p>
            <w:pPr>
              <w:spacing w:after="0"/>
              <w:rPr>
                <w:sz w:val="17"/>
                <w:szCs w:val="17"/>
                <w:color w:val="auto"/>
              </w:rPr>
            </w:pP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Jurisdiction</w:t>
            </w:r>
          </w:p>
        </w:tc>
        <w:tc>
          <w:tcPr>
            <w:tcW w:w="29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33"/>
        </w:trPr>
        <w:tc>
          <w:tcPr>
            <w:tcW w:w="55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w w:val="96"/>
              </w:rPr>
              <w:t>(in millions)</w:t>
            </w:r>
          </w:p>
        </w:tc>
        <w:tc>
          <w:tcPr>
            <w:tcW w:w="1480" w:type="dxa"/>
            <w:vAlign w:val="bottom"/>
          </w:tcPr>
          <w:p>
            <w:pPr>
              <w:spacing w:after="0"/>
              <w:rPr>
                <w:sz w:val="20"/>
                <w:szCs w:val="20"/>
                <w:color w:val="auto"/>
              </w:rPr>
            </w:pPr>
          </w:p>
        </w:tc>
      </w:tr>
      <w:tr>
        <w:trPr>
          <w:trHeight w:val="33"/>
        </w:trPr>
        <w:tc>
          <w:tcPr>
            <w:tcW w:w="5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NOL (Pre 2017 Act Generation)</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2020 to 2037</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Federal NOL (Post 2017 Act Generation)</w:t>
            </w:r>
          </w:p>
        </w:tc>
        <w:tc>
          <w:tcPr>
            <w:tcW w:w="29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r>
      <w:tr>
        <w:trPr>
          <w:trHeight w:val="33"/>
        </w:trPr>
        <w:tc>
          <w:tcPr>
            <w:tcW w:w="5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NOL</w:t>
            </w:r>
          </w:p>
        </w:tc>
        <w:tc>
          <w:tcPr>
            <w:tcW w:w="29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2022 to 2038</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Federal tax credits</w:t>
            </w:r>
          </w:p>
        </w:tc>
        <w:tc>
          <w:tcPr>
            <w:tcW w:w="29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2019 to 2038</w:t>
            </w:r>
          </w:p>
        </w:tc>
      </w:tr>
      <w:tr>
        <w:trPr>
          <w:trHeight w:val="33"/>
        </w:trPr>
        <w:tc>
          <w:tcPr>
            <w:tcW w:w="5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tax credits</w:t>
            </w:r>
          </w:p>
        </w:tc>
        <w:tc>
          <w:tcPr>
            <w:tcW w:w="29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No expiration</w:t>
            </w:r>
          </w:p>
        </w:tc>
      </w:tr>
      <w:tr>
        <w:trPr>
          <w:trHeight w:val="33"/>
        </w:trPr>
        <w:tc>
          <w:tcPr>
            <w:tcW w:w="554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federal and state NOLs and credits relating to various acquisitions are subject to limitations under Sections 382 and 383 of the Internal Revenue Code. The Company expects the total amount of federal NOLs ultimately realized will be reduced by $448 million and state NOLs ultimately realized will be reduced by $435 million. The Company expects the total amount of federal credits ultimately realized will be reduced by $39 million and state tax credit carryforwards ultimately realized will be reduced by $550 million.</w:t>
      </w:r>
    </w:p>
    <w:p>
      <w:pPr>
        <w:spacing w:after="0" w:line="18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NOL Carryforward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2024 to 2026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Belgium</w:t>
            </w:r>
          </w:p>
        </w:tc>
        <w:tc>
          <w:tcPr>
            <w:tcW w:w="12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China</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2023 to 2024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Malaysia</w:t>
            </w:r>
          </w:p>
        </w:tc>
        <w:tc>
          <w:tcPr>
            <w:tcW w:w="12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Spain</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33"/>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expects the total amount of NOL carryforwards in Japan ultimately realized will be reduced by $84 million. The Company expects the NOL carryforwards in Belgium, China and Spain will not be ultimately realized.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240" w:firstLine="324"/>
        <w:spacing w:after="0" w:line="279" w:lineRule="auto"/>
        <w:rPr>
          <w:sz w:val="20"/>
          <w:szCs w:val="20"/>
          <w:color w:val="auto"/>
        </w:rPr>
      </w:pPr>
      <w:r>
        <w:rPr>
          <w:rFonts w:ascii="Arial" w:cs="Arial" w:eastAsia="Arial" w:hAnsi="Arial"/>
          <w:sz w:val="17"/>
          <w:szCs w:val="17"/>
          <w:color w:val="auto"/>
        </w:rPr>
        <w:t>With the exception of certain unrecognized tax benefits that are directly associated with the tax position taken, unrecognized tax benefits are presented gross in the Consolidated Balance Sheets.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June 29, 2018, June 30, 2017 and July 1, 2016 was $110 million, $89 million and $75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 beginning balance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Gross increases related to current year tax positions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increases related to prior year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Gross decreases related to prior year tax positions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Lapse of statute of limitations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Unrecognized tax benefit, ending balance</w:t>
            </w: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522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491</w:t>
            </w:r>
          </w:p>
        </w:tc>
      </w:tr>
      <w:tr>
        <w:trPr>
          <w:trHeight w:val="3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Company’s unrecognized tax benefits are primarily included within long-term liabilities in the Consolidated Balance Sheets. The entire balance of unrecognized tax benefits as of June 29, 2018, June 30, 2017 and July 1, 2016, if recognized, would affect the effective tax rate.</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files U.S. Federal, U.S. state and foreign tax returns. For both federal and state tax returns, with few exceptions, the Company is subject to examination for fiscal years 2010 through 2017. The Company is no longer subject to examination by the IRS for periods prior to 2010, although carry forwards generated prior to those periods may still be adjusted upon examination by the IRS or state taxing authority if they either have been or will be used in a subsequent period. In the major foreign jurisdictions, the Company could be subject to examination in China for calendar years 2008 through 2017, in Ireland for calendar years 2014 through 2017, in India for fiscal years 2013 through 2017, in Israel for fiscal years 2013 through 2017 and in Japan for fiscal years 2011 through 2017.</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IRS previously completed its field examination of the Company’s federal income tax returns for fiscal years 2006 through 2009 and proposed certain adjustments. As previously disclosed, the Company received Revenue Agent Reports from the IRS,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unagreed issues, seeking to increase the Company’s U.S. taxable income by an amount that would result in additional federal tax through fiscal year 2009 totaling approximately $516 million, subject to interest. The Company intends to file a Petition with the U.S. Tax Court. The Company believes that its tax positions are properly supported and will vigorously contest the position taken by the IRS. In September 2015, the IRS commenced an examination of the Company’s fiscal years 2010 through 2012.</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June 29, 2018,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Net Income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gridSpan w:val="6"/>
          </w:tcPr>
          <w:p>
            <w:pPr>
              <w:jc w:val="center"/>
              <w:ind w:left="40"/>
              <w:spacing w:after="0"/>
              <w:rPr>
                <w:sz w:val="20"/>
                <w:szCs w:val="20"/>
                <w:color w:val="auto"/>
              </w:rPr>
            </w:pPr>
            <w:r>
              <w:rPr>
                <w:rFonts w:ascii="Arial" w:cs="Arial" w:eastAsia="Arial" w:hAnsi="Arial"/>
                <w:sz w:val="14"/>
                <w:szCs w:val="14"/>
                <w:i w:val="1"/>
                <w:iCs w:val="1"/>
                <w:color w:val="auto"/>
                <w:w w:val="94"/>
              </w:rPr>
              <w:t>(in millions, except per share 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360" w:hanging="332"/>
        <w:spacing w:after="0" w:line="216"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6740" w:type="dxa"/>
            <w:vAlign w:val="bottom"/>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Plan 2016</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Facilities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accelerations and adjustments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stock-based compensation accelerations and adjustments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Plan 2016</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Total asset impairment</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Total employee termination and other charges, and stock-based compensation accelerations and</w:t>
            </w:r>
          </w:p>
        </w:tc>
        <w:tc>
          <w:tcPr>
            <w:tcW w:w="1020" w:type="dxa"/>
            <w:vAlign w:val="bottom"/>
            <w:vMerge w:val="restart"/>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25"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In 2016, the Company initiated a set of actions relating to the restructuring plan associated with the integration of substantial portions of its HGST and WD subsidiaries (“Restructuring Plan 2016”). Restructuring Plan 2016 consists of asset and footprint reduction, product road map consolidation and organization rationalization. In addition to the amounts recognized under Restructuring Plan 2016 as presented above, the Company recognized $9 million and $65 million of accelerated depreciation on facility assets in cost of revenue during the year ended June 29, 2018 and June 30, 2017,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analysis of the components of the activity against the reserve during the year ended June 29,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July 2018, the Company announced the closing of its HDD manufacturing facility in Kuala Lumpur, Malaysia, in order to reduce its manufacturing costs and consolidate HDD operations into Thailand. The Company expects the closure to be substantially completed by the end of the calendar year 2019 and to result in total pre-tax charges of approximately $160 million. These charges are expected to consist of approximately $85 million in employee termination benefits and $75 million in asset-related, contract termination and other charges. During the year ended June 29, 2018, the Company recognized $56 million in employee termination benefits within Employee termination, asset impairment and other charges in the Consolidated Statements of Operations.</w:t>
      </w:r>
    </w:p>
    <w:p>
      <w:pPr>
        <w:spacing w:after="0" w:line="158"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as of June 29,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w w:val="90"/>
              </w:rPr>
              <w:t>Employee</w:t>
            </w:r>
          </w:p>
        </w:tc>
      </w:tr>
      <w:tr>
        <w:trPr>
          <w:trHeight w:val="192"/>
        </w:trPr>
        <w:tc>
          <w:tcPr>
            <w:tcW w:w="10060" w:type="dxa"/>
            <w:vAlign w:val="bottom"/>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Termination Benefits</w:t>
            </w:r>
          </w:p>
        </w:tc>
      </w:tr>
      <w:tr>
        <w:trPr>
          <w:trHeight w:val="190"/>
        </w:trPr>
        <w:tc>
          <w:tcPr>
            <w:tcW w:w="10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10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24"/>
        </w:trPr>
        <w:tc>
          <w:tcPr>
            <w:tcW w:w="100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2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6"/>
                <w:szCs w:val="16"/>
                <w:color w:val="auto"/>
              </w:rPr>
              <w:t>56</w:t>
            </w:r>
          </w:p>
        </w:tc>
      </w:tr>
      <w:tr>
        <w:trPr>
          <w:trHeight w:val="33"/>
        </w:trPr>
        <w:tc>
          <w:tcPr>
            <w:tcW w:w="10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56</w:t>
            </w:r>
          </w:p>
        </w:tc>
      </w:tr>
      <w:tr>
        <w:trPr>
          <w:trHeight w:val="20"/>
        </w:trPr>
        <w:tc>
          <w:tcPr>
            <w:tcW w:w="10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incurred charges of $10 million and $128 million in 2017 and 2016, respectively, related to the closure of its head component front end wafer manufacturing facility in Odawara, Japan. As of June 29, 2018, the Company had completed all activities related to the closure of the facility.</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The following table presents an analysis of the components of the activity against the reserve: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and SanDisk prior to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2011, a complaint was filed against SanDisk, SD-3C LLC, Panasonic Corporation, Panasonic Corporation of North America, Toshiba Corporation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In November 2015, the defendants filed a motion to dismiss the plaintiffs’ federal law claims. In October 2016, the District Court granted the defendants’ motion with leave to amend and the defendants filed a motion to dismiss the plaintiffs’ remaining claims. In July 2018, ten of the thirteen named plaintiffs voluntarily dismissed their claims against the defendants. Counsel for the remaining named plaintiffs are engaged in settlement discussions with counsel for the defendants. The case has been stayed pending these settlement discussions. The Company intends to defend itself vigorously in this matter.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Beginning in March 2015, SanDisk and two of its officers, Sanjay Mehrotra and Judy Bruner, were named in three putative class action lawsuits filed with the U.S. District Court for the Northern District of California. Two complaints are brought on behalf of a purported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The Company intends to defend itself vigorously in this matter.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that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w:t>
      </w:r>
    </w:p>
    <w:p>
      <w:pPr>
        <w:spacing w:after="0" w:line="18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or around June 22, 2018, Bitkom, an industry association, and ZPÜ entered into an agreement for regulating the obligation to pay compensation under copyright law in Germany for hard drives for the period beginning January 1, 2008. On or around June 29, 2018, the Company elected to join the agreement. Pursuant to the agreement, the Company and ZPÜ intend to dismiss the actions against each other following an accounting and payment of past liabilities. The entry into this agreement did not have a material impact on the Company’s financial condition, results of operations or cash flows.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125"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 (v) 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125"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23,935</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28,922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27,115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(50,737)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29,235</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4960" w:type="dxa"/>
            <w:vAlign w:val="bottom"/>
            <w:gridSpan w:val="11"/>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5,729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12,404</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20,998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23,935</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28,922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27,115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(50,737)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29,235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6,278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4960" w:type="dxa"/>
            <w:vAlign w:val="bottom"/>
            <w:gridSpan w:val="11"/>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11,418</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29,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12,913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7,705</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14,732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19,093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13,021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12,600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12,994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11,796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9,559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29,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loss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derivative contracts and</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derivative contracts and</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expense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loss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derivative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29,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 and premiums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13,840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(repayment of) revolving credit facility</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3,437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loans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 and premiums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(11,697)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investments</w:t>
            </w: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64"/>
        </w:trPr>
        <w:tc>
          <w:tcPr>
            <w:tcW w:w="4120" w:type="dxa"/>
            <w:vAlign w:val="bottom"/>
          </w:tcPr>
          <w:p>
            <w:pPr>
              <w:ind w:left="180"/>
              <w:spacing w:after="0"/>
              <w:rPr>
                <w:sz w:val="20"/>
                <w:szCs w:val="20"/>
                <w:color w:val="auto"/>
              </w:rPr>
            </w:pPr>
            <w:r>
              <w:rPr>
                <w:rFonts w:ascii="Arial" w:cs="Arial" w:eastAsia="Arial" w:hAnsi="Arial"/>
                <w:sz w:val="14"/>
                <w:szCs w:val="14"/>
                <w:color w:val="auto"/>
              </w:rPr>
              <w:t>Proceeds from maturities of investments</w:t>
            </w:r>
          </w:p>
        </w:tc>
        <w:tc>
          <w:tcPr>
            <w:tcW w:w="30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loans from (to)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to consolidated affiliates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(14,879)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(14,066)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Settlement of convertible debt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14,108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17,108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(repayment of)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upon settlement of acquired warrants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15,089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13,593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10,751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Quarterly Results of Operations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6"/>
          </w:tcPr>
          <w:p>
            <w:pPr>
              <w:ind w:left="40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 net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5,181</w:t>
            </w:r>
          </w:p>
        </w:tc>
        <w:tc>
          <w:tcPr>
            <w:tcW w:w="12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5,336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income (loss) per common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income (loss)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7"/>
                <w:szCs w:val="17"/>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1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6"/>
          </w:tcPr>
          <w:p>
            <w:pPr>
              <w:ind w:left="40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 net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4,714</w:t>
            </w:r>
          </w:p>
        </w:tc>
        <w:tc>
          <w:tcPr>
            <w:tcW w:w="12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4,888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Operating income (loss)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income (loss) per common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income (loss)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24"/>
        <w:spacing w:after="0" w:line="220" w:lineRule="exact"/>
        <w:rPr>
          <w:sz w:val="20"/>
          <w:szCs w:val="20"/>
          <w:color w:val="auto"/>
        </w:rPr>
      </w:pPr>
      <w:r>
        <w:rPr>
          <w:rFonts w:ascii="Arial" w:cs="Arial" w:eastAsia="Arial" w:hAnsi="Arial"/>
          <w:sz w:val="18"/>
          <w:szCs w:val="18"/>
          <w:color w:val="auto"/>
        </w:rPr>
        <w:t>As required by SEC Rule 13a</w:t>
      </w:r>
      <w:r>
        <w:rPr>
          <w:rFonts w:ascii="MS PGothic" w:cs="MS PGothic" w:eastAsia="MS PGothic" w:hAnsi="MS PGothic"/>
          <w:sz w:val="18"/>
          <w:szCs w:val="18"/>
          <w:color w:val="auto"/>
        </w:rPr>
        <w:t>‑</w:t>
      </w:r>
      <w:r>
        <w:rPr>
          <w:rFonts w:ascii="Arial" w:cs="Arial" w:eastAsia="Arial" w:hAnsi="Arial"/>
          <w:sz w:val="18"/>
          <w:szCs w:val="18"/>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ind w:right="340" w:firstLine="324"/>
        <w:spacing w:after="0" w:line="223" w:lineRule="exact"/>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disclosure controls and procedures were effective.</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40" w:firstLine="324"/>
        <w:spacing w:after="0" w:line="220" w:lineRule="exact"/>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w:t>
      </w:r>
    </w:p>
    <w:p>
      <w:pPr>
        <w:spacing w:after="0" w:line="2" w:lineRule="exact"/>
        <w:rPr>
          <w:sz w:val="20"/>
          <w:szCs w:val="20"/>
          <w:color w:val="auto"/>
        </w:rPr>
      </w:pPr>
    </w:p>
    <w:p>
      <w:pPr>
        <w:jc w:val="both"/>
        <w:ind w:right="260" w:firstLine="8"/>
        <w:spacing w:after="0" w:line="254"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190" w:lineRule="exact"/>
        <w:rPr>
          <w:sz w:val="20"/>
          <w:szCs w:val="20"/>
          <w:color w:val="auto"/>
        </w:rPr>
      </w:pPr>
    </w:p>
    <w:p>
      <w:pPr>
        <w:ind w:right="60" w:firstLine="324"/>
        <w:spacing w:after="0" w:line="219" w:lineRule="exact"/>
        <w:rPr>
          <w:sz w:val="20"/>
          <w:szCs w:val="20"/>
          <w:color w:val="auto"/>
        </w:rPr>
      </w:pPr>
      <w:r>
        <w:rPr>
          <w:rFonts w:ascii="Arial" w:cs="Arial" w:eastAsia="Arial" w:hAnsi="Arial"/>
          <w:sz w:val="16"/>
          <w:szCs w:val="16"/>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KPMG LLP, our independent registered public accounting firm, which audited the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has issued an audit report on our internal control over financial reporting. See Report of Independent Registered Public Accounting Firm herein.</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fiscal quarter ended June 29, 2018, that has materially affected, or is reasonably likely to materially affect, our internal control over financial reporting.</w:t>
      </w:r>
    </w:p>
    <w:p>
      <w:pPr>
        <w:spacing w:after="0" w:line="17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and supplier management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125" w:right="2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of Effectiveness of Controls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 Executive Officers and Corporate Governance</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There is incorporated herein by reference the information required by this Item included in the Company’s Proxy Statement for the 2018 Annual Meeting of Stockholders, which will be filed with the SEC no later than 120 days after the close of the fiscal year ended June 29, 2018.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2018 Annual Meeting of Stockholders, which will be filed with the SEC no later than 120 days after the close of the fiscal year ended June 29, 2018.</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2018 Annual Meeting of Stockholders, which will be filed with the SEC no later than 120 days after the close of the fiscal year ended June 29, 2018.</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2018 Annual Meeting of Stockholders, which will be filed with the SEC no later than 120 days after the close of the fiscal year ended June 29, 2018.</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2018 Annual Meeting of Stockholders, which will be filed with the SEC no later than 120 days after the close of the fiscal year ended June 29, 2018.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The following documents are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5" w:lineRule="exact"/>
        <w:rPr>
          <w:sz w:val="20"/>
          <w:szCs w:val="20"/>
          <w:color w:val="auto"/>
        </w:rPr>
      </w:pPr>
    </w:p>
    <w:p>
      <w:pPr>
        <w:ind w:left="660" w:hanging="328"/>
        <w:spacing w:after="0" w:line="196" w:lineRule="exact"/>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included in Part II, Item 8 of this document are filed as part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rFonts w:ascii="Arial" w:cs="Arial" w:eastAsia="Arial" w:hAnsi="Arial"/>
          <w:sz w:val="18"/>
          <w:szCs w:val="18"/>
          <w:color w:val="auto"/>
        </w:rPr>
      </w:pPr>
    </w:p>
    <w:p>
      <w:pPr>
        <w:ind w:left="660" w:right="54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as the required information is immaterial, inapplicable or the information is presented in the Consolidated Financial Statements or related Notes.</w:t>
      </w:r>
    </w:p>
    <w:p>
      <w:pPr>
        <w:spacing w:after="0" w:line="170" w:lineRule="exact"/>
        <w:rPr>
          <w:rFonts w:ascii="Arial" w:cs="Arial" w:eastAsia="Arial" w:hAnsi="Arial"/>
          <w:sz w:val="18"/>
          <w:szCs w:val="18"/>
          <w:color w:val="auto"/>
        </w:rPr>
      </w:pPr>
    </w:p>
    <w:p>
      <w:pPr>
        <w:ind w:left="660" w:hanging="328"/>
        <w:spacing w:after="0" w:line="218" w:lineRule="exact"/>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Exhibits. </w:t>
      </w:r>
      <w:r>
        <w:rPr>
          <w:rFonts w:ascii="Arial" w:cs="Arial" w:eastAsia="Arial" w:hAnsi="Arial"/>
          <w:sz w:val="17"/>
          <w:szCs w:val="17"/>
          <w:color w:val="auto"/>
        </w:rPr>
        <w:t>The exhibits listed in the Exhibit Index below are filed with, or incorporated by reference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90" w:lineRule="exact"/>
        <w:rPr>
          <w:sz w:val="20"/>
          <w:szCs w:val="20"/>
          <w:color w:val="auto"/>
        </w:rPr>
      </w:pPr>
    </w:p>
    <w:p>
      <w:pPr>
        <w:ind w:left="500"/>
        <w:spacing w:after="0"/>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2.1</w:t>
        </w:r>
      </w:hyperlink>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7229475"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29475" cy="428625"/>
                    </a:xfrm>
                    <a:prstGeom prst="rect">
                      <a:avLst/>
                    </a:prstGeom>
                    <a:noFill/>
                  </pic:spPr>
                </pic:pic>
              </a:graphicData>
            </a:graphic>
          </wp:anchor>
        </w:drawing>
      </w:r>
    </w:p>
    <w:p>
      <w:pPr>
        <w:spacing w:after="0" w:line="48"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0"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680" w:type="dxa"/>
            <w:vAlign w:val="bottom"/>
            <w:gridSpan w:val="4"/>
          </w:tcPr>
          <w:p>
            <w:pPr>
              <w:jc w:val="center"/>
              <w:ind w:left="399"/>
              <w:spacing w:after="0"/>
              <w:rPr>
                <w:rFonts w:ascii="Arial" w:cs="Arial" w:eastAsia="Arial" w:hAnsi="Arial"/>
                <w:sz w:val="16"/>
                <w:szCs w:val="16"/>
                <w:color w:val="0000FF"/>
                <w:w w:val="89"/>
              </w:rPr>
            </w:pPr>
            <w:hyperlink r:id="rId60">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w w:val="93"/>
              </w:rPr>
              <w:t>Amended and Restated Certificate of Incorporation of Western Digital Corporation, as amended to date (Filed as Exhibit 3.1 to the Company’s Quarterly</w:t>
            </w:r>
          </w:p>
        </w:tc>
      </w:tr>
      <w:tr>
        <w:trPr>
          <w:trHeight w:val="217"/>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rPr>
              <w:t>Report on Form 10-Q (File No. 1-08703) with the Securities and Exchange Commission on February 8, 2006)</w:t>
            </w:r>
          </w:p>
        </w:tc>
      </w:tr>
      <w:tr>
        <w:trPr>
          <w:trHeight w:val="33"/>
        </w:trPr>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89"/>
        </w:trPr>
        <w:tc>
          <w:tcPr>
            <w:tcW w:w="680" w:type="dxa"/>
            <w:vAlign w:val="bottom"/>
            <w:gridSpan w:val="4"/>
            <w:shd w:val="clear" w:color="auto" w:fill="BFE4FF"/>
          </w:tcPr>
          <w:p>
            <w:pPr>
              <w:jc w:val="center"/>
              <w:ind w:left="399"/>
              <w:spacing w:after="0"/>
              <w:rPr>
                <w:rFonts w:ascii="Arial" w:cs="Arial" w:eastAsia="Arial" w:hAnsi="Arial"/>
                <w:sz w:val="16"/>
                <w:szCs w:val="16"/>
                <w:color w:val="0000FF"/>
                <w:w w:val="89"/>
              </w:rPr>
            </w:pPr>
            <w:hyperlink r:id="rId6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600" w:type="dxa"/>
            <w:vAlign w:val="bottom"/>
            <w:shd w:val="clear" w:color="auto" w:fill="BFE4FF"/>
          </w:tcPr>
          <w:p>
            <w:pPr>
              <w:ind w:left="500"/>
              <w:spacing w:after="0"/>
              <w:rPr>
                <w:sz w:val="20"/>
                <w:szCs w:val="20"/>
                <w:color w:val="auto"/>
              </w:rPr>
            </w:pPr>
            <w:r>
              <w:rPr>
                <w:rFonts w:ascii="Arial" w:cs="Arial" w:eastAsia="Arial" w:hAnsi="Arial"/>
                <w:sz w:val="16"/>
                <w:szCs w:val="16"/>
                <w:color w:val="auto"/>
                <w:w w:val="93"/>
              </w:rPr>
              <w:t>Amended and Restated By-Laws of Western Digital Corporation, as amended effective as of May 2, 2018 (Filed as Exhibit 3.1 to the Company’s Current</w:t>
            </w:r>
          </w:p>
        </w:tc>
      </w:tr>
      <w:tr>
        <w:trPr>
          <w:trHeight w:val="230"/>
        </w:trPr>
        <w:tc>
          <w:tcPr>
            <w:tcW w:w="380" w:type="dxa"/>
            <w:vAlign w:val="bottom"/>
            <w:tcBorders>
              <w:top w:val="single" w:sz="8" w:color="BFE4FF"/>
              <w:bottom w:val="single" w:sz="8" w:color="BFE4FF"/>
            </w:tcBorders>
            <w:shd w:val="clear" w:color="auto" w:fill="BFE4FF"/>
          </w:tcPr>
          <w:p>
            <w:pPr>
              <w:spacing w:after="0"/>
              <w:rPr>
                <w:sz w:val="20"/>
                <w:szCs w:val="20"/>
                <w:color w:val="auto"/>
              </w:rPr>
            </w:pP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40" w:type="dxa"/>
            <w:vAlign w:val="bottom"/>
            <w:tcBorders>
              <w:top w:val="single" w:sz="8" w:color="BFE4FF"/>
              <w:bottom w:val="single" w:sz="8" w:color="BFE4FF"/>
            </w:tcBorders>
            <w:shd w:val="clear" w:color="auto" w:fill="BFE4FF"/>
          </w:tcPr>
          <w:p>
            <w:pPr>
              <w:spacing w:after="0"/>
              <w:rPr>
                <w:sz w:val="20"/>
                <w:szCs w:val="20"/>
                <w:color w:val="auto"/>
              </w:rPr>
            </w:pPr>
          </w:p>
        </w:tc>
        <w:tc>
          <w:tcPr>
            <w:tcW w:w="200" w:type="dxa"/>
            <w:vAlign w:val="bottom"/>
            <w:tcBorders>
              <w:top w:val="single" w:sz="8" w:color="0000FF"/>
              <w:bottom w:val="single" w:sz="8" w:color="BFE4FF"/>
            </w:tcBorders>
            <w:shd w:val="clear" w:color="auto" w:fill="BFE4FF"/>
          </w:tcPr>
          <w:p>
            <w:pPr>
              <w:spacing w:after="0"/>
              <w:rPr>
                <w:sz w:val="20"/>
                <w:szCs w:val="20"/>
                <w:color w:val="auto"/>
              </w:rPr>
            </w:pPr>
          </w:p>
        </w:tc>
        <w:tc>
          <w:tcPr>
            <w:tcW w:w="40" w:type="dxa"/>
            <w:vAlign w:val="bottom"/>
            <w:tcBorders>
              <w:top w:val="single" w:sz="8" w:color="BFE4FF"/>
              <w:bottom w:val="single" w:sz="8" w:color="BFE4FF"/>
            </w:tcBorders>
            <w:shd w:val="clear" w:color="auto" w:fill="BFE4FF"/>
          </w:tcPr>
          <w:p>
            <w:pPr>
              <w:spacing w:after="0"/>
              <w:rPr>
                <w:sz w:val="20"/>
                <w:szCs w:val="20"/>
                <w:color w:val="auto"/>
              </w:rPr>
            </w:pP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10600" w:type="dxa"/>
            <w:vAlign w:val="bottom"/>
            <w:tcBorders>
              <w:top w:val="single" w:sz="8" w:color="BFE4FF"/>
              <w:bottom w:val="single" w:sz="8" w:color="BFE4FF"/>
            </w:tcBorders>
            <w:shd w:val="clear" w:color="auto" w:fill="BFE4FF"/>
          </w:tcPr>
          <w:p>
            <w:pPr>
              <w:ind w:left="500"/>
              <w:spacing w:after="0"/>
              <w:rPr>
                <w:sz w:val="20"/>
                <w:szCs w:val="20"/>
                <w:color w:val="auto"/>
              </w:rPr>
            </w:pPr>
            <w:r>
              <w:rPr>
                <w:rFonts w:ascii="Arial" w:cs="Arial" w:eastAsia="Arial" w:hAnsi="Arial"/>
                <w:sz w:val="16"/>
                <w:szCs w:val="16"/>
                <w:color w:val="auto"/>
              </w:rPr>
              <w:t>Report on Form 8-K (File No. 1-08703) with the Securities and Exchange Commission on May 7, 2018)</w:t>
            </w:r>
          </w:p>
        </w:tc>
      </w:tr>
      <w:tr>
        <w:trPr>
          <w:trHeight w:val="189"/>
        </w:trPr>
        <w:tc>
          <w:tcPr>
            <w:tcW w:w="680" w:type="dxa"/>
            <w:vAlign w:val="bottom"/>
            <w:gridSpan w:val="4"/>
          </w:tcPr>
          <w:p>
            <w:pPr>
              <w:jc w:val="center"/>
              <w:ind w:left="399"/>
              <w:spacing w:after="0"/>
              <w:rPr>
                <w:rFonts w:ascii="Arial" w:cs="Arial" w:eastAsia="Arial" w:hAnsi="Arial"/>
                <w:sz w:val="16"/>
                <w:szCs w:val="16"/>
                <w:color w:val="0000FF"/>
                <w:w w:val="89"/>
              </w:rPr>
            </w:pPr>
            <w:hyperlink r:id="rId6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w w:val="92"/>
              </w:rPr>
              <w:t>Indenture (including Form of 0.5% Convertible Senior Notes due 2020), dated as of October 29, 2013, by and between SanDisk Corporation and The Bank</w:t>
            </w: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w w:val="97"/>
              </w:rPr>
              <w:t>of New York Mellon Trust Company, N.A. (Filed as Exhibit 4.1 to SanDisk Corporation’s Current Report on Form 8-K (File No. 000-26734) with the</w:t>
            </w: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rPr>
              <w:t>Securities and Exchange Commission on October 29, 2013)</w:t>
            </w:r>
          </w:p>
        </w:tc>
      </w:tr>
      <w:tr>
        <w:trPr>
          <w:trHeight w:val="33"/>
        </w:trPr>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89"/>
        </w:trPr>
        <w:tc>
          <w:tcPr>
            <w:tcW w:w="680" w:type="dxa"/>
            <w:vAlign w:val="bottom"/>
            <w:gridSpan w:val="4"/>
            <w:shd w:val="clear" w:color="auto" w:fill="BFE4FF"/>
          </w:tcPr>
          <w:p>
            <w:pPr>
              <w:jc w:val="center"/>
              <w:ind w:left="399"/>
              <w:spacing w:after="0"/>
              <w:rPr>
                <w:rFonts w:ascii="Arial" w:cs="Arial" w:eastAsia="Arial" w:hAnsi="Arial"/>
                <w:sz w:val="16"/>
                <w:szCs w:val="16"/>
                <w:color w:val="0000FF"/>
                <w:w w:val="89"/>
              </w:rPr>
            </w:pPr>
            <w:hyperlink r:id="rId63">
              <w:r>
                <w:rPr>
                  <w:rFonts w:ascii="Arial" w:cs="Arial" w:eastAsia="Arial" w:hAnsi="Arial"/>
                  <w:sz w:val="16"/>
                  <w:szCs w:val="16"/>
                  <w:color w:val="0000FF"/>
                  <w:w w:val="89"/>
                </w:rPr>
                <w:t>4.</w:t>
              </w:r>
              <w:r>
                <w:rPr>
                  <w:rFonts w:ascii="Arial" w:cs="Arial" w:eastAsia="Arial" w:hAnsi="Arial"/>
                  <w:sz w:val="16"/>
                  <w:szCs w:val="16"/>
                  <w:u w:val="single" w:color="auto"/>
                  <w:color w:val="0000FF"/>
                  <w:w w:val="89"/>
                </w:rPr>
                <w:t>2</w:t>
              </w:r>
            </w:hyperlink>
          </w:p>
        </w:tc>
        <w:tc>
          <w:tcPr>
            <w:tcW w:w="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600" w:type="dxa"/>
            <w:vAlign w:val="bottom"/>
            <w:shd w:val="clear" w:color="auto" w:fill="BFE4FF"/>
          </w:tcPr>
          <w:p>
            <w:pPr>
              <w:ind w:left="500"/>
              <w:spacing w:after="0"/>
              <w:rPr>
                <w:sz w:val="20"/>
                <w:szCs w:val="20"/>
                <w:color w:val="auto"/>
              </w:rPr>
            </w:pPr>
            <w:r>
              <w:rPr>
                <w:rFonts w:ascii="Arial" w:cs="Arial" w:eastAsia="Arial" w:hAnsi="Arial"/>
                <w:sz w:val="16"/>
                <w:szCs w:val="16"/>
                <w:color w:val="auto"/>
                <w:w w:val="93"/>
              </w:rPr>
              <w:t>First Supplemental Indenture to the Indenture filed as Exhibit 4.1 hereto, dated as of May 12, 2016, among SanDisk Corporation, The Bank of New York</w:t>
            </w:r>
          </w:p>
        </w:tc>
      </w:tr>
      <w:tr>
        <w:trPr>
          <w:trHeight w:val="213"/>
        </w:trPr>
        <w:tc>
          <w:tcPr>
            <w:tcW w:w="38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20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BFE4FF"/>
            </w:tcBorders>
            <w:shd w:val="clear" w:color="auto" w:fill="BFE4FF"/>
          </w:tcPr>
          <w:p>
            <w:pPr>
              <w:spacing w:after="0"/>
              <w:rPr>
                <w:sz w:val="18"/>
                <w:szCs w:val="18"/>
                <w:color w:val="auto"/>
              </w:rPr>
            </w:pPr>
          </w:p>
        </w:tc>
        <w:tc>
          <w:tcPr>
            <w:tcW w:w="10600" w:type="dxa"/>
            <w:vAlign w:val="bottom"/>
            <w:tcBorders>
              <w:top w:val="single" w:sz="8" w:color="BFE4FF"/>
            </w:tcBorders>
            <w:shd w:val="clear" w:color="auto" w:fill="BFE4FF"/>
          </w:tcPr>
          <w:p>
            <w:pPr>
              <w:ind w:left="500"/>
              <w:spacing w:after="0"/>
              <w:rPr>
                <w:sz w:val="20"/>
                <w:szCs w:val="20"/>
                <w:color w:val="auto"/>
              </w:rPr>
            </w:pPr>
            <w:r>
              <w:rPr>
                <w:rFonts w:ascii="Arial" w:cs="Arial" w:eastAsia="Arial" w:hAnsi="Arial"/>
                <w:sz w:val="16"/>
                <w:szCs w:val="16"/>
                <w:color w:val="auto"/>
                <w:w w:val="93"/>
              </w:rPr>
              <w:t>Mellon Trust Company, N.A., as trustee, and Western Digital Corporation (Filed as Exhibit 4.1 to the Company’s Current Report on Form 8-K (File No. 1-</w:t>
            </w:r>
          </w:p>
        </w:tc>
      </w:tr>
      <w:tr>
        <w:trPr>
          <w:trHeight w:val="219"/>
        </w:trPr>
        <w:tc>
          <w:tcPr>
            <w:tcW w:w="3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20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10600" w:type="dxa"/>
            <w:vAlign w:val="bottom"/>
            <w:tcBorders>
              <w:bottom w:val="single" w:sz="8" w:color="BFE4FF"/>
            </w:tcBorders>
            <w:shd w:val="clear" w:color="auto" w:fill="BFE4FF"/>
          </w:tcPr>
          <w:p>
            <w:pPr>
              <w:ind w:left="500"/>
              <w:spacing w:after="0"/>
              <w:rPr>
                <w:sz w:val="20"/>
                <w:szCs w:val="20"/>
                <w:color w:val="auto"/>
              </w:rPr>
            </w:pPr>
            <w:r>
              <w:rPr>
                <w:rFonts w:ascii="Arial" w:cs="Arial" w:eastAsia="Arial" w:hAnsi="Arial"/>
                <w:sz w:val="16"/>
                <w:szCs w:val="16"/>
                <w:color w:val="auto"/>
              </w:rPr>
              <w:t>08703) with the Securities and Exchange Commission on May 12, 2016)</w:t>
            </w:r>
          </w:p>
        </w:tc>
      </w:tr>
      <w:tr>
        <w:trPr>
          <w:trHeight w:val="189"/>
        </w:trPr>
        <w:tc>
          <w:tcPr>
            <w:tcW w:w="680" w:type="dxa"/>
            <w:vAlign w:val="bottom"/>
            <w:gridSpan w:val="4"/>
          </w:tcPr>
          <w:p>
            <w:pPr>
              <w:jc w:val="center"/>
              <w:ind w:left="399"/>
              <w:spacing w:after="0"/>
              <w:rPr>
                <w:rFonts w:ascii="Arial" w:cs="Arial" w:eastAsia="Arial" w:hAnsi="Arial"/>
                <w:sz w:val="16"/>
                <w:szCs w:val="16"/>
                <w:color w:val="0000FF"/>
                <w:w w:val="89"/>
              </w:rPr>
            </w:pPr>
            <w:hyperlink r:id="rId64">
              <w:r>
                <w:rPr>
                  <w:rFonts w:ascii="Arial" w:cs="Arial" w:eastAsia="Arial" w:hAnsi="Arial"/>
                  <w:sz w:val="16"/>
                  <w:szCs w:val="16"/>
                  <w:color w:val="0000FF"/>
                  <w:w w:val="89"/>
                </w:rPr>
                <w:t>4.</w:t>
              </w:r>
              <w:r>
                <w:rPr>
                  <w:rFonts w:ascii="Arial" w:cs="Arial" w:eastAsia="Arial" w:hAnsi="Arial"/>
                  <w:sz w:val="16"/>
                  <w:szCs w:val="16"/>
                  <w:u w:val="single" w:color="auto"/>
                  <w:color w:val="0000FF"/>
                  <w:w w:val="89"/>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w w:val="97"/>
              </w:rPr>
              <w:t>Indenture (including Form of 4.750% Senior Notes due 2026), dated as of February 13, 2018, among Western Digital Corporation; HGST, Inc., WD</w:t>
            </w: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w w:val="93"/>
              </w:rPr>
              <w:t>Media, LLC, Western Digital (Fremont), LLC and Western Digital Technologies, Inc., as guarantors; and U.S. Bank National Association, as trustee (Filed</w:t>
            </w: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w w:val="92"/>
              </w:rPr>
              <w:t>as Exhibit 4.1 to the Company’s Current Report on Form 8-K (File No. 333-222762) with the Securities and Exchange Commission on February 13, 2018)</w:t>
            </w:r>
          </w:p>
        </w:tc>
      </w:tr>
      <w:tr>
        <w:trPr>
          <w:trHeight w:val="33"/>
        </w:trPr>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89"/>
        </w:trPr>
        <w:tc>
          <w:tcPr>
            <w:tcW w:w="680" w:type="dxa"/>
            <w:vAlign w:val="bottom"/>
            <w:gridSpan w:val="4"/>
            <w:shd w:val="clear" w:color="auto" w:fill="BFE4FF"/>
          </w:tcPr>
          <w:p>
            <w:pPr>
              <w:jc w:val="center"/>
              <w:ind w:left="399"/>
              <w:spacing w:after="0"/>
              <w:rPr>
                <w:rFonts w:ascii="Arial" w:cs="Arial" w:eastAsia="Arial" w:hAnsi="Arial"/>
                <w:sz w:val="16"/>
                <w:szCs w:val="16"/>
                <w:color w:val="0000FF"/>
                <w:w w:val="89"/>
              </w:rPr>
            </w:pPr>
            <w:hyperlink r:id="rId65">
              <w:r>
                <w:rPr>
                  <w:rFonts w:ascii="Arial" w:cs="Arial" w:eastAsia="Arial" w:hAnsi="Arial"/>
                  <w:sz w:val="16"/>
                  <w:szCs w:val="16"/>
                  <w:color w:val="0000FF"/>
                  <w:w w:val="89"/>
                </w:rPr>
                <w:t>4.</w:t>
              </w:r>
              <w:r>
                <w:rPr>
                  <w:rFonts w:ascii="Arial" w:cs="Arial" w:eastAsia="Arial" w:hAnsi="Arial"/>
                  <w:sz w:val="16"/>
                  <w:szCs w:val="16"/>
                  <w:u w:val="single" w:color="auto"/>
                  <w:color w:val="0000FF"/>
                  <w:w w:val="89"/>
                </w:rPr>
                <w:t>4</w:t>
              </w:r>
            </w:hyperlink>
          </w:p>
        </w:tc>
        <w:tc>
          <w:tcPr>
            <w:tcW w:w="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10600" w:type="dxa"/>
            <w:vAlign w:val="bottom"/>
            <w:shd w:val="clear" w:color="auto" w:fill="BFE4FF"/>
          </w:tcPr>
          <w:p>
            <w:pPr>
              <w:ind w:left="500"/>
              <w:spacing w:after="0"/>
              <w:rPr>
                <w:sz w:val="20"/>
                <w:szCs w:val="20"/>
                <w:color w:val="auto"/>
              </w:rPr>
            </w:pPr>
            <w:r>
              <w:rPr>
                <w:rFonts w:ascii="Arial" w:cs="Arial" w:eastAsia="Arial" w:hAnsi="Arial"/>
                <w:sz w:val="16"/>
                <w:szCs w:val="16"/>
                <w:color w:val="auto"/>
                <w:w w:val="93"/>
              </w:rPr>
              <w:t>Indenture (including Form of 1.50% Convertible Senior Notes due 2024), dated as of February 13, 2018, among Western Digital Corporation; HGST, Inc.,</w:t>
            </w:r>
          </w:p>
        </w:tc>
      </w:tr>
      <w:tr>
        <w:trPr>
          <w:trHeight w:val="213"/>
        </w:trPr>
        <w:tc>
          <w:tcPr>
            <w:tcW w:w="38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20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BFE4FF"/>
            </w:tcBorders>
            <w:shd w:val="clear" w:color="auto" w:fill="BFE4FF"/>
          </w:tcPr>
          <w:p>
            <w:pPr>
              <w:spacing w:after="0"/>
              <w:rPr>
                <w:sz w:val="18"/>
                <w:szCs w:val="18"/>
                <w:color w:val="auto"/>
              </w:rPr>
            </w:pPr>
          </w:p>
        </w:tc>
        <w:tc>
          <w:tcPr>
            <w:tcW w:w="10600" w:type="dxa"/>
            <w:vAlign w:val="bottom"/>
            <w:tcBorders>
              <w:top w:val="single" w:sz="8" w:color="BFE4FF"/>
            </w:tcBorders>
            <w:shd w:val="clear" w:color="auto" w:fill="BFE4FF"/>
          </w:tcPr>
          <w:p>
            <w:pPr>
              <w:ind w:left="500"/>
              <w:spacing w:after="0"/>
              <w:rPr>
                <w:sz w:val="20"/>
                <w:szCs w:val="20"/>
                <w:color w:val="auto"/>
              </w:rPr>
            </w:pPr>
            <w:r>
              <w:rPr>
                <w:rFonts w:ascii="Arial" w:cs="Arial" w:eastAsia="Arial" w:hAnsi="Arial"/>
                <w:sz w:val="16"/>
                <w:szCs w:val="16"/>
                <w:color w:val="auto"/>
                <w:w w:val="94"/>
              </w:rPr>
              <w:t>WD Media, LLC, Western Digital (Fremont), LLC and Western Digital Technologies, Inc., as guarantors; and U.S. Bank National Association, as trustee</w:t>
            </w:r>
          </w:p>
        </w:tc>
      </w:tr>
      <w:tr>
        <w:trPr>
          <w:trHeight w:val="203"/>
        </w:trPr>
        <w:tc>
          <w:tcPr>
            <w:tcW w:w="38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20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10600" w:type="dxa"/>
            <w:vAlign w:val="bottom"/>
            <w:shd w:val="clear" w:color="auto" w:fill="BFE4FF"/>
          </w:tcPr>
          <w:p>
            <w:pPr>
              <w:ind w:left="500"/>
              <w:spacing w:after="0"/>
              <w:rPr>
                <w:sz w:val="20"/>
                <w:szCs w:val="20"/>
                <w:color w:val="auto"/>
              </w:rPr>
            </w:pPr>
            <w:r>
              <w:rPr>
                <w:rFonts w:ascii="Arial" w:cs="Arial" w:eastAsia="Arial" w:hAnsi="Arial"/>
                <w:sz w:val="16"/>
                <w:szCs w:val="16"/>
                <w:color w:val="auto"/>
                <w:w w:val="92"/>
              </w:rPr>
              <w:t>(Filed as Exhibit 4.2 to the Company’s Current Report on Form 8-K (File No. 333-222762) with the Securities and Exchange Commission on February 13,</w:t>
            </w:r>
          </w:p>
        </w:tc>
      </w:tr>
      <w:tr>
        <w:trPr>
          <w:trHeight w:val="219"/>
        </w:trPr>
        <w:tc>
          <w:tcPr>
            <w:tcW w:w="3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20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10600" w:type="dxa"/>
            <w:vAlign w:val="bottom"/>
            <w:tcBorders>
              <w:bottom w:val="single" w:sz="8" w:color="BFE4FF"/>
            </w:tcBorders>
            <w:shd w:val="clear" w:color="auto" w:fill="BFE4FF"/>
          </w:tcPr>
          <w:p>
            <w:pPr>
              <w:ind w:left="500"/>
              <w:spacing w:after="0"/>
              <w:rPr>
                <w:sz w:val="20"/>
                <w:szCs w:val="20"/>
                <w:color w:val="auto"/>
              </w:rPr>
            </w:pPr>
            <w:r>
              <w:rPr>
                <w:rFonts w:ascii="Arial" w:cs="Arial" w:eastAsia="Arial" w:hAnsi="Arial"/>
                <w:sz w:val="16"/>
                <w:szCs w:val="16"/>
                <w:color w:val="auto"/>
              </w:rPr>
              <w:t>2018)</w:t>
            </w:r>
          </w:p>
        </w:tc>
      </w:tr>
      <w:tr>
        <w:trPr>
          <w:trHeight w:val="189"/>
        </w:trPr>
        <w:tc>
          <w:tcPr>
            <w:tcW w:w="780" w:type="dxa"/>
            <w:vAlign w:val="bottom"/>
            <w:gridSpan w:val="6"/>
          </w:tcPr>
          <w:p>
            <w:pPr>
              <w:jc w:val="center"/>
              <w:ind w:left="299"/>
              <w:spacing w:after="0"/>
              <w:rPr>
                <w:rFonts w:ascii="Arial" w:cs="Arial" w:eastAsia="Arial" w:hAnsi="Arial"/>
                <w:sz w:val="16"/>
                <w:szCs w:val="16"/>
                <w:color w:val="0000FF"/>
                <w:w w:val="89"/>
              </w:rPr>
            </w:pPr>
            <w:hyperlink r:id="rId6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10600" w:type="dxa"/>
            <w:vAlign w:val="bottom"/>
          </w:tcPr>
          <w:p>
            <w:pPr>
              <w:ind w:left="500"/>
              <w:spacing w:after="0"/>
              <w:rPr>
                <w:sz w:val="20"/>
                <w:szCs w:val="20"/>
                <w:color w:val="auto"/>
              </w:rPr>
            </w:pPr>
            <w:r>
              <w:rPr>
                <w:rFonts w:ascii="Arial" w:cs="Arial" w:eastAsia="Arial" w:hAnsi="Arial"/>
                <w:sz w:val="16"/>
                <w:szCs w:val="16"/>
                <w:color w:val="auto"/>
              </w:rPr>
              <w:t>Western Digital Corporation 2017 Performance Incentive Plan (formerly named the Western Digital Corporation Amended and Restated 2004</w:t>
            </w: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w w:val="92"/>
              </w:rPr>
              <w:t>Performance Incentive Plan), amended and restated as of August 3, 2017 (Filed as Exhibit 10.1 to the Company’s Current Report on Form 8-K (File No. 1-</w:t>
            </w: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0" w:type="dxa"/>
            <w:vAlign w:val="bottom"/>
          </w:tcPr>
          <w:p>
            <w:pPr>
              <w:ind w:left="500"/>
              <w:spacing w:after="0"/>
              <w:rPr>
                <w:sz w:val="20"/>
                <w:szCs w:val="20"/>
                <w:color w:val="auto"/>
              </w:rPr>
            </w:pPr>
            <w:r>
              <w:rPr>
                <w:rFonts w:ascii="Arial" w:cs="Arial" w:eastAsia="Arial" w:hAnsi="Arial"/>
                <w:sz w:val="16"/>
                <w:szCs w:val="16"/>
                <w:color w:val="auto"/>
              </w:rPr>
              <w:t>08703) with the Securities and Exchange Commission on November 2, 2017)*</w:t>
            </w:r>
          </w:p>
        </w:tc>
      </w:tr>
      <w:tr>
        <w:trPr>
          <w:trHeight w:val="33"/>
        </w:trPr>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89"/>
        </w:trPr>
        <w:tc>
          <w:tcPr>
            <w:tcW w:w="780" w:type="dxa"/>
            <w:vAlign w:val="bottom"/>
            <w:gridSpan w:val="6"/>
            <w:shd w:val="clear" w:color="auto" w:fill="BFE4FF"/>
          </w:tcPr>
          <w:p>
            <w:pPr>
              <w:jc w:val="center"/>
              <w:ind w:left="299"/>
              <w:spacing w:after="0"/>
              <w:rPr>
                <w:rFonts w:ascii="Arial" w:cs="Arial" w:eastAsia="Arial" w:hAnsi="Arial"/>
                <w:sz w:val="16"/>
                <w:szCs w:val="16"/>
                <w:color w:val="0000FF"/>
                <w:w w:val="89"/>
              </w:rPr>
            </w:pPr>
            <w:hyperlink r:id="rId6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w:t>
              </w:r>
            </w:hyperlink>
          </w:p>
        </w:tc>
        <w:tc>
          <w:tcPr>
            <w:tcW w:w="10600" w:type="dxa"/>
            <w:vAlign w:val="bottom"/>
            <w:shd w:val="clear" w:color="auto" w:fill="BFE4FF"/>
          </w:tcPr>
          <w:p>
            <w:pPr>
              <w:ind w:left="500"/>
              <w:spacing w:after="0"/>
              <w:rPr>
                <w:sz w:val="20"/>
                <w:szCs w:val="20"/>
                <w:color w:val="auto"/>
              </w:rPr>
            </w:pPr>
            <w:r>
              <w:rPr>
                <w:rFonts w:ascii="Arial" w:cs="Arial" w:eastAsia="Arial" w:hAnsi="Arial"/>
                <w:sz w:val="16"/>
                <w:szCs w:val="16"/>
                <w:color w:val="auto"/>
                <w:w w:val="95"/>
              </w:rPr>
              <w:t>Form of Notice of Grant of Stock Option and Option Agreement - Executives, under the Western Digital Corporation 2017 Performance Incentive Plan</w:t>
            </w:r>
          </w:p>
        </w:tc>
      </w:tr>
      <w:tr>
        <w:trPr>
          <w:trHeight w:val="213"/>
        </w:trPr>
        <w:tc>
          <w:tcPr>
            <w:tcW w:w="38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0000FF"/>
            </w:tcBorders>
            <w:shd w:val="clear" w:color="auto" w:fill="BFE4FF"/>
          </w:tcPr>
          <w:p>
            <w:pPr>
              <w:spacing w:after="0"/>
              <w:rPr>
                <w:sz w:val="18"/>
                <w:szCs w:val="18"/>
                <w:color w:val="auto"/>
              </w:rPr>
            </w:pPr>
          </w:p>
        </w:tc>
        <w:tc>
          <w:tcPr>
            <w:tcW w:w="20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10600" w:type="dxa"/>
            <w:vAlign w:val="bottom"/>
            <w:tcBorders>
              <w:top w:val="single" w:sz="8" w:color="BFE4FF"/>
            </w:tcBorders>
            <w:shd w:val="clear" w:color="auto" w:fill="BFE4FF"/>
          </w:tcPr>
          <w:p>
            <w:pPr>
              <w:ind w:left="500"/>
              <w:spacing w:after="0"/>
              <w:rPr>
                <w:sz w:val="20"/>
                <w:szCs w:val="20"/>
                <w:color w:val="auto"/>
              </w:rPr>
            </w:pPr>
            <w:r>
              <w:rPr>
                <w:rFonts w:ascii="Arial" w:cs="Arial" w:eastAsia="Arial" w:hAnsi="Arial"/>
                <w:sz w:val="16"/>
                <w:szCs w:val="16"/>
                <w:color w:val="auto"/>
              </w:rPr>
              <w:t>(Filed as Exhibit 10.1.1 to the Company’s Quarterly Report on Form 10-Q (File No. 1-08703) with the Securities and Exchange Commission on</w:t>
            </w:r>
          </w:p>
        </w:tc>
      </w:tr>
      <w:tr>
        <w:trPr>
          <w:trHeight w:val="206"/>
        </w:trPr>
        <w:tc>
          <w:tcPr>
            <w:tcW w:w="38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20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10600" w:type="dxa"/>
            <w:vAlign w:val="bottom"/>
            <w:shd w:val="clear" w:color="auto" w:fill="BFE4FF"/>
          </w:tcPr>
          <w:p>
            <w:pPr>
              <w:ind w:left="500"/>
              <w:spacing w:after="0"/>
              <w:rPr>
                <w:sz w:val="20"/>
                <w:szCs w:val="20"/>
                <w:color w:val="auto"/>
              </w:rPr>
            </w:pPr>
            <w:r>
              <w:rPr>
                <w:rFonts w:ascii="Arial" w:cs="Arial" w:eastAsia="Arial" w:hAnsi="Arial"/>
                <w:sz w:val="16"/>
                <w:szCs w:val="16"/>
                <w:color w:val="auto"/>
              </w:rPr>
              <w:t>February 6, 2018)*</w:t>
            </w:r>
          </w:p>
        </w:tc>
      </w:tr>
      <w:tr>
        <w:trPr>
          <w:trHeight w:val="33"/>
        </w:trPr>
        <w:tc>
          <w:tcPr>
            <w:tcW w:w="380" w:type="dxa"/>
            <w:vAlign w:val="bottom"/>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40" w:type="dxa"/>
            <w:vAlign w:val="bottom"/>
            <w:shd w:val="clear" w:color="auto" w:fill="BFE4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40" w:type="dxa"/>
            <w:vAlign w:val="bottom"/>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10600" w:type="dxa"/>
            <w:vAlign w:val="bottom"/>
            <w:shd w:val="clear" w:color="auto" w:fill="BFE4FF"/>
          </w:tcPr>
          <w:p>
            <w:pPr>
              <w:spacing w:after="0"/>
              <w:rPr>
                <w:sz w:val="2"/>
                <w:szCs w:val="2"/>
                <w:color w:val="auto"/>
              </w:rPr>
            </w:pPr>
          </w:p>
        </w:tc>
      </w:tr>
    </w:tbl>
    <w:p>
      <w:pPr>
        <w:sectPr>
          <w:pgSz w:w="11900" w:h="16838" w:orient="portrait"/>
          <w:cols w:equalWidth="0" w:num="1">
            <w:col w:w="11400"/>
          </w:cols>
          <w:pgMar w:left="240" w:top="125" w:right="259" w:bottom="1440" w:gutter="0" w:footer="0" w:header="0"/>
          <w:type w:val="continuous"/>
        </w:sectPr>
      </w:pPr>
    </w:p>
    <w:bookmarkStart w:id="133" w:name="page134"/>
    <w:bookmarkEnd w:id="1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left="400"/>
        <w:spacing w:after="0"/>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10.1.2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64319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48"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Form of Notice of Grant of Stock Option and Option Agreement - Non-Executives, under the Western Digital Corporation 2017 Performance Incentive Plan (Filed as Exhibit 10.1.2 to the Company’s Quarterly Report on Form 10-Q (File No. 1-08703) with the Securities and Exchange Commission on February 6, 2018)*</w:t>
      </w:r>
    </w:p>
    <w:p>
      <w:pPr>
        <w:spacing w:after="0" w:line="5"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r:id="rId7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1.3</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9"/>
              </w:rPr>
              <w:t>Form of Notice of Grant of Stock Units and Stock Unit Award Agreement - Executives, under the Western Digital Corporation 2017 Performance</w:t>
            </w:r>
          </w:p>
        </w:tc>
      </w:tr>
      <w:tr>
        <w:trPr>
          <w:trHeight w:val="213"/>
        </w:trPr>
        <w:tc>
          <w:tcPr>
            <w:tcW w:w="34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28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10560" w:type="dxa"/>
            <w:vAlign w:val="bottom"/>
            <w:tcBorders>
              <w:top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Incentive Plan (Filed as Exhibit 10.1.3 to the Company’s Quarterly Report on Form 10-Q (File No. 1-08703) with the Securities and Exchange</w:t>
            </w:r>
          </w:p>
        </w:tc>
      </w:tr>
      <w:tr>
        <w:trPr>
          <w:trHeight w:val="219"/>
        </w:trPr>
        <w:tc>
          <w:tcPr>
            <w:tcW w:w="34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0560" w:type="dxa"/>
            <w:vAlign w:val="bottom"/>
            <w:tcBorders>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Commission on February 6, 2018)*</w:t>
            </w:r>
          </w:p>
        </w:tc>
      </w:tr>
      <w:tr>
        <w:trPr>
          <w:trHeight w:val="189"/>
        </w:trPr>
        <w:tc>
          <w:tcPr>
            <w:tcW w:w="780" w:type="dxa"/>
            <w:vAlign w:val="bottom"/>
            <w:gridSpan w:val="5"/>
          </w:tcPr>
          <w:p>
            <w:pPr>
              <w:jc w:val="center"/>
              <w:ind w:left="299"/>
              <w:spacing w:after="0"/>
              <w:rPr>
                <w:rFonts w:ascii="Arial" w:cs="Arial" w:eastAsia="Arial" w:hAnsi="Arial"/>
                <w:sz w:val="16"/>
                <w:szCs w:val="16"/>
                <w:color w:val="0000FF"/>
                <w:w w:val="89"/>
              </w:rPr>
            </w:pPr>
            <w:hyperlink r:id="rId7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1.4</w:t>
              </w:r>
            </w:hyperlink>
          </w:p>
        </w:tc>
        <w:tc>
          <w:tcPr>
            <w:tcW w:w="4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Form of Notice of Grant of Stock Units and Stock Unit Award Agreement, under the Western Digital Corporation 2017 Performance Incentive Plan (Filed</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6"/>
              </w:rPr>
              <w:t>as Exhibit 10.1.4 to the Company’s Quarterly Report on Form 10-Q (File No. 1-08703) with the Securities and Exchange Commission on February 6,</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2018)*</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r:id="rId7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1.5</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3"/>
              </w:rPr>
              <w:t>Form of Notice of Grant of Performance Stock Units and Performance Stock Unit Award Agreement - Executives, under the Western Digital Corporation</w:t>
            </w:r>
          </w:p>
        </w:tc>
      </w:tr>
      <w:tr>
        <w:trPr>
          <w:trHeight w:val="213"/>
        </w:trPr>
        <w:tc>
          <w:tcPr>
            <w:tcW w:w="34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28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10560" w:type="dxa"/>
            <w:vAlign w:val="bottom"/>
            <w:tcBorders>
              <w:top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w w:val="95"/>
              </w:rPr>
              <w:t>2017 Performance Incentive Plan (Filed as Exhibit 10.1.5 to the Company’s Quarterly Report on Form 10-Q (File No. 1-08703) with the Securities and</w:t>
            </w:r>
          </w:p>
        </w:tc>
      </w:tr>
      <w:tr>
        <w:trPr>
          <w:trHeight w:val="219"/>
        </w:trPr>
        <w:tc>
          <w:tcPr>
            <w:tcW w:w="34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0560" w:type="dxa"/>
            <w:vAlign w:val="bottom"/>
            <w:tcBorders>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Exchange Commission on February 6, 2018)*</w:t>
            </w:r>
          </w:p>
        </w:tc>
      </w:tr>
      <w:tr>
        <w:trPr>
          <w:trHeight w:val="189"/>
        </w:trPr>
        <w:tc>
          <w:tcPr>
            <w:tcW w:w="780" w:type="dxa"/>
            <w:vAlign w:val="bottom"/>
            <w:gridSpan w:val="5"/>
          </w:tcPr>
          <w:p>
            <w:pPr>
              <w:jc w:val="center"/>
              <w:ind w:left="299"/>
              <w:spacing w:after="0"/>
              <w:rPr>
                <w:rFonts w:ascii="Arial" w:cs="Arial" w:eastAsia="Arial" w:hAnsi="Arial"/>
                <w:sz w:val="16"/>
                <w:szCs w:val="16"/>
                <w:color w:val="0000FF"/>
                <w:w w:val="89"/>
              </w:rPr>
            </w:pPr>
            <w:hyperlink r:id="rId7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1.6</w:t>
              </w:r>
            </w:hyperlink>
          </w:p>
        </w:tc>
        <w:tc>
          <w:tcPr>
            <w:tcW w:w="4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Form of Notice of Grant of Stock Option and Option Agreement - Executives, as amended on November 3, 2015, under the Western Digital Corporation</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2"/>
              </w:rPr>
              <w:t>Amended and Restated 2004 Performance Incentive Plan (now named the Western Digital Corporation 2017 Performance Incentive Plan) (Filed as Exhibit</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7"/>
              </w:rPr>
              <w:t>10.1.1 to the Company’s Quarterly Report on Form 10-Q (File No. 1-08703) with the Securities and Exchange Commission on February 10, 2016)*</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r:id="rId7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1.7</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9"/>
              </w:rPr>
              <w:t>Form of Notice of Grant of Stock Option and Option Agreement - Non-Executives, as amended on November 3, 2015, under the Western Digital</w:t>
            </w:r>
          </w:p>
        </w:tc>
      </w:tr>
      <w:tr>
        <w:trPr>
          <w:trHeight w:val="213"/>
        </w:trPr>
        <w:tc>
          <w:tcPr>
            <w:tcW w:w="34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28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10560" w:type="dxa"/>
            <w:vAlign w:val="bottom"/>
            <w:tcBorders>
              <w:top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w w:val="94"/>
              </w:rPr>
              <w:t>Corporation Amended and Restated 2004 Performance Incentive Plan (now named the Western Digital Corporation 2017 Performance Incentive Plan)</w:t>
            </w:r>
          </w:p>
        </w:tc>
      </w:tr>
      <w:tr>
        <w:trPr>
          <w:trHeight w:val="203"/>
        </w:trPr>
        <w:tc>
          <w:tcPr>
            <w:tcW w:w="34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28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3"/>
              </w:rPr>
              <w:t>(Filed as Exhibit 10.1.2 to the Company’s Quarterly Report on Form 10-Q (File No. 1-08703) with the Securities and Exchange Commission on February</w:t>
            </w:r>
          </w:p>
        </w:tc>
      </w:tr>
      <w:tr>
        <w:trPr>
          <w:trHeight w:val="219"/>
        </w:trPr>
        <w:tc>
          <w:tcPr>
            <w:tcW w:w="34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0560" w:type="dxa"/>
            <w:vAlign w:val="bottom"/>
            <w:tcBorders>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10, 2016)*</w:t>
            </w:r>
          </w:p>
        </w:tc>
      </w:tr>
      <w:tr>
        <w:trPr>
          <w:trHeight w:val="189"/>
        </w:trPr>
        <w:tc>
          <w:tcPr>
            <w:tcW w:w="780" w:type="dxa"/>
            <w:vAlign w:val="bottom"/>
            <w:gridSpan w:val="5"/>
          </w:tcPr>
          <w:p>
            <w:pPr>
              <w:jc w:val="center"/>
              <w:ind w:left="299"/>
              <w:spacing w:after="0"/>
              <w:rPr>
                <w:rFonts w:ascii="Arial" w:cs="Arial" w:eastAsia="Arial" w:hAnsi="Arial"/>
                <w:sz w:val="16"/>
                <w:szCs w:val="16"/>
                <w:color w:val="0000FF"/>
                <w:w w:val="89"/>
              </w:rPr>
            </w:pPr>
            <w:hyperlink r:id="rId7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1.8</w:t>
              </w:r>
            </w:hyperlink>
          </w:p>
        </w:tc>
        <w:tc>
          <w:tcPr>
            <w:tcW w:w="4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6"/>
              </w:rPr>
              <w:t>Form of Notice of Grant of Stock Units and Stock Unit Award Agreement - Executives, as amended on November 3, 2015, under the Western Digital</w:t>
            </w:r>
          </w:p>
        </w:tc>
      </w:tr>
      <w:tr>
        <w:trPr>
          <w:trHeight w:val="213"/>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Corporation Amended and Restated 2004 Performance Incentive Plan (now named the Western Digital Corporation 2017 Performance Incentive Plan)</w:t>
            </w:r>
          </w:p>
        </w:tc>
      </w:tr>
      <w:tr>
        <w:trPr>
          <w:trHeight w:val="203"/>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(Filed as Exhibit 10.1.3 to the Company’s Quarterly Report on Form 10-Q (File No. 1-08703) with the Securities and Exchange Commission on February</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10, 2016)*</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r:id="rId7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1.9</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6"/>
              </w:rPr>
              <w:t>Form of Notice of Grant of Stock Units and Stock Unit Award Agreement, as amended on November 3, 2015, under the Western Digital Corporation</w:t>
            </w:r>
          </w:p>
        </w:tc>
      </w:tr>
      <w:tr>
        <w:trPr>
          <w:trHeight w:val="213"/>
        </w:trPr>
        <w:tc>
          <w:tcPr>
            <w:tcW w:w="34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28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10560" w:type="dxa"/>
            <w:vAlign w:val="bottom"/>
            <w:tcBorders>
              <w:top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w w:val="92"/>
              </w:rPr>
              <w:t>Amended and Restated 2004 Performance Incentive Plan (now named the Western Digital Corporation 2017 Performance Incentive Plan) (Filed as Exhibit</w:t>
            </w:r>
          </w:p>
        </w:tc>
      </w:tr>
      <w:tr>
        <w:trPr>
          <w:trHeight w:val="219"/>
        </w:trPr>
        <w:tc>
          <w:tcPr>
            <w:tcW w:w="34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0560" w:type="dxa"/>
            <w:vAlign w:val="bottom"/>
            <w:tcBorders>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w w:val="97"/>
              </w:rPr>
              <w:t>10.1.4 to the Company’s Quarterly Report on Form 10-Q (File No. 1-08703) with the Securities and Exchange Commission on February 10, 2016)*</w:t>
            </w:r>
          </w:p>
        </w:tc>
      </w:tr>
      <w:tr>
        <w:trPr>
          <w:trHeight w:val="189"/>
        </w:trPr>
        <w:tc>
          <w:tcPr>
            <w:tcW w:w="820" w:type="dxa"/>
            <w:vAlign w:val="bottom"/>
            <w:gridSpan w:val="6"/>
          </w:tcPr>
          <w:p>
            <w:pPr>
              <w:jc w:val="center"/>
              <w:ind w:left="259"/>
              <w:spacing w:after="0"/>
              <w:rPr>
                <w:rFonts w:ascii="Arial" w:cs="Arial" w:eastAsia="Arial" w:hAnsi="Arial"/>
                <w:sz w:val="16"/>
                <w:szCs w:val="16"/>
                <w:color w:val="0000FF"/>
                <w:w w:val="89"/>
              </w:rPr>
            </w:pPr>
            <w:hyperlink r:id="rId7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1.10</w:t>
              </w:r>
            </w:hyperlink>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Form of Notice of Grant of Performance Stock Units and Performance Stock Unit Award Agreement for Mark Long, dated September 17, 2015, under the</w:t>
            </w:r>
          </w:p>
        </w:tc>
      </w:tr>
      <w:tr>
        <w:trPr>
          <w:trHeight w:val="213"/>
        </w:trPr>
        <w:tc>
          <w:tcPr>
            <w:tcW w:w="3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Western Digital Corporation Amended and Restated 2004 Performance Incentive Plan (now named the Western Digital Corporation 2017 Performance</w:t>
            </w:r>
          </w:p>
        </w:tc>
      </w:tr>
      <w:tr>
        <w:trPr>
          <w:trHeight w:val="203"/>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Incentive Plan) (Filed as Exhibit 10.2 to the Company’s Quarterly Report on Form 10-Q (File No. 1-08703) with the Securities and Exchange Commission</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on November 10, 2015)*</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820" w:type="dxa"/>
            <w:vAlign w:val="bottom"/>
            <w:gridSpan w:val="6"/>
            <w:shd w:val="clear" w:color="auto" w:fill="BFE4FF"/>
          </w:tcPr>
          <w:p>
            <w:pPr>
              <w:jc w:val="center"/>
              <w:ind w:left="259"/>
              <w:spacing w:after="0"/>
              <w:rPr>
                <w:rFonts w:ascii="Arial" w:cs="Arial" w:eastAsia="Arial" w:hAnsi="Arial"/>
                <w:sz w:val="16"/>
                <w:szCs w:val="16"/>
                <w:color w:val="0000FF"/>
                <w:w w:val="89"/>
              </w:rPr>
            </w:pPr>
            <w:hyperlink r:id="rId7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1.11</w:t>
              </w:r>
            </w:hyperlink>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6"/>
              </w:rPr>
              <w:t>Form of Notice of Grant of Performance Stock Units and Performance Stock Unit Award Agreement (revised March 2016) under the Western Digital</w:t>
            </w:r>
          </w:p>
        </w:tc>
      </w:tr>
      <w:tr>
        <w:trPr>
          <w:trHeight w:val="213"/>
        </w:trPr>
        <w:tc>
          <w:tcPr>
            <w:tcW w:w="34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28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0000FF"/>
            </w:tcBorders>
            <w:shd w:val="clear" w:color="auto" w:fill="BFE4FF"/>
          </w:tcPr>
          <w:p>
            <w:pPr>
              <w:spacing w:after="0"/>
              <w:rPr>
                <w:sz w:val="18"/>
                <w:szCs w:val="18"/>
                <w:color w:val="auto"/>
              </w:rPr>
            </w:pPr>
          </w:p>
        </w:tc>
        <w:tc>
          <w:tcPr>
            <w:tcW w:w="10560" w:type="dxa"/>
            <w:vAlign w:val="bottom"/>
            <w:tcBorders>
              <w:top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w w:val="94"/>
              </w:rPr>
              <w:t>Corporation Amended and Restated 2004 Performance Incentive Plan (now named the Western Digital Corporation 2017 Performance Incentive Plan)</w:t>
            </w:r>
          </w:p>
        </w:tc>
      </w:tr>
      <w:tr>
        <w:trPr>
          <w:trHeight w:val="203"/>
        </w:trPr>
        <w:tc>
          <w:tcPr>
            <w:tcW w:w="34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280" w:type="dxa"/>
            <w:vAlign w:val="bottom"/>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6"/>
              </w:rPr>
              <w:t>(Filed as Exhibit 10.1 to the Company’s Quarterly Report on Form 10-Q (File No. 1-08703) with the Securities and Exchange Commission on May 9,</w:t>
            </w:r>
          </w:p>
        </w:tc>
      </w:tr>
      <w:tr>
        <w:trPr>
          <w:trHeight w:val="219"/>
        </w:trPr>
        <w:tc>
          <w:tcPr>
            <w:tcW w:w="34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0560" w:type="dxa"/>
            <w:vAlign w:val="bottom"/>
            <w:tcBorders>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2016)*</w:t>
            </w:r>
          </w:p>
        </w:tc>
      </w:tr>
      <w:tr>
        <w:trPr>
          <w:trHeight w:val="189"/>
        </w:trPr>
        <w:tc>
          <w:tcPr>
            <w:tcW w:w="820" w:type="dxa"/>
            <w:vAlign w:val="bottom"/>
            <w:gridSpan w:val="6"/>
          </w:tcPr>
          <w:p>
            <w:pPr>
              <w:jc w:val="center"/>
              <w:ind w:left="259"/>
              <w:spacing w:after="0"/>
              <w:rPr>
                <w:rFonts w:ascii="Arial" w:cs="Arial" w:eastAsia="Arial" w:hAnsi="Arial"/>
                <w:sz w:val="16"/>
                <w:szCs w:val="16"/>
                <w:color w:val="0000FF"/>
                <w:w w:val="89"/>
              </w:rPr>
            </w:pPr>
            <w:hyperlink r:id="rId8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1.12</w:t>
              </w:r>
            </w:hyperlink>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Western Digital Corporation Amended and Restated 2004 Performance Incentive Plan (now named the Western Digital Corporation 2017 Performance</w:t>
            </w:r>
          </w:p>
        </w:tc>
      </w:tr>
      <w:tr>
        <w:trPr>
          <w:trHeight w:val="213"/>
        </w:trPr>
        <w:tc>
          <w:tcPr>
            <w:tcW w:w="3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Incentive Plan) Non-Employee Director Option Grant Program, as amended September 6, 2012, and Form of Notice of Grant of Stock Option and Option</w:t>
            </w:r>
          </w:p>
        </w:tc>
      </w:tr>
      <w:tr>
        <w:trPr>
          <w:trHeight w:val="203"/>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Agreement - Non-Employee Directors (Filed as Exhibit 10.5 to the Company’s Quarterly Report on Form 10-Q (File No. 1-08703) with the Securities and</w:t>
            </w:r>
          </w:p>
        </w:tc>
      </w:tr>
      <w:tr>
        <w:trPr>
          <w:trHeight w:val="20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Exchange Commission on November 2, 2012)*</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820" w:type="dxa"/>
            <w:vAlign w:val="bottom"/>
            <w:gridSpan w:val="6"/>
            <w:shd w:val="clear" w:color="auto" w:fill="BFE4FF"/>
          </w:tcPr>
          <w:p>
            <w:pPr>
              <w:jc w:val="center"/>
              <w:ind w:left="259"/>
              <w:spacing w:after="0"/>
              <w:rPr>
                <w:rFonts w:ascii="Arial" w:cs="Arial" w:eastAsia="Arial" w:hAnsi="Arial"/>
                <w:sz w:val="16"/>
                <w:szCs w:val="16"/>
                <w:color w:val="0000FF"/>
                <w:w w:val="89"/>
              </w:rPr>
            </w:pPr>
            <w:hyperlink r:id="rId8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1.13</w:t>
              </w:r>
            </w:hyperlink>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4"/>
              </w:rPr>
              <w:t>Western Digital Corporation 2017 Performance Incentive Plan Non-Employee Director Restricted Stock Unit Grant Program, as amended November 1,</w:t>
            </w:r>
          </w:p>
        </w:tc>
      </w:tr>
      <w:tr>
        <w:trPr>
          <w:trHeight w:val="213"/>
        </w:trPr>
        <w:tc>
          <w:tcPr>
            <w:tcW w:w="34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28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0000FF"/>
            </w:tcBorders>
            <w:shd w:val="clear" w:color="auto" w:fill="BFE4FF"/>
          </w:tcPr>
          <w:p>
            <w:pPr>
              <w:spacing w:after="0"/>
              <w:rPr>
                <w:sz w:val="18"/>
                <w:szCs w:val="18"/>
                <w:color w:val="auto"/>
              </w:rPr>
            </w:pPr>
          </w:p>
        </w:tc>
        <w:tc>
          <w:tcPr>
            <w:tcW w:w="40" w:type="dxa"/>
            <w:vAlign w:val="bottom"/>
            <w:tcBorders>
              <w:top w:val="single" w:sz="8" w:color="0000FF"/>
            </w:tcBorders>
            <w:shd w:val="clear" w:color="auto" w:fill="BFE4FF"/>
          </w:tcPr>
          <w:p>
            <w:pPr>
              <w:spacing w:after="0"/>
              <w:rPr>
                <w:sz w:val="18"/>
                <w:szCs w:val="18"/>
                <w:color w:val="auto"/>
              </w:rPr>
            </w:pPr>
          </w:p>
        </w:tc>
        <w:tc>
          <w:tcPr>
            <w:tcW w:w="10560" w:type="dxa"/>
            <w:vAlign w:val="bottom"/>
            <w:tcBorders>
              <w:top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w w:val="97"/>
              </w:rPr>
              <w:t>2017 (Filed as Exhibit 10.2 to the Company’s Quarterly Report on Form 10-Q (File No. 1-08703) with the Securities and Exchange Commission on</w:t>
            </w:r>
          </w:p>
        </w:tc>
      </w:tr>
      <w:tr>
        <w:trPr>
          <w:trHeight w:val="219"/>
        </w:trPr>
        <w:tc>
          <w:tcPr>
            <w:tcW w:w="34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BFE4FF"/>
            </w:tcBorders>
            <w:shd w:val="clear" w:color="auto" w:fill="BFE4FF"/>
          </w:tcPr>
          <w:p>
            <w:pPr>
              <w:spacing w:after="0"/>
              <w:rPr>
                <w:sz w:val="19"/>
                <w:szCs w:val="19"/>
                <w:color w:val="auto"/>
              </w:rPr>
            </w:pPr>
          </w:p>
        </w:tc>
        <w:tc>
          <w:tcPr>
            <w:tcW w:w="60" w:type="dxa"/>
            <w:vAlign w:val="bottom"/>
            <w:tcBorders>
              <w:bottom w:val="single" w:sz="8" w:color="BFE4FF"/>
            </w:tcBorders>
            <w:shd w:val="clear" w:color="auto" w:fill="BFE4FF"/>
          </w:tcPr>
          <w:p>
            <w:pPr>
              <w:spacing w:after="0"/>
              <w:rPr>
                <w:sz w:val="19"/>
                <w:szCs w:val="19"/>
                <w:color w:val="auto"/>
              </w:rPr>
            </w:pPr>
          </w:p>
        </w:tc>
        <w:tc>
          <w:tcPr>
            <w:tcW w:w="40" w:type="dxa"/>
            <w:vAlign w:val="bottom"/>
            <w:tcBorders>
              <w:bottom w:val="single" w:sz="8" w:color="BFE4FF"/>
            </w:tcBorders>
            <w:shd w:val="clear" w:color="auto" w:fill="BFE4FF"/>
          </w:tcPr>
          <w:p>
            <w:pPr>
              <w:spacing w:after="0"/>
              <w:rPr>
                <w:sz w:val="19"/>
                <w:szCs w:val="19"/>
                <w:color w:val="auto"/>
              </w:rPr>
            </w:pPr>
          </w:p>
        </w:tc>
        <w:tc>
          <w:tcPr>
            <w:tcW w:w="10560" w:type="dxa"/>
            <w:vAlign w:val="bottom"/>
            <w:tcBorders>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February 6, 2018)*</w:t>
            </w:r>
          </w:p>
        </w:tc>
      </w:tr>
      <w:tr>
        <w:trPr>
          <w:trHeight w:val="189"/>
        </w:trPr>
        <w:tc>
          <w:tcPr>
            <w:tcW w:w="820" w:type="dxa"/>
            <w:vAlign w:val="bottom"/>
            <w:gridSpan w:val="6"/>
          </w:tcPr>
          <w:p>
            <w:pPr>
              <w:jc w:val="center"/>
              <w:ind w:left="259"/>
              <w:spacing w:after="0"/>
              <w:rPr>
                <w:rFonts w:ascii="Arial" w:cs="Arial" w:eastAsia="Arial" w:hAnsi="Arial"/>
                <w:sz w:val="16"/>
                <w:szCs w:val="16"/>
                <w:color w:val="0000FF"/>
                <w:w w:val="89"/>
              </w:rPr>
            </w:pPr>
            <w:hyperlink r:id="rId8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1.14</w:t>
              </w:r>
            </w:hyperlink>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Western Digital Corporation Incentive Compensation Plan, as Amended and Restated August 5, 2015 (Filed as Exhibit 10.1.8 to the Company’s Annual</w:t>
            </w:r>
          </w:p>
        </w:tc>
      </w:tr>
      <w:tr>
        <w:trPr>
          <w:trHeight w:val="217"/>
        </w:trPr>
        <w:tc>
          <w:tcPr>
            <w:tcW w:w="3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560" w:type="dxa"/>
            <w:vAlign w:val="bottom"/>
          </w:tcPr>
          <w:p>
            <w:pPr>
              <w:ind w:left="460"/>
              <w:spacing w:after="0" w:line="184" w:lineRule="exact"/>
              <w:rPr>
                <w:sz w:val="20"/>
                <w:szCs w:val="20"/>
                <w:color w:val="auto"/>
              </w:rPr>
            </w:pPr>
            <w:r>
              <w:rPr>
                <w:rFonts w:ascii="Arial" w:cs="Arial" w:eastAsia="Arial" w:hAnsi="Arial"/>
                <w:sz w:val="16"/>
                <w:szCs w:val="16"/>
                <w:color w:val="auto"/>
              </w:rPr>
              <w:t>Report on Form 10</w:t>
            </w:r>
            <w:r>
              <w:rPr>
                <w:rFonts w:ascii="MS PGothic" w:cs="MS PGothic" w:eastAsia="MS PGothic" w:hAnsi="MS PGothic"/>
                <w:sz w:val="16"/>
                <w:szCs w:val="16"/>
                <w:color w:val="auto"/>
              </w:rPr>
              <w:t>‑</w:t>
            </w:r>
            <w:r>
              <w:rPr>
                <w:rFonts w:ascii="Arial" w:cs="Arial" w:eastAsia="Arial" w:hAnsi="Arial"/>
                <w:sz w:val="16"/>
                <w:szCs w:val="16"/>
                <w:color w:val="auto"/>
              </w:rPr>
              <w:t>K (File No. 1-08703) with the Securities and Exchange Commission on August 21, 2015)*</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r:id="rId8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7"/>
              </w:rPr>
              <w:t>Western Digital Corporation 2005 Employee Stock Purchase Plan, as amended August 5, 2015 (Filed as Exhibit 4.2 to the Company’s Registration</w:t>
            </w:r>
          </w:p>
        </w:tc>
      </w:tr>
      <w:tr>
        <w:trPr>
          <w:trHeight w:val="230"/>
        </w:trPr>
        <w:tc>
          <w:tcPr>
            <w:tcW w:w="340" w:type="dxa"/>
            <w:vAlign w:val="bottom"/>
            <w:tcBorders>
              <w:top w:val="single" w:sz="8" w:color="BFE4FF"/>
              <w:bottom w:val="single" w:sz="8" w:color="BFE4FF"/>
            </w:tcBorders>
            <w:shd w:val="clear" w:color="auto" w:fill="BFE4FF"/>
          </w:tcPr>
          <w:p>
            <w:pPr>
              <w:spacing w:after="0"/>
              <w:rPr>
                <w:sz w:val="20"/>
                <w:szCs w:val="20"/>
                <w:color w:val="auto"/>
              </w:rPr>
            </w:pPr>
          </w:p>
        </w:tc>
        <w:tc>
          <w:tcPr>
            <w:tcW w:w="40" w:type="dxa"/>
            <w:vAlign w:val="bottom"/>
            <w:tcBorders>
              <w:top w:val="single" w:sz="8" w:color="BFE4FF"/>
              <w:bottom w:val="single" w:sz="8" w:color="BFE4FF"/>
            </w:tcBorders>
            <w:shd w:val="clear" w:color="auto" w:fill="BFE4FF"/>
          </w:tcPr>
          <w:p>
            <w:pPr>
              <w:spacing w:after="0"/>
              <w:rPr>
                <w:sz w:val="20"/>
                <w:szCs w:val="20"/>
                <w:color w:val="auto"/>
              </w:rPr>
            </w:pP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280" w:type="dxa"/>
            <w:vAlign w:val="bottom"/>
            <w:tcBorders>
              <w:top w:val="single" w:sz="8" w:color="0000FF"/>
              <w:bottom w:val="single" w:sz="8" w:color="BFE4FF"/>
            </w:tcBorders>
            <w:shd w:val="clear" w:color="auto" w:fill="BFE4FF"/>
          </w:tcPr>
          <w:p>
            <w:pPr>
              <w:spacing w:after="0"/>
              <w:rPr>
                <w:sz w:val="20"/>
                <w:szCs w:val="20"/>
                <w:color w:val="auto"/>
              </w:rPr>
            </w:pP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40" w:type="dxa"/>
            <w:vAlign w:val="bottom"/>
            <w:tcBorders>
              <w:top w:val="single" w:sz="8" w:color="BFE4FF"/>
              <w:bottom w:val="single" w:sz="8" w:color="BFE4FF"/>
            </w:tcBorders>
            <w:shd w:val="clear" w:color="auto" w:fill="BFE4FF"/>
          </w:tcPr>
          <w:p>
            <w:pPr>
              <w:spacing w:after="0"/>
              <w:rPr>
                <w:sz w:val="20"/>
                <w:szCs w:val="20"/>
                <w:color w:val="auto"/>
              </w:rPr>
            </w:pPr>
          </w:p>
        </w:tc>
        <w:tc>
          <w:tcPr>
            <w:tcW w:w="10560" w:type="dxa"/>
            <w:vAlign w:val="bottom"/>
            <w:tcBorders>
              <w:top w:val="single" w:sz="8" w:color="BFE4FF"/>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Statement on Form S-8 (File No. 333-207842) with the Securities and Exchange Commission on November 5, 2015)*</w:t>
            </w:r>
          </w:p>
        </w:tc>
      </w:tr>
      <w:tr>
        <w:trPr>
          <w:trHeight w:val="189"/>
        </w:trPr>
        <w:tc>
          <w:tcPr>
            <w:tcW w:w="780" w:type="dxa"/>
            <w:vAlign w:val="bottom"/>
            <w:gridSpan w:val="5"/>
          </w:tcPr>
          <w:p>
            <w:pPr>
              <w:jc w:val="center"/>
              <w:ind w:left="299"/>
              <w:spacing w:after="0"/>
              <w:rPr>
                <w:rFonts w:ascii="Arial" w:cs="Arial" w:eastAsia="Arial" w:hAnsi="Arial"/>
                <w:sz w:val="16"/>
                <w:szCs w:val="16"/>
                <w:color w:val="0000FF"/>
                <w:w w:val="89"/>
              </w:rPr>
            </w:pPr>
            <w:hyperlink r:id="rId8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hyperlink>
          </w:p>
        </w:tc>
        <w:tc>
          <w:tcPr>
            <w:tcW w:w="4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6"/>
              </w:rPr>
              <w:t>SanDisk Corporation 2013 Incentive Plan (Filed as Exhibit 4.2 to the Company’s Registration Statement on Form S-8 (File No. 333-211420) with the</w:t>
            </w:r>
          </w:p>
        </w:tc>
      </w:tr>
      <w:tr>
        <w:trPr>
          <w:trHeight w:val="217"/>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Securities and Exchange Commission on May 17, 2016)*</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w:anchor="page13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rPr>
              <w:t>Western Digital Corporation Summary of Compensation Arrangements for Named Executive Officers and Directors†*</w:t>
            </w:r>
          </w:p>
        </w:tc>
      </w:tr>
      <w:tr>
        <w:trPr>
          <w:trHeight w:val="61"/>
        </w:trPr>
        <w:tc>
          <w:tcPr>
            <w:tcW w:w="340" w:type="dxa"/>
            <w:vAlign w:val="bottom"/>
            <w:tcBorders>
              <w:top w:val="single" w:sz="8" w:color="BFE4FF"/>
            </w:tcBorders>
            <w:shd w:val="clear" w:color="auto" w:fill="BFE4FF"/>
          </w:tcPr>
          <w:p>
            <w:pPr>
              <w:spacing w:after="0"/>
              <w:rPr>
                <w:sz w:val="5"/>
                <w:szCs w:val="5"/>
                <w:color w:val="auto"/>
              </w:rPr>
            </w:pPr>
          </w:p>
        </w:tc>
        <w:tc>
          <w:tcPr>
            <w:tcW w:w="40" w:type="dxa"/>
            <w:vAlign w:val="bottom"/>
            <w:tcBorders>
              <w:top w:val="single" w:sz="8" w:color="BFE4FF"/>
            </w:tcBorders>
            <w:shd w:val="clear" w:color="auto" w:fill="BFE4FF"/>
          </w:tcPr>
          <w:p>
            <w:pPr>
              <w:spacing w:after="0"/>
              <w:rPr>
                <w:sz w:val="5"/>
                <w:szCs w:val="5"/>
                <w:color w:val="auto"/>
              </w:rPr>
            </w:pPr>
          </w:p>
        </w:tc>
        <w:tc>
          <w:tcPr>
            <w:tcW w:w="60" w:type="dxa"/>
            <w:vAlign w:val="bottom"/>
            <w:tcBorders>
              <w:top w:val="single" w:sz="8" w:color="BFE4FF"/>
            </w:tcBorders>
            <w:shd w:val="clear" w:color="auto" w:fill="BFE4FF"/>
          </w:tcPr>
          <w:p>
            <w:pPr>
              <w:spacing w:after="0"/>
              <w:rPr>
                <w:sz w:val="5"/>
                <w:szCs w:val="5"/>
                <w:color w:val="auto"/>
              </w:rPr>
            </w:pPr>
          </w:p>
        </w:tc>
        <w:tc>
          <w:tcPr>
            <w:tcW w:w="280" w:type="dxa"/>
            <w:vAlign w:val="bottom"/>
            <w:tcBorders>
              <w:top w:val="single" w:sz="8" w:color="0000FF"/>
            </w:tcBorders>
            <w:shd w:val="clear" w:color="auto" w:fill="BFE4FF"/>
          </w:tcPr>
          <w:p>
            <w:pPr>
              <w:spacing w:after="0"/>
              <w:rPr>
                <w:sz w:val="5"/>
                <w:szCs w:val="5"/>
                <w:color w:val="auto"/>
              </w:rPr>
            </w:pPr>
          </w:p>
        </w:tc>
        <w:tc>
          <w:tcPr>
            <w:tcW w:w="60" w:type="dxa"/>
            <w:vAlign w:val="bottom"/>
            <w:tcBorders>
              <w:top w:val="single" w:sz="8" w:color="BFE4FF"/>
            </w:tcBorders>
            <w:shd w:val="clear" w:color="auto" w:fill="BFE4FF"/>
          </w:tcPr>
          <w:p>
            <w:pPr>
              <w:spacing w:after="0"/>
              <w:rPr>
                <w:sz w:val="5"/>
                <w:szCs w:val="5"/>
                <w:color w:val="auto"/>
              </w:rPr>
            </w:pPr>
          </w:p>
        </w:tc>
        <w:tc>
          <w:tcPr>
            <w:tcW w:w="40" w:type="dxa"/>
            <w:vAlign w:val="bottom"/>
            <w:tcBorders>
              <w:top w:val="single" w:sz="8" w:color="BFE4FF"/>
            </w:tcBorders>
            <w:shd w:val="clear" w:color="auto" w:fill="BFE4FF"/>
          </w:tcPr>
          <w:p>
            <w:pPr>
              <w:spacing w:after="0"/>
              <w:rPr>
                <w:sz w:val="5"/>
                <w:szCs w:val="5"/>
                <w:color w:val="auto"/>
              </w:rPr>
            </w:pPr>
          </w:p>
        </w:tc>
        <w:tc>
          <w:tcPr>
            <w:tcW w:w="10560" w:type="dxa"/>
            <w:vAlign w:val="bottom"/>
            <w:tcBorders>
              <w:top w:val="single" w:sz="8" w:color="BFE4FF"/>
            </w:tcBorders>
            <w:shd w:val="clear" w:color="auto" w:fill="BFE4FF"/>
          </w:tcPr>
          <w:p>
            <w:pPr>
              <w:spacing w:after="0"/>
              <w:rPr>
                <w:sz w:val="5"/>
                <w:szCs w:val="5"/>
                <w:color w:val="auto"/>
              </w:rPr>
            </w:pPr>
          </w:p>
        </w:tc>
      </w:tr>
      <w:tr>
        <w:trPr>
          <w:trHeight w:val="189"/>
        </w:trPr>
        <w:tc>
          <w:tcPr>
            <w:tcW w:w="780" w:type="dxa"/>
            <w:vAlign w:val="bottom"/>
            <w:gridSpan w:val="5"/>
          </w:tcPr>
          <w:p>
            <w:pPr>
              <w:jc w:val="center"/>
              <w:ind w:left="299"/>
              <w:spacing w:after="0"/>
              <w:rPr>
                <w:rFonts w:ascii="Arial" w:cs="Arial" w:eastAsia="Arial" w:hAnsi="Arial"/>
                <w:sz w:val="16"/>
                <w:szCs w:val="16"/>
                <w:color w:val="0000FF"/>
                <w:w w:val="89"/>
              </w:rPr>
            </w:pPr>
            <w:hyperlink r:id="rId8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4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4"/>
              </w:rPr>
              <w:t>Amended and Restated Deferred Compensation Plan, amended and restated effective January 1, 2013 (Filed as Exhibit 10.4 to the Company’s Annual</w:t>
            </w:r>
          </w:p>
        </w:tc>
      </w:tr>
      <w:tr>
        <w:trPr>
          <w:trHeight w:val="217"/>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Report on Form 10-Q (File No. 1-08703) with the Securities and Exchange Commission on November 2, 2012)*</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r:id="rId8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6</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3"/>
              </w:rPr>
              <w:t>Western Digital Corporation Amended and Restated Change of Control Severance Plan, amended and restated as of November 3, 2015 (Filed as Exhibit</w:t>
            </w:r>
          </w:p>
        </w:tc>
      </w:tr>
      <w:tr>
        <w:trPr>
          <w:trHeight w:val="230"/>
        </w:trPr>
        <w:tc>
          <w:tcPr>
            <w:tcW w:w="340" w:type="dxa"/>
            <w:vAlign w:val="bottom"/>
            <w:tcBorders>
              <w:top w:val="single" w:sz="8" w:color="BFE4FF"/>
              <w:bottom w:val="single" w:sz="8" w:color="BFE4FF"/>
            </w:tcBorders>
            <w:shd w:val="clear" w:color="auto" w:fill="BFE4FF"/>
          </w:tcPr>
          <w:p>
            <w:pPr>
              <w:spacing w:after="0"/>
              <w:rPr>
                <w:sz w:val="20"/>
                <w:szCs w:val="20"/>
                <w:color w:val="auto"/>
              </w:rPr>
            </w:pPr>
          </w:p>
        </w:tc>
        <w:tc>
          <w:tcPr>
            <w:tcW w:w="40" w:type="dxa"/>
            <w:vAlign w:val="bottom"/>
            <w:tcBorders>
              <w:top w:val="single" w:sz="8" w:color="BFE4FF"/>
              <w:bottom w:val="single" w:sz="8" w:color="BFE4FF"/>
            </w:tcBorders>
            <w:shd w:val="clear" w:color="auto" w:fill="BFE4FF"/>
          </w:tcPr>
          <w:p>
            <w:pPr>
              <w:spacing w:after="0"/>
              <w:rPr>
                <w:sz w:val="20"/>
                <w:szCs w:val="20"/>
                <w:color w:val="auto"/>
              </w:rPr>
            </w:pP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280" w:type="dxa"/>
            <w:vAlign w:val="bottom"/>
            <w:tcBorders>
              <w:top w:val="single" w:sz="8" w:color="0000FF"/>
              <w:bottom w:val="single" w:sz="8" w:color="BFE4FF"/>
            </w:tcBorders>
            <w:shd w:val="clear" w:color="auto" w:fill="BFE4FF"/>
          </w:tcPr>
          <w:p>
            <w:pPr>
              <w:spacing w:after="0"/>
              <w:rPr>
                <w:sz w:val="20"/>
                <w:szCs w:val="20"/>
                <w:color w:val="auto"/>
              </w:rPr>
            </w:pP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40" w:type="dxa"/>
            <w:vAlign w:val="bottom"/>
            <w:tcBorders>
              <w:top w:val="single" w:sz="8" w:color="BFE4FF"/>
              <w:bottom w:val="single" w:sz="8" w:color="BFE4FF"/>
            </w:tcBorders>
            <w:shd w:val="clear" w:color="auto" w:fill="BFE4FF"/>
          </w:tcPr>
          <w:p>
            <w:pPr>
              <w:spacing w:after="0"/>
              <w:rPr>
                <w:sz w:val="20"/>
                <w:szCs w:val="20"/>
                <w:color w:val="auto"/>
              </w:rPr>
            </w:pPr>
          </w:p>
        </w:tc>
        <w:tc>
          <w:tcPr>
            <w:tcW w:w="10560" w:type="dxa"/>
            <w:vAlign w:val="bottom"/>
            <w:tcBorders>
              <w:top w:val="single" w:sz="8" w:color="BFE4FF"/>
              <w:bottom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10.2 to the Company’s Current Report on Form 8-K (File No. 1-08703) with the Securities and Exchange Commission on November 5, 2015)*</w:t>
            </w:r>
          </w:p>
        </w:tc>
      </w:tr>
      <w:tr>
        <w:trPr>
          <w:trHeight w:val="189"/>
        </w:trPr>
        <w:tc>
          <w:tcPr>
            <w:tcW w:w="780" w:type="dxa"/>
            <w:vAlign w:val="bottom"/>
            <w:gridSpan w:val="5"/>
          </w:tcPr>
          <w:p>
            <w:pPr>
              <w:jc w:val="center"/>
              <w:ind w:left="299"/>
              <w:spacing w:after="0"/>
              <w:rPr>
                <w:rFonts w:ascii="Arial" w:cs="Arial" w:eastAsia="Arial" w:hAnsi="Arial"/>
                <w:sz w:val="16"/>
                <w:szCs w:val="16"/>
                <w:color w:val="0000FF"/>
                <w:w w:val="89"/>
              </w:rPr>
            </w:pPr>
            <w:hyperlink r:id="rId8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7</w:t>
              </w:r>
            </w:hyperlink>
          </w:p>
        </w:tc>
        <w:tc>
          <w:tcPr>
            <w:tcW w:w="40" w:type="dxa"/>
            <w:vAlign w:val="bottom"/>
          </w:tcPr>
          <w:p>
            <w:pPr>
              <w:spacing w:after="0"/>
              <w:rPr>
                <w:sz w:val="16"/>
                <w:szCs w:val="16"/>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w w:val="93"/>
              </w:rPr>
              <w:t>Western Digital Corporation Executive Severance Plan, amended and restated as of February 2, 2017 (Filed as Exhibit 10.3 to the Company’s Quarterly</w:t>
            </w:r>
          </w:p>
        </w:tc>
      </w:tr>
      <w:tr>
        <w:trPr>
          <w:trHeight w:val="217"/>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560" w:type="dxa"/>
            <w:vAlign w:val="bottom"/>
          </w:tcPr>
          <w:p>
            <w:pPr>
              <w:ind w:left="460"/>
              <w:spacing w:after="0"/>
              <w:rPr>
                <w:sz w:val="20"/>
                <w:szCs w:val="20"/>
                <w:color w:val="auto"/>
              </w:rPr>
            </w:pPr>
            <w:r>
              <w:rPr>
                <w:rFonts w:ascii="Arial" w:cs="Arial" w:eastAsia="Arial" w:hAnsi="Arial"/>
                <w:sz w:val="16"/>
                <w:szCs w:val="16"/>
                <w:color w:val="auto"/>
              </w:rPr>
              <w:t>Report on Form 10-Q (File No. 1-08703) with the Securities and Exchange Commission on February 7, 2017)*</w:t>
            </w: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189"/>
        </w:trPr>
        <w:tc>
          <w:tcPr>
            <w:tcW w:w="780" w:type="dxa"/>
            <w:vAlign w:val="bottom"/>
            <w:gridSpan w:val="5"/>
            <w:shd w:val="clear" w:color="auto" w:fill="BFE4FF"/>
          </w:tcPr>
          <w:p>
            <w:pPr>
              <w:jc w:val="center"/>
              <w:ind w:left="299"/>
              <w:spacing w:after="0"/>
              <w:rPr>
                <w:rFonts w:ascii="Arial" w:cs="Arial" w:eastAsia="Arial" w:hAnsi="Arial"/>
                <w:sz w:val="16"/>
                <w:szCs w:val="16"/>
                <w:color w:val="0000FF"/>
                <w:w w:val="89"/>
              </w:rPr>
            </w:pPr>
            <w:hyperlink r:id="rId8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8</w:t>
              </w:r>
            </w:hyperlink>
          </w:p>
        </w:tc>
        <w:tc>
          <w:tcPr>
            <w:tcW w:w="40" w:type="dxa"/>
            <w:vAlign w:val="bottom"/>
            <w:shd w:val="clear" w:color="auto" w:fill="BFE4FF"/>
          </w:tcPr>
          <w:p>
            <w:pPr>
              <w:spacing w:after="0"/>
              <w:rPr>
                <w:sz w:val="16"/>
                <w:szCs w:val="16"/>
                <w:color w:val="auto"/>
              </w:rPr>
            </w:pPr>
          </w:p>
        </w:tc>
        <w:tc>
          <w:tcPr>
            <w:tcW w:w="10560" w:type="dxa"/>
            <w:vAlign w:val="bottom"/>
            <w:shd w:val="clear" w:color="auto" w:fill="BFE4FF"/>
          </w:tcPr>
          <w:p>
            <w:pPr>
              <w:ind w:left="460"/>
              <w:spacing w:after="0"/>
              <w:rPr>
                <w:sz w:val="20"/>
                <w:szCs w:val="20"/>
                <w:color w:val="auto"/>
              </w:rPr>
            </w:pPr>
            <w:r>
              <w:rPr>
                <w:rFonts w:ascii="Arial" w:cs="Arial" w:eastAsia="Arial" w:hAnsi="Arial"/>
                <w:sz w:val="16"/>
                <w:szCs w:val="16"/>
                <w:color w:val="auto"/>
                <w:w w:val="94"/>
              </w:rPr>
              <w:t>Form of Indemnity Agreement for Directors of Western Digital Corporation (Filed as Exhibit 10.4 to the Company’s Quarterly Report on Form 10-Q (File</w:t>
            </w:r>
          </w:p>
        </w:tc>
      </w:tr>
      <w:tr>
        <w:trPr>
          <w:trHeight w:val="217"/>
        </w:trPr>
        <w:tc>
          <w:tcPr>
            <w:tcW w:w="34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60" w:type="dxa"/>
            <w:vAlign w:val="bottom"/>
            <w:tcBorders>
              <w:top w:val="single" w:sz="8" w:color="BFE4FF"/>
            </w:tcBorders>
            <w:shd w:val="clear" w:color="auto" w:fill="BFE4FF"/>
          </w:tcPr>
          <w:p>
            <w:pPr>
              <w:spacing w:after="0"/>
              <w:rPr>
                <w:sz w:val="18"/>
                <w:szCs w:val="18"/>
                <w:color w:val="auto"/>
              </w:rPr>
            </w:pPr>
          </w:p>
        </w:tc>
        <w:tc>
          <w:tcPr>
            <w:tcW w:w="280" w:type="dxa"/>
            <w:vAlign w:val="bottom"/>
            <w:tcBorders>
              <w:top w:val="single" w:sz="8" w:color="0000FF"/>
            </w:tcBorders>
            <w:shd w:val="clear" w:color="auto" w:fill="BFE4FF"/>
          </w:tcPr>
          <w:p>
            <w:pPr>
              <w:spacing w:after="0"/>
              <w:rPr>
                <w:sz w:val="18"/>
                <w:szCs w:val="18"/>
                <w:color w:val="auto"/>
              </w:rPr>
            </w:pPr>
          </w:p>
        </w:tc>
        <w:tc>
          <w:tcPr>
            <w:tcW w:w="60" w:type="dxa"/>
            <w:vAlign w:val="bottom"/>
            <w:tcBorders>
              <w:top w:val="single" w:sz="8" w:color="BFE4FF"/>
            </w:tcBorders>
            <w:shd w:val="clear" w:color="auto" w:fill="BFE4FF"/>
          </w:tcPr>
          <w:p>
            <w:pPr>
              <w:spacing w:after="0"/>
              <w:rPr>
                <w:sz w:val="18"/>
                <w:szCs w:val="18"/>
                <w:color w:val="auto"/>
              </w:rPr>
            </w:pPr>
          </w:p>
        </w:tc>
        <w:tc>
          <w:tcPr>
            <w:tcW w:w="40" w:type="dxa"/>
            <w:vAlign w:val="bottom"/>
            <w:tcBorders>
              <w:top w:val="single" w:sz="8" w:color="BFE4FF"/>
            </w:tcBorders>
            <w:shd w:val="clear" w:color="auto" w:fill="BFE4FF"/>
          </w:tcPr>
          <w:p>
            <w:pPr>
              <w:spacing w:after="0"/>
              <w:rPr>
                <w:sz w:val="18"/>
                <w:szCs w:val="18"/>
                <w:color w:val="auto"/>
              </w:rPr>
            </w:pPr>
          </w:p>
        </w:tc>
        <w:tc>
          <w:tcPr>
            <w:tcW w:w="10560" w:type="dxa"/>
            <w:vAlign w:val="bottom"/>
            <w:tcBorders>
              <w:top w:val="single" w:sz="8" w:color="BFE4FF"/>
            </w:tcBorders>
            <w:shd w:val="clear" w:color="auto" w:fill="BFE4FF"/>
          </w:tcPr>
          <w:p>
            <w:pPr>
              <w:ind w:left="460"/>
              <w:spacing w:after="0"/>
              <w:rPr>
                <w:sz w:val="20"/>
                <w:szCs w:val="20"/>
                <w:color w:val="auto"/>
              </w:rPr>
            </w:pPr>
            <w:r>
              <w:rPr>
                <w:rFonts w:ascii="Arial" w:cs="Arial" w:eastAsia="Arial" w:hAnsi="Arial"/>
                <w:sz w:val="16"/>
                <w:szCs w:val="16"/>
                <w:color w:val="auto"/>
              </w:rPr>
              <w:t>No. 1-08703) with the Securities and Exchange Commission on November 8, 2002)*</w:t>
            </w:r>
          </w:p>
        </w:tc>
      </w:tr>
      <w:tr>
        <w:trPr>
          <w:trHeight w:val="33"/>
        </w:trPr>
        <w:tc>
          <w:tcPr>
            <w:tcW w:w="340" w:type="dxa"/>
            <w:vAlign w:val="bottom"/>
            <w:shd w:val="clear" w:color="auto" w:fill="BFE4FF"/>
          </w:tcPr>
          <w:p>
            <w:pPr>
              <w:spacing w:after="0"/>
              <w:rPr>
                <w:sz w:val="2"/>
                <w:szCs w:val="2"/>
                <w:color w:val="auto"/>
              </w:rPr>
            </w:pPr>
          </w:p>
        </w:tc>
        <w:tc>
          <w:tcPr>
            <w:tcW w:w="40" w:type="dxa"/>
            <w:vAlign w:val="bottom"/>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40" w:type="dxa"/>
            <w:vAlign w:val="bottom"/>
            <w:shd w:val="clear" w:color="auto" w:fill="BFE4FF"/>
          </w:tcPr>
          <w:p>
            <w:pPr>
              <w:spacing w:after="0"/>
              <w:rPr>
                <w:sz w:val="2"/>
                <w:szCs w:val="2"/>
                <w:color w:val="auto"/>
              </w:rPr>
            </w:pPr>
          </w:p>
        </w:tc>
        <w:tc>
          <w:tcPr>
            <w:tcW w:w="10560" w:type="dxa"/>
            <w:vAlign w:val="bottom"/>
            <w:shd w:val="clear" w:color="auto" w:fill="BFE4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400"/>
          </w:cols>
          <w:pgMar w:left="240" w:top="125" w:right="259" w:bottom="1440" w:gutter="0" w:footer="0" w:header="0"/>
          <w:type w:val="continuous"/>
        </w:sectPr>
      </w:pPr>
    </w:p>
    <w:bookmarkStart w:id="134" w:name="page135"/>
    <w:bookmarkEnd w:id="1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left="460"/>
        <w:spacing w:after="0"/>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10.9</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64319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Form of Indemnity Agreement for Officers of Western Digital Corporation (Filed as Exhibit 10.5 to the Company’s Quarterly Report on Form 10-Q (File No. 1-08703) with the Securities and Exchange Commission on November 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-3810</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860" w:space="440"/>
            <w:col w:w="10040"/>
          </w:cols>
          <w:pgMar w:left="240" w:top="125" w:right="319" w:bottom="1440" w:gutter="0" w:footer="0" w:header="0"/>
          <w:type w:val="continuous"/>
        </w:sectPr>
      </w:pPr>
    </w:p>
    <w:p>
      <w:pPr>
        <w:ind w:left="420"/>
        <w:spacing w:after="0"/>
        <w:tabs>
          <w:tab w:leader="none" w:pos="1280" w:val="left"/>
        </w:tabs>
        <w:rPr>
          <w:rFonts w:ascii="Arial" w:cs="Arial" w:eastAsia="Arial" w:hAnsi="Arial"/>
          <w:sz w:val="16"/>
          <w:szCs w:val="16"/>
          <w:color w:val="0000FF"/>
        </w:rPr>
      </w:pPr>
      <w:hyperlink w:anchor="page140">
        <w:r>
          <w:rPr>
            <w:rFonts w:ascii="Arial" w:cs="Arial" w:eastAsia="Arial" w:hAnsi="Arial"/>
            <w:sz w:val="16"/>
            <w:szCs w:val="16"/>
            <w:u w:val="single" w:color="auto"/>
            <w:color w:val="0000FF"/>
          </w:rPr>
          <w:t>10.10</w:t>
        </w:r>
      </w:hyperlink>
      <w:r>
        <w:rPr>
          <w:rFonts w:ascii="Arial" w:cs="Arial" w:eastAsia="Arial" w:hAnsi="Arial"/>
          <w:sz w:val="16"/>
          <w:szCs w:val="16"/>
          <w:color w:val="0000FF"/>
        </w:rPr>
        <w:tab/>
      </w:r>
      <w:r>
        <w:rPr>
          <w:rFonts w:ascii="Arial" w:cs="Arial" w:eastAsia="Arial" w:hAnsi="Arial"/>
          <w:sz w:val="14"/>
          <w:szCs w:val="14"/>
          <w:color w:val="0000FF"/>
        </w:rPr>
        <w:t>Form of Indemnification Agreement entered into between SanDisk Corporation and its directors and officers</w:t>
      </w:r>
      <w:r>
        <w:rPr>
          <w:rFonts w:ascii="Arial" w:cs="Arial" w:eastAsia="Arial" w:hAnsi="Arial"/>
          <w:sz w:val="16"/>
          <w:szCs w:val="16"/>
          <w:color w:val="0000FF"/>
        </w:rPr>
        <w:t>†</w:t>
      </w:r>
      <w:r>
        <w:rPr>
          <w:rFonts w:ascii="Arial" w:cs="Arial" w:eastAsia="Arial" w:hAnsi="Arial"/>
          <w:sz w:val="14"/>
          <w:szCs w:val="14"/>
          <w:color w:val="0000FF"/>
        </w:rPr>
        <w:t>*</w:t>
      </w:r>
    </w:p>
    <w:p>
      <w:pPr>
        <w:spacing w:after="0" w:line="91" w:lineRule="exact"/>
        <w:rPr>
          <w:sz w:val="20"/>
          <w:szCs w:val="20"/>
          <w:color w:val="auto"/>
        </w:rPr>
      </w:pPr>
    </w:p>
    <w:p>
      <w:pPr>
        <w:ind w:left="1300" w:right="320" w:hanging="887"/>
        <w:spacing w:after="0" w:line="278" w:lineRule="auto"/>
        <w:tabs>
          <w:tab w:leader="none" w:pos="1280" w:val="left"/>
        </w:tabs>
        <w:rPr>
          <w:rFonts w:ascii="Arial" w:cs="Arial" w:eastAsia="Arial" w:hAnsi="Arial"/>
          <w:sz w:val="16"/>
          <w:szCs w:val="16"/>
          <w:color w:val="0000FF"/>
        </w:rPr>
      </w:pPr>
      <w:hyperlink r:id="rId93">
        <w:r>
          <w:rPr>
            <w:rFonts w:ascii="Arial" w:cs="Arial" w:eastAsia="Arial" w:hAnsi="Arial"/>
            <w:sz w:val="16"/>
            <w:szCs w:val="16"/>
            <w:u w:val="single" w:color="auto"/>
            <w:color w:val="0000FF"/>
          </w:rPr>
          <w:t>10.11</w:t>
        </w:r>
      </w:hyperlink>
      <w:r>
        <w:rPr>
          <w:rFonts w:ascii="Arial" w:cs="Arial" w:eastAsia="Arial" w:hAnsi="Arial"/>
          <w:sz w:val="16"/>
          <w:szCs w:val="16"/>
          <w:color w:val="0000FF"/>
        </w:rPr>
        <w:tab/>
        <w:t>Loan Agreement, dated as of April 29, 2016, by and among Western Digital Corporation, JPMorgan Chase Bank, N.A., as administrative agent and collateral agent, and the lenders and financial institutions from time to time party thereto (Filed as Exhibit 10.4 to the Company’s Quarterly Report on Form 10-Q (File No. 1-08703) with the Securities and Exchange Commission on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420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2" w:lineRule="exact"/>
        <w:rPr>
          <w:sz w:val="20"/>
          <w:szCs w:val="20"/>
          <w:color w:val="auto"/>
        </w:rPr>
      </w:pPr>
    </w:p>
    <w:p>
      <w:pPr>
        <w:ind w:left="1300" w:hanging="948"/>
        <w:spacing w:after="0" w:line="305" w:lineRule="auto"/>
        <w:tabs>
          <w:tab w:leader="none" w:pos="1280" w:val="left"/>
        </w:tabs>
        <w:rPr>
          <w:rFonts w:ascii="Arial" w:cs="Arial" w:eastAsia="Arial" w:hAnsi="Arial"/>
          <w:sz w:val="16"/>
          <w:szCs w:val="16"/>
          <w:color w:val="0000FF"/>
        </w:rPr>
      </w:pPr>
      <w:hyperlink r:id="rId95">
        <w:r>
          <w:rPr>
            <w:rFonts w:ascii="Arial" w:cs="Arial" w:eastAsia="Arial" w:hAnsi="Arial"/>
            <w:sz w:val="16"/>
            <w:szCs w:val="16"/>
            <w:u w:val="single" w:color="auto"/>
            <w:color w:val="0000FF"/>
          </w:rPr>
          <w:t>10.11.1</w:t>
        </w:r>
      </w:hyperlink>
      <w:r>
        <w:rPr>
          <w:rFonts w:ascii="Arial" w:cs="Arial" w:eastAsia="Arial" w:hAnsi="Arial"/>
          <w:sz w:val="16"/>
          <w:szCs w:val="16"/>
          <w:color w:val="0000FF"/>
        </w:rPr>
        <w:tab/>
      </w:r>
      <w:r>
        <w:rPr>
          <w:rFonts w:ascii="Arial" w:cs="Arial" w:eastAsia="Arial" w:hAnsi="Arial"/>
          <w:sz w:val="15"/>
          <w:szCs w:val="15"/>
          <w:color w:val="0000FF"/>
        </w:rPr>
        <w:t>Amendment No. 1, dated as of August 17, 2016,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August 18, 2016)</w:t>
      </w:r>
    </w:p>
    <w:p>
      <w:pPr>
        <w:spacing w:after="0" w:line="4" w:lineRule="exact"/>
        <w:rPr>
          <w:sz w:val="20"/>
          <w:szCs w:val="20"/>
          <w:color w:val="auto"/>
        </w:rPr>
      </w:pPr>
    </w:p>
    <w:p>
      <w:pPr>
        <w:ind w:left="1300" w:hanging="948"/>
        <w:spacing w:after="0" w:line="305" w:lineRule="auto"/>
        <w:tabs>
          <w:tab w:leader="none" w:pos="1280" w:val="left"/>
        </w:tabs>
        <w:rPr>
          <w:rFonts w:ascii="Arial" w:cs="Arial" w:eastAsia="Arial" w:hAnsi="Arial"/>
          <w:sz w:val="16"/>
          <w:szCs w:val="16"/>
          <w:color w:val="0000FF"/>
        </w:rPr>
      </w:pPr>
      <w:hyperlink r:id="rId96">
        <w:r>
          <w:rPr>
            <w:rFonts w:ascii="Arial" w:cs="Arial" w:eastAsia="Arial" w:hAnsi="Arial"/>
            <w:sz w:val="16"/>
            <w:szCs w:val="16"/>
            <w:u w:val="single" w:color="auto"/>
            <w:color w:val="0000FF"/>
          </w:rPr>
          <w:t>10.11.2</w:t>
        </w:r>
      </w:hyperlink>
      <w:r>
        <w:rPr>
          <w:rFonts w:ascii="Arial" w:cs="Arial" w:eastAsia="Arial" w:hAnsi="Arial"/>
          <w:sz w:val="16"/>
          <w:szCs w:val="16"/>
          <w:color w:val="0000FF"/>
        </w:rPr>
        <w:tab/>
      </w:r>
      <w:r>
        <w:rPr>
          <w:rFonts w:ascii="Arial" w:cs="Arial" w:eastAsia="Arial" w:hAnsi="Arial"/>
          <w:sz w:val="15"/>
          <w:szCs w:val="15"/>
          <w:color w:val="0000FF"/>
        </w:rPr>
        <w:t>Amendment No. 2, dated as of September 22, 2016,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September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420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ind w:left="1300" w:right="40" w:hanging="948"/>
        <w:spacing w:after="0" w:line="305" w:lineRule="auto"/>
        <w:tabs>
          <w:tab w:leader="none" w:pos="1280" w:val="left"/>
        </w:tabs>
        <w:rPr>
          <w:rFonts w:ascii="Arial" w:cs="Arial" w:eastAsia="Arial" w:hAnsi="Arial"/>
          <w:sz w:val="16"/>
          <w:szCs w:val="16"/>
          <w:color w:val="0000FF"/>
        </w:rPr>
      </w:pPr>
      <w:hyperlink r:id="rId98">
        <w:r>
          <w:rPr>
            <w:rFonts w:ascii="Arial" w:cs="Arial" w:eastAsia="Arial" w:hAnsi="Arial"/>
            <w:sz w:val="16"/>
            <w:szCs w:val="16"/>
            <w:u w:val="single" w:color="auto"/>
            <w:color w:val="0000FF"/>
          </w:rPr>
          <w:t>10.11.3</w:t>
        </w:r>
      </w:hyperlink>
      <w:r>
        <w:rPr>
          <w:rFonts w:ascii="Arial" w:cs="Arial" w:eastAsia="Arial" w:hAnsi="Arial"/>
          <w:sz w:val="16"/>
          <w:szCs w:val="16"/>
          <w:color w:val="0000FF"/>
        </w:rPr>
        <w:tab/>
      </w:r>
      <w:r>
        <w:rPr>
          <w:rFonts w:ascii="Arial" w:cs="Arial" w:eastAsia="Arial" w:hAnsi="Arial"/>
          <w:sz w:val="15"/>
          <w:szCs w:val="15"/>
          <w:color w:val="0000FF"/>
        </w:rPr>
        <w:t>Amendment No. 3, dated as of March 14,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March 14, 2017)</w:t>
      </w:r>
    </w:p>
    <w:p>
      <w:pPr>
        <w:spacing w:after="0" w:line="4" w:lineRule="exact"/>
        <w:rPr>
          <w:sz w:val="20"/>
          <w:szCs w:val="20"/>
          <w:color w:val="auto"/>
        </w:rPr>
      </w:pPr>
    </w:p>
    <w:p>
      <w:pPr>
        <w:ind w:left="1300" w:right="40" w:hanging="948"/>
        <w:spacing w:after="0" w:line="305" w:lineRule="auto"/>
        <w:tabs>
          <w:tab w:leader="none" w:pos="1280" w:val="left"/>
        </w:tabs>
        <w:rPr>
          <w:rFonts w:ascii="Arial" w:cs="Arial" w:eastAsia="Arial" w:hAnsi="Arial"/>
          <w:sz w:val="16"/>
          <w:szCs w:val="16"/>
          <w:color w:val="0000FF"/>
        </w:rPr>
      </w:pPr>
      <w:hyperlink r:id="rId99">
        <w:r>
          <w:rPr>
            <w:rFonts w:ascii="Arial" w:cs="Arial" w:eastAsia="Arial" w:hAnsi="Arial"/>
            <w:sz w:val="16"/>
            <w:szCs w:val="16"/>
            <w:u w:val="single" w:color="auto"/>
            <w:color w:val="0000FF"/>
          </w:rPr>
          <w:t>10.11.4</w:t>
        </w:r>
      </w:hyperlink>
      <w:r>
        <w:rPr>
          <w:rFonts w:ascii="Arial" w:cs="Arial" w:eastAsia="Arial" w:hAnsi="Arial"/>
          <w:sz w:val="16"/>
          <w:szCs w:val="16"/>
          <w:color w:val="0000FF"/>
        </w:rPr>
        <w:tab/>
      </w:r>
      <w:r>
        <w:rPr>
          <w:rFonts w:ascii="Arial" w:cs="Arial" w:eastAsia="Arial" w:hAnsi="Arial"/>
          <w:sz w:val="15"/>
          <w:szCs w:val="15"/>
          <w:color w:val="0000FF"/>
        </w:rPr>
        <w:t>Amendment No. 4, dated as of March 23,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42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ind w:left="1300" w:hanging="948"/>
        <w:spacing w:after="0" w:line="305" w:lineRule="auto"/>
        <w:tabs>
          <w:tab w:leader="none" w:pos="1280" w:val="left"/>
        </w:tabs>
        <w:rPr>
          <w:rFonts w:ascii="Arial" w:cs="Arial" w:eastAsia="Arial" w:hAnsi="Arial"/>
          <w:sz w:val="16"/>
          <w:szCs w:val="16"/>
          <w:color w:val="0000FF"/>
        </w:rPr>
      </w:pPr>
      <w:hyperlink r:id="rId101">
        <w:r>
          <w:rPr>
            <w:rFonts w:ascii="Arial" w:cs="Arial" w:eastAsia="Arial" w:hAnsi="Arial"/>
            <w:sz w:val="16"/>
            <w:szCs w:val="16"/>
            <w:u w:val="single" w:color="auto"/>
            <w:color w:val="0000FF"/>
          </w:rPr>
          <w:t>10.11.5</w:t>
        </w:r>
      </w:hyperlink>
      <w:r>
        <w:rPr>
          <w:rFonts w:ascii="Arial" w:cs="Arial" w:eastAsia="Arial" w:hAnsi="Arial"/>
          <w:sz w:val="16"/>
          <w:szCs w:val="16"/>
          <w:color w:val="0000FF"/>
        </w:rPr>
        <w:tab/>
      </w:r>
      <w:r>
        <w:rPr>
          <w:rFonts w:ascii="Arial" w:cs="Arial" w:eastAsia="Arial" w:hAnsi="Arial"/>
          <w:sz w:val="15"/>
          <w:szCs w:val="15"/>
          <w:color w:val="0000FF"/>
        </w:rPr>
        <w:t>Amendment No. 5, dated as of November 8,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November 8, 2017)</w:t>
      </w:r>
    </w:p>
    <w:p>
      <w:pPr>
        <w:spacing w:after="0" w:line="4" w:lineRule="exact"/>
        <w:rPr>
          <w:sz w:val="20"/>
          <w:szCs w:val="20"/>
          <w:color w:val="auto"/>
        </w:rPr>
      </w:pPr>
    </w:p>
    <w:p>
      <w:pPr>
        <w:ind w:left="1300" w:hanging="948"/>
        <w:spacing w:after="0" w:line="305" w:lineRule="auto"/>
        <w:tabs>
          <w:tab w:leader="none" w:pos="1280" w:val="left"/>
        </w:tabs>
        <w:rPr>
          <w:rFonts w:ascii="Arial" w:cs="Arial" w:eastAsia="Arial" w:hAnsi="Arial"/>
          <w:sz w:val="16"/>
          <w:szCs w:val="16"/>
          <w:color w:val="0000FF"/>
        </w:rPr>
      </w:pPr>
      <w:hyperlink r:id="rId102">
        <w:r>
          <w:rPr>
            <w:rFonts w:ascii="Arial" w:cs="Arial" w:eastAsia="Arial" w:hAnsi="Arial"/>
            <w:sz w:val="16"/>
            <w:szCs w:val="16"/>
            <w:u w:val="single" w:color="auto"/>
            <w:color w:val="0000FF"/>
          </w:rPr>
          <w:t>10.11.6</w:t>
        </w:r>
      </w:hyperlink>
      <w:r>
        <w:rPr>
          <w:rFonts w:ascii="Arial" w:cs="Arial" w:eastAsia="Arial" w:hAnsi="Arial"/>
          <w:sz w:val="16"/>
          <w:szCs w:val="16"/>
          <w:color w:val="0000FF"/>
        </w:rPr>
        <w:tab/>
      </w:r>
      <w:r>
        <w:rPr>
          <w:rFonts w:ascii="Arial" w:cs="Arial" w:eastAsia="Arial" w:hAnsi="Arial"/>
          <w:sz w:val="15"/>
          <w:szCs w:val="15"/>
          <w:color w:val="0000FF"/>
        </w:rPr>
        <w:t>Amendment No. 6, dated as of November 29,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November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420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ind w:left="1300" w:hanging="948"/>
        <w:spacing w:after="0" w:line="305" w:lineRule="auto"/>
        <w:tabs>
          <w:tab w:leader="none" w:pos="1280" w:val="left"/>
        </w:tabs>
        <w:rPr>
          <w:rFonts w:ascii="Arial" w:cs="Arial" w:eastAsia="Arial" w:hAnsi="Arial"/>
          <w:sz w:val="16"/>
          <w:szCs w:val="16"/>
          <w:color w:val="0000FF"/>
        </w:rPr>
      </w:pPr>
      <w:hyperlink r:id="rId104">
        <w:r>
          <w:rPr>
            <w:rFonts w:ascii="Arial" w:cs="Arial" w:eastAsia="Arial" w:hAnsi="Arial"/>
            <w:sz w:val="16"/>
            <w:szCs w:val="16"/>
            <w:u w:val="single" w:color="auto"/>
            <w:color w:val="0000FF"/>
          </w:rPr>
          <w:t>10.11.7</w:t>
        </w:r>
      </w:hyperlink>
      <w:r>
        <w:rPr>
          <w:rFonts w:ascii="Arial" w:cs="Arial" w:eastAsia="Arial" w:hAnsi="Arial"/>
          <w:sz w:val="16"/>
          <w:szCs w:val="16"/>
          <w:color w:val="0000FF"/>
        </w:rPr>
        <w:tab/>
      </w:r>
      <w:r>
        <w:rPr>
          <w:rFonts w:ascii="Arial" w:cs="Arial" w:eastAsia="Arial" w:hAnsi="Arial"/>
          <w:sz w:val="15"/>
          <w:szCs w:val="15"/>
          <w:color w:val="0000FF"/>
        </w:rPr>
        <w:t>Amendment No. 7, dated as of February 27, 2018,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February 27, 2018)</w:t>
      </w:r>
    </w:p>
    <w:p>
      <w:pPr>
        <w:spacing w:after="0" w:line="4" w:lineRule="exact"/>
        <w:rPr>
          <w:sz w:val="20"/>
          <w:szCs w:val="20"/>
          <w:color w:val="auto"/>
        </w:rPr>
      </w:pPr>
    </w:p>
    <w:p>
      <w:pPr>
        <w:ind w:left="1300" w:right="160" w:hanging="948"/>
        <w:spacing w:after="0" w:line="305" w:lineRule="auto"/>
        <w:tabs>
          <w:tab w:leader="none" w:pos="1280" w:val="left"/>
        </w:tabs>
        <w:rPr>
          <w:rFonts w:ascii="Arial" w:cs="Arial" w:eastAsia="Arial" w:hAnsi="Arial"/>
          <w:sz w:val="16"/>
          <w:szCs w:val="16"/>
          <w:color w:val="0000FF"/>
        </w:rPr>
      </w:pPr>
      <w:hyperlink r:id="rId105">
        <w:r>
          <w:rPr>
            <w:rFonts w:ascii="Arial" w:cs="Arial" w:eastAsia="Arial" w:hAnsi="Arial"/>
            <w:sz w:val="16"/>
            <w:szCs w:val="16"/>
            <w:u w:val="single" w:color="auto"/>
            <w:color w:val="0000FF"/>
          </w:rPr>
          <w:t>10.11.8</w:t>
        </w:r>
      </w:hyperlink>
      <w:r>
        <w:rPr>
          <w:rFonts w:ascii="Arial" w:cs="Arial" w:eastAsia="Arial" w:hAnsi="Arial"/>
          <w:sz w:val="16"/>
          <w:szCs w:val="16"/>
          <w:color w:val="0000FF"/>
        </w:rPr>
        <w:tab/>
      </w:r>
      <w:r>
        <w:rPr>
          <w:rFonts w:ascii="Arial" w:cs="Arial" w:eastAsia="Arial" w:hAnsi="Arial"/>
          <w:sz w:val="15"/>
          <w:szCs w:val="15"/>
          <w:color w:val="0000FF"/>
        </w:rPr>
        <w:t>Amendment No. 8, dated as of May 15, 2018,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420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ind w:left="1300" w:right="20" w:hanging="890"/>
        <w:spacing w:after="0" w:line="278" w:lineRule="auto"/>
        <w:tabs>
          <w:tab w:leader="none" w:pos="1280" w:val="left"/>
        </w:tabs>
        <w:rPr>
          <w:rFonts w:ascii="Arial" w:cs="Arial" w:eastAsia="Arial" w:hAnsi="Arial"/>
          <w:sz w:val="16"/>
          <w:szCs w:val="16"/>
          <w:color w:val="0000FF"/>
        </w:rPr>
      </w:pPr>
      <w:hyperlink r:id="rId107">
        <w:r>
          <w:rPr>
            <w:rFonts w:ascii="Arial" w:cs="Arial" w:eastAsia="Arial" w:hAnsi="Arial"/>
            <w:sz w:val="16"/>
            <w:szCs w:val="16"/>
            <w:u w:val="single" w:color="auto"/>
            <w:color w:val="0000FF"/>
          </w:rPr>
          <w:t>10.12</w:t>
        </w:r>
      </w:hyperlink>
      <w:r>
        <w:rPr>
          <w:rFonts w:ascii="Arial" w:cs="Arial" w:eastAsia="Arial" w:hAnsi="Arial"/>
          <w:sz w:val="16"/>
          <w:szCs w:val="16"/>
          <w:color w:val="0000FF"/>
        </w:rPr>
        <w:tab/>
        <w:t>Guaranty Agreement, dated as of April 29, 2016, by and among Western Digital Corporation, the subsidiary guarantors party thereto and JPMorgan Chase Bank, N.A., as administrative agent for the guaranteed creditors (Filed as Exhibit 10.2 to the Company’s Current Report on Form 8-K (File No.1-08703) with the Securities and Exchange Commission on April 29, 2016)</w:t>
      </w:r>
    </w:p>
    <w:p>
      <w:pPr>
        <w:spacing w:after="0" w:line="22" w:lineRule="exact"/>
        <w:rPr>
          <w:sz w:val="20"/>
          <w:szCs w:val="20"/>
          <w:color w:val="auto"/>
        </w:rPr>
      </w:pPr>
    </w:p>
    <w:p>
      <w:pPr>
        <w:jc w:val="both"/>
        <w:ind w:left="1300" w:right="40" w:hanging="890"/>
        <w:spacing w:after="0" w:line="278" w:lineRule="auto"/>
        <w:tabs>
          <w:tab w:leader="none" w:pos="1280" w:val="left"/>
        </w:tabs>
        <w:rPr>
          <w:rFonts w:ascii="Arial" w:cs="Arial" w:eastAsia="Arial" w:hAnsi="Arial"/>
          <w:sz w:val="16"/>
          <w:szCs w:val="16"/>
          <w:color w:val="0000FF"/>
        </w:rPr>
      </w:pPr>
      <w:hyperlink r:id="rId108">
        <w:r>
          <w:rPr>
            <w:rFonts w:ascii="Arial" w:cs="Arial" w:eastAsia="Arial" w:hAnsi="Arial"/>
            <w:sz w:val="16"/>
            <w:szCs w:val="16"/>
            <w:u w:val="single" w:color="auto"/>
            <w:color w:val="0000FF"/>
          </w:rPr>
          <w:t>10.13</w:t>
        </w:r>
      </w:hyperlink>
      <w:r>
        <w:rPr>
          <w:rFonts w:ascii="Arial" w:cs="Arial" w:eastAsia="Arial" w:hAnsi="Arial"/>
          <w:sz w:val="16"/>
          <w:szCs w:val="16"/>
          <w:color w:val="0000FF"/>
        </w:rPr>
        <w:tab/>
        <w:t>Security Agreement, dated as of May 12, 2016, by and among the debtors (as defined therein) party thereto and JPMorgan Chase Bank, N.A., as collateral agent (Filed as Exhibit 10.2 to the Company’s Current Report on Form 8-K (File No. 1-08703) with the Securities and Exchange Commission on May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2" w:lineRule="exact"/>
        <w:rPr>
          <w:sz w:val="20"/>
          <w:szCs w:val="20"/>
          <w:color w:val="auto"/>
        </w:rPr>
      </w:pPr>
    </w:p>
    <w:p>
      <w:pPr>
        <w:ind w:left="1300" w:right="140" w:hanging="890"/>
        <w:spacing w:after="0" w:line="278" w:lineRule="auto"/>
        <w:tabs>
          <w:tab w:leader="none" w:pos="1280" w:val="left"/>
        </w:tabs>
        <w:rPr>
          <w:rFonts w:ascii="Arial" w:cs="Arial" w:eastAsia="Arial" w:hAnsi="Arial"/>
          <w:sz w:val="16"/>
          <w:szCs w:val="16"/>
          <w:color w:val="0000FF"/>
        </w:rPr>
      </w:pPr>
      <w:hyperlink r:id="rId110">
        <w:r>
          <w:rPr>
            <w:rFonts w:ascii="Arial" w:cs="Arial" w:eastAsia="Arial" w:hAnsi="Arial"/>
            <w:sz w:val="16"/>
            <w:szCs w:val="16"/>
            <w:u w:val="single" w:color="auto"/>
            <w:color w:val="0000FF"/>
          </w:rPr>
          <w:t>10.14</w:t>
        </w:r>
      </w:hyperlink>
      <w:r>
        <w:rPr>
          <w:rFonts w:ascii="Arial" w:cs="Arial" w:eastAsia="Arial" w:hAnsi="Arial"/>
          <w:sz w:val="16"/>
          <w:szCs w:val="16"/>
          <w:color w:val="0000FF"/>
        </w:rPr>
        <w:tab/>
        <w:t>Flash Alliance Master Agreement, dated as of July 7, 2006, by and among SanDisk Corporation, Toshiba Corporation and SanDisk (Ireland) Limited (Filed as Exhibit 10.1 to SanDisk Corporation’s Quarterly Report on Form 10-Q (File No. 000-26734) with the Securities and Exchange Commission on November 8, 2006)#</w:t>
      </w:r>
    </w:p>
    <w:p>
      <w:pPr>
        <w:spacing w:after="0" w:line="22" w:lineRule="exact"/>
        <w:rPr>
          <w:sz w:val="20"/>
          <w:szCs w:val="20"/>
          <w:color w:val="auto"/>
        </w:rPr>
      </w:pPr>
    </w:p>
    <w:p>
      <w:pPr>
        <w:ind w:left="1300" w:right="20" w:hanging="890"/>
        <w:spacing w:after="0" w:line="278" w:lineRule="auto"/>
        <w:tabs>
          <w:tab w:leader="none" w:pos="1280" w:val="left"/>
        </w:tabs>
        <w:rPr>
          <w:rFonts w:ascii="Arial" w:cs="Arial" w:eastAsia="Arial" w:hAnsi="Arial"/>
          <w:sz w:val="16"/>
          <w:szCs w:val="16"/>
          <w:color w:val="0000FF"/>
        </w:rPr>
      </w:pPr>
      <w:hyperlink r:id="rId111">
        <w:r>
          <w:rPr>
            <w:rFonts w:ascii="Arial" w:cs="Arial" w:eastAsia="Arial" w:hAnsi="Arial"/>
            <w:sz w:val="16"/>
            <w:szCs w:val="16"/>
            <w:u w:val="single" w:color="auto"/>
            <w:color w:val="0000FF"/>
          </w:rPr>
          <w:t>10.15</w:t>
        </w:r>
      </w:hyperlink>
      <w:r>
        <w:rPr>
          <w:rFonts w:ascii="Arial" w:cs="Arial" w:eastAsia="Arial" w:hAnsi="Arial"/>
          <w:sz w:val="16"/>
          <w:szCs w:val="16"/>
          <w:color w:val="0000FF"/>
        </w:rPr>
        <w:tab/>
        <w:t>Operating Agreement of Flash Alliance, Ltd., dated as of July 7, 2006, by and between Toshiba Corporation and SanDisk (Ireland) Limited (Filed as Exhibit 10.2 to SanDisk Corporation’s Quarterly Report on Form 10-Q (File No. 000-26734) with the Securities and Exchange Commission on November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2" w:lineRule="exact"/>
        <w:rPr>
          <w:sz w:val="20"/>
          <w:szCs w:val="20"/>
          <w:color w:val="auto"/>
        </w:rPr>
      </w:pPr>
    </w:p>
    <w:p>
      <w:pPr>
        <w:ind w:left="1300" w:right="160" w:hanging="890"/>
        <w:spacing w:after="0" w:line="278" w:lineRule="auto"/>
        <w:tabs>
          <w:tab w:leader="none" w:pos="1280" w:val="left"/>
        </w:tabs>
        <w:rPr>
          <w:rFonts w:ascii="Arial" w:cs="Arial" w:eastAsia="Arial" w:hAnsi="Arial"/>
          <w:sz w:val="16"/>
          <w:szCs w:val="16"/>
          <w:color w:val="0000FF"/>
        </w:rPr>
      </w:pPr>
      <w:hyperlink r:id="rId113">
        <w:r>
          <w:rPr>
            <w:rFonts w:ascii="Arial" w:cs="Arial" w:eastAsia="Arial" w:hAnsi="Arial"/>
            <w:sz w:val="16"/>
            <w:szCs w:val="16"/>
            <w:u w:val="single" w:color="auto"/>
            <w:color w:val="0000FF"/>
          </w:rPr>
          <w:t>10.16</w:t>
        </w:r>
      </w:hyperlink>
      <w:r>
        <w:rPr>
          <w:rFonts w:ascii="Arial" w:cs="Arial" w:eastAsia="Arial" w:hAnsi="Arial"/>
          <w:sz w:val="16"/>
          <w:szCs w:val="16"/>
          <w:color w:val="0000FF"/>
        </w:rPr>
        <w:tab/>
        <w:t>Joint Venture Restructure Agreement, dated as of January 29, 2009, by and among SanDisk Corporation, SanDisk (Ireland) Limited, SanDisk (Cayman) Limited, Toshiba Corporation, Flash Partners Limited and Flash Alliance Limited (Filed as Exhibit 10.1 to SanDisk Corporation’s Quarterly Report on Form 10-Q (File No. 000-26734) with the Securities and Exchange Commission on May 7, 2009)#</w:t>
      </w:r>
    </w:p>
    <w:p>
      <w:pPr>
        <w:spacing w:after="0" w:line="22" w:lineRule="exact"/>
        <w:rPr>
          <w:sz w:val="20"/>
          <w:szCs w:val="20"/>
          <w:color w:val="auto"/>
        </w:rPr>
      </w:pPr>
    </w:p>
    <w:p>
      <w:pPr>
        <w:ind w:left="1300" w:right="120" w:hanging="890"/>
        <w:spacing w:after="0" w:line="204" w:lineRule="exact"/>
        <w:tabs>
          <w:tab w:leader="none" w:pos="1280" w:val="left"/>
        </w:tabs>
        <w:rPr>
          <w:rFonts w:ascii="Arial" w:cs="Arial" w:eastAsia="Arial" w:hAnsi="Arial"/>
          <w:sz w:val="16"/>
          <w:szCs w:val="16"/>
          <w:color w:val="0000FF"/>
        </w:rPr>
      </w:pPr>
      <w:hyperlink r:id="rId114">
        <w:r>
          <w:rPr>
            <w:rFonts w:ascii="Arial" w:cs="Arial" w:eastAsia="Arial" w:hAnsi="Arial"/>
            <w:sz w:val="16"/>
            <w:szCs w:val="16"/>
            <w:u w:val="single" w:color="auto"/>
            <w:color w:val="0000FF"/>
          </w:rPr>
          <w:t>10.17</w:t>
        </w:r>
      </w:hyperlink>
      <w:r>
        <w:rPr>
          <w:rFonts w:ascii="Arial" w:cs="Arial" w:eastAsia="Arial" w:hAnsi="Arial"/>
          <w:sz w:val="16"/>
          <w:szCs w:val="16"/>
          <w:color w:val="0000FF"/>
        </w:rPr>
        <w:tab/>
      </w:r>
      <w:r>
        <w:rPr>
          <w:rFonts w:ascii="Arial" w:cs="Arial" w:eastAsia="Arial" w:hAnsi="Arial"/>
          <w:sz w:val="15"/>
          <w:szCs w:val="15"/>
          <w:color w:val="0000FF"/>
        </w:rPr>
        <w:t>New Y2 Facility Agreement, dated October 20, 2015, by and among SanDisk Corporation, SanDisk (Ireland) Limited, SanDisk (Cayman) Limited, SanDisk Flash B.V., Toshiba Corporation, Flash Partners Limited, Flash Alliance Limited and Flash Forward Limited (Filed as Exhibit 10.37 to SanDisk Corporation’s Annual Report on Form 10</w:t>
      </w:r>
      <w:r>
        <w:rPr>
          <w:rFonts w:ascii="MS PGothic" w:cs="MS PGothic" w:eastAsia="MS PGothic" w:hAnsi="MS PGothic"/>
          <w:sz w:val="15"/>
          <w:szCs w:val="15"/>
          <w:color w:val="0000FF"/>
        </w:rPr>
        <w:t>‑</w:t>
      </w:r>
      <w:r>
        <w:rPr>
          <w:rFonts w:ascii="Arial" w:cs="Arial" w:eastAsia="Arial" w:hAnsi="Arial"/>
          <w:sz w:val="15"/>
          <w:szCs w:val="15"/>
          <w:color w:val="0000FF"/>
        </w:rPr>
        <w:t>K (File No. 000-26734) with the Securities and Exchange Commission on February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21590</wp:posOffset>
            </wp:positionV>
            <wp:extent cx="7229475" cy="420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5">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32" w:lineRule="exact"/>
        <w:rPr>
          <w:sz w:val="20"/>
          <w:szCs w:val="20"/>
          <w:color w:val="auto"/>
        </w:rPr>
      </w:pPr>
    </w:p>
    <w:p>
      <w:pPr>
        <w:ind w:left="1300" w:right="100" w:hanging="890"/>
        <w:spacing w:after="0" w:line="278" w:lineRule="auto"/>
        <w:tabs>
          <w:tab w:leader="none" w:pos="1280" w:val="left"/>
        </w:tabs>
        <w:rPr>
          <w:rFonts w:ascii="Arial" w:cs="Arial" w:eastAsia="Arial" w:hAnsi="Arial"/>
          <w:sz w:val="16"/>
          <w:szCs w:val="16"/>
          <w:color w:val="0000FF"/>
        </w:rPr>
      </w:pPr>
      <w:hyperlink r:id="rId116">
        <w:r>
          <w:rPr>
            <w:rFonts w:ascii="Arial" w:cs="Arial" w:eastAsia="Arial" w:hAnsi="Arial"/>
            <w:sz w:val="16"/>
            <w:szCs w:val="16"/>
            <w:u w:val="single" w:color="auto"/>
            <w:color w:val="0000FF"/>
          </w:rPr>
          <w:t>10.18</w:t>
        </w:r>
      </w:hyperlink>
      <w:r>
        <w:rPr>
          <w:rFonts w:ascii="Arial" w:cs="Arial" w:eastAsia="Arial" w:hAnsi="Arial"/>
          <w:sz w:val="16"/>
          <w:szCs w:val="16"/>
          <w:color w:val="0000FF"/>
        </w:rPr>
        <w:tab/>
        <w:t>FAL Commitment and Extension Agreement, dated as of December 12, 2017, by and among Western Digital Corporation, SanDisk LLC, SanDisk (Ireland) Limited and Toshiba Memory Corporation (Filed as Exhibit 10.6 to the Company’s Quarterly Report on Form 10-Q (File No. 1-08703) with the Securities and Exchange Commission on February 6, 2018)#</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125" w:right="319" w:bottom="1440" w:gutter="0" w:footer="0" w:header="0"/>
          <w:type w:val="continuous"/>
        </w:sectPr>
      </w:pPr>
    </w:p>
    <w:bookmarkStart w:id="135" w:name="page136"/>
    <w:bookmarkEnd w:id="1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left="420"/>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10.19</w:t>
        </w:r>
      </w:hyperlink>
    </w:p>
    <w:p>
      <w:pPr>
        <w:spacing w:after="0" w:line="200" w:lineRule="exact"/>
        <w:rPr>
          <w:sz w:val="20"/>
          <w:szCs w:val="20"/>
          <w:color w:val="auto"/>
        </w:rPr>
      </w:pPr>
    </w:p>
    <w:p>
      <w:pPr>
        <w:spacing w:after="0" w:line="278" w:lineRule="exact"/>
        <w:rPr>
          <w:sz w:val="20"/>
          <w:szCs w:val="20"/>
          <w:color w:val="auto"/>
        </w:rPr>
      </w:pPr>
    </w:p>
    <w:p>
      <w:pPr>
        <w:ind w:left="420"/>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10.20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64319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0">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48" w:lineRule="exact"/>
        <w:rPr>
          <w:sz w:val="20"/>
          <w:szCs w:val="20"/>
          <w:color w:val="auto"/>
        </w:rPr>
      </w:pPr>
    </w:p>
    <w:p>
      <w:pPr>
        <w:jc w:val="both"/>
        <w:ind w:right="140"/>
        <w:spacing w:after="0" w:line="328" w:lineRule="auto"/>
        <w:rPr>
          <w:sz w:val="20"/>
          <w:szCs w:val="20"/>
          <w:color w:val="auto"/>
        </w:rPr>
      </w:pPr>
      <w:r>
        <w:rPr>
          <w:rFonts w:ascii="Arial" w:cs="Arial" w:eastAsia="Arial" w:hAnsi="Arial"/>
          <w:sz w:val="14"/>
          <w:szCs w:val="14"/>
          <w:color w:val="auto"/>
        </w:rPr>
        <w:t>Y6 Facility Agreement, dated as of December 12, 2017, by and among Western Digital Corporation, SanDisk LLC, SanDisk (Cayman) Limited, SanDisk (Ireland) Limited, SanDisk Flash B.V., Flash Partners, Ltd., Flash Alliance, Ltd., Flash Forward, Ltd. and Toshiba Memory Corporation (Filed as Exhibit 10.7 to the Company’s Quarterly Report on Form 10-Q (File No. 1-08703) with the Securities and Exchange Commission on February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-8890</wp:posOffset>
            </wp:positionV>
            <wp:extent cx="7229475" cy="420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1">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ind w:right="60"/>
        <w:spacing w:after="0" w:line="305" w:lineRule="auto"/>
        <w:rPr>
          <w:sz w:val="20"/>
          <w:szCs w:val="20"/>
          <w:color w:val="auto"/>
        </w:rPr>
      </w:pPr>
      <w:r>
        <w:rPr>
          <w:rFonts w:ascii="Arial" w:cs="Arial" w:eastAsia="Arial" w:hAnsi="Arial"/>
          <w:sz w:val="15"/>
          <w:szCs w:val="15"/>
          <w:color w:val="auto"/>
        </w:rPr>
        <w:t>Confidential Settlement and Mutual Release Agreement, dated as of December 12, 2017, by and among Western Digital Corporation, SanDisk LLC, SanDisk (Cayman) Limited, SanDisk (Ireland) Limited, SanDisk Flash B.V., Toshiba Corporation and Toshiba Memory Corporation (Filed as Exhibit 10.8 to the Company’s Quarterly Report on Form 10-Q (File No. 1-08703) with the Securities and Exchange Commission on February 6, 2018)#</w:t>
      </w:r>
    </w:p>
    <w:p>
      <w:pPr>
        <w:spacing w:after="0" w:line="4"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p>
      <w:pPr>
        <w:ind w:left="1300" w:right="80" w:hanging="890"/>
        <w:spacing w:after="0" w:line="297" w:lineRule="auto"/>
        <w:tabs>
          <w:tab w:leader="none" w:pos="1280" w:val="left"/>
        </w:tabs>
        <w:rPr>
          <w:rFonts w:ascii="Arial" w:cs="Arial" w:eastAsia="Arial" w:hAnsi="Arial"/>
          <w:sz w:val="16"/>
          <w:szCs w:val="16"/>
          <w:color w:val="0000FF"/>
        </w:rPr>
      </w:pPr>
      <w:hyperlink r:id="rId122">
        <w:r>
          <w:rPr>
            <w:rFonts w:ascii="Arial" w:cs="Arial" w:eastAsia="Arial" w:hAnsi="Arial"/>
            <w:sz w:val="16"/>
            <w:szCs w:val="16"/>
            <w:u w:val="single" w:color="auto"/>
            <w:color w:val="0000FF"/>
          </w:rPr>
          <w:t>10.21</w:t>
        </w:r>
      </w:hyperlink>
      <w:r>
        <w:rPr>
          <w:rFonts w:ascii="Arial" w:cs="Arial" w:eastAsia="Arial" w:hAnsi="Arial"/>
          <w:sz w:val="16"/>
          <w:szCs w:val="16"/>
          <w:color w:val="0000FF"/>
        </w:rPr>
        <w:tab/>
      </w:r>
      <w:r>
        <w:rPr>
          <w:rFonts w:ascii="Arial" w:cs="Arial" w:eastAsia="Arial" w:hAnsi="Arial"/>
          <w:sz w:val="15"/>
          <w:szCs w:val="15"/>
          <w:color w:val="0000FF"/>
        </w:rPr>
        <w:t>Confidential Settlement and Mutual Release Agreement, dated as of December 12, 2017, by and among Western Digital Corporation, SanDisk LLC, SanDisk (Cayman) Limited, SanDisk (Ireland) Limited, SanDisk Flash B.V., Bain Capital Private Equity, L.P., BCPE Pangea Cayman, L.P., BCPE Pangea Cayman2, Ltd., Bain Capital Fund XII, L.P., Bain Capital Asia Fund III, L.P. and K.K. Pangea (Filed as Exhibit 10.9 to the Company’s Quarterly Report on Form 10-Q (File No. 1-08703) with the Securities and Exchange Commission on February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wp:posOffset>
            </wp:positionV>
            <wp:extent cx="72294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60"/>
        <w:spacing w:after="0"/>
        <w:tabs>
          <w:tab w:leader="none" w:pos="1280" w:val="left"/>
        </w:tabs>
        <w:rPr>
          <w:rFonts w:ascii="Arial" w:cs="Arial" w:eastAsia="Arial" w:hAnsi="Arial"/>
          <w:sz w:val="16"/>
          <w:szCs w:val="16"/>
          <w:color w:val="0000FF"/>
        </w:rPr>
      </w:pPr>
      <w:hyperlink w:anchor="page150">
        <w:r>
          <w:rPr>
            <w:rFonts w:ascii="Arial" w:cs="Arial" w:eastAsia="Arial" w:hAnsi="Arial"/>
            <w:sz w:val="16"/>
            <w:szCs w:val="16"/>
            <w:u w:val="single" w:color="auto"/>
            <w:color w:val="0000FF"/>
          </w:rPr>
          <w:t>12.1</w:t>
        </w:r>
      </w:hyperlink>
      <w:r>
        <w:rPr>
          <w:rFonts w:ascii="Arial" w:cs="Arial" w:eastAsia="Arial" w:hAnsi="Arial"/>
          <w:sz w:val="16"/>
          <w:szCs w:val="16"/>
          <w:color w:val="0000FF"/>
        </w:rPr>
        <w:tab/>
      </w:r>
      <w:r>
        <w:rPr>
          <w:rFonts w:ascii="Arial" w:cs="Arial" w:eastAsia="Arial" w:hAnsi="Arial"/>
          <w:sz w:val="14"/>
          <w:szCs w:val="14"/>
          <w:color w:val="0000FF"/>
        </w:rPr>
        <w:t>Statement of Computation of Ratio of Earnings to Fixed Charges†</w:t>
      </w:r>
    </w:p>
    <w:p>
      <w:pPr>
        <w:spacing w:after="0" w:line="86" w:lineRule="exact"/>
        <w:rPr>
          <w:sz w:val="20"/>
          <w:szCs w:val="20"/>
          <w:color w:val="auto"/>
        </w:rPr>
      </w:pPr>
    </w:p>
    <w:p>
      <w:pPr>
        <w:ind w:left="1300" w:hanging="786"/>
        <w:spacing w:after="0"/>
        <w:tabs>
          <w:tab w:leader="none" w:pos="1300" w:val="left"/>
        </w:tabs>
        <w:numPr>
          <w:ilvl w:val="0"/>
          <w:numId w:val="39"/>
        </w:numPr>
        <w:rPr>
          <w:rFonts w:ascii="Arial" w:cs="Arial" w:eastAsia="Arial" w:hAnsi="Arial"/>
          <w:sz w:val="16"/>
          <w:szCs w:val="16"/>
          <w:u w:val="single" w:color="auto"/>
          <w:color w:val="0000FF"/>
        </w:rPr>
      </w:pPr>
      <w:r>
        <w:rPr>
          <w:rFonts w:ascii="Arial" w:cs="Arial" w:eastAsia="Arial" w:hAnsi="Arial"/>
          <w:sz w:val="16"/>
          <w:szCs w:val="16"/>
          <w:color w:val="auto"/>
        </w:rPr>
        <w:t>Subsidiaries of 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300" w:hanging="786"/>
        <w:spacing w:after="0"/>
        <w:tabs>
          <w:tab w:leader="none" w:pos="1300" w:val="left"/>
        </w:tabs>
        <w:numPr>
          <w:ilvl w:val="0"/>
          <w:numId w:val="40"/>
        </w:numPr>
        <w:rPr>
          <w:rFonts w:ascii="Arial" w:cs="Arial" w:eastAsia="Arial" w:hAnsi="Arial"/>
          <w:sz w:val="16"/>
          <w:szCs w:val="16"/>
          <w:u w:val="single" w:color="auto"/>
          <w:color w:val="0000FF"/>
        </w:rPr>
      </w:pPr>
      <w:r>
        <w:rPr>
          <w:rFonts w:ascii="Arial" w:cs="Arial" w:eastAsia="Arial" w:hAnsi="Arial"/>
          <w:sz w:val="16"/>
          <w:szCs w:val="16"/>
          <w:color w:val="auto"/>
        </w:rPr>
        <w:t>Consent of Independent Registered Public Accounting Firm†</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80" w:type="dxa"/>
            <w:vAlign w:val="bottom"/>
            <w:gridSpan w:val="3"/>
          </w:tcPr>
          <w:p>
            <w:pPr>
              <w:jc w:val="center"/>
              <w:spacing w:after="0"/>
              <w:rPr>
                <w:rFonts w:ascii="Arial" w:cs="Arial" w:eastAsia="Arial" w:hAnsi="Arial"/>
                <w:sz w:val="16"/>
                <w:szCs w:val="16"/>
                <w:color w:val="0000FF"/>
                <w:w w:val="89"/>
              </w:rPr>
            </w:pPr>
            <w:hyperlink w:anchor="page155">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780" w:type="dxa"/>
            <w:vAlign w:val="bottom"/>
          </w:tcPr>
          <w:p>
            <w:pPr>
              <w:spacing w:after="0"/>
              <w:rPr>
                <w:sz w:val="5"/>
                <w:szCs w:val="5"/>
                <w:color w:val="auto"/>
              </w:rPr>
            </w:pPr>
          </w:p>
        </w:tc>
      </w:tr>
      <w:tr>
        <w:trPr>
          <w:trHeight w:val="189"/>
        </w:trPr>
        <w:tc>
          <w:tcPr>
            <w:tcW w:w="20" w:type="dxa"/>
            <w:vAlign w:val="bottom"/>
          </w:tcPr>
          <w:p>
            <w:pPr>
              <w:spacing w:after="0"/>
              <w:rPr>
                <w:sz w:val="16"/>
                <w:szCs w:val="16"/>
                <w:color w:val="auto"/>
              </w:rPr>
            </w:pPr>
          </w:p>
        </w:tc>
        <w:tc>
          <w:tcPr>
            <w:tcW w:w="1080" w:type="dxa"/>
            <w:vAlign w:val="bottom"/>
            <w:gridSpan w:val="3"/>
            <w:shd w:val="clear" w:color="auto" w:fill="BFE4FF"/>
          </w:tcPr>
          <w:p>
            <w:pPr>
              <w:jc w:val="center"/>
              <w:spacing w:after="0"/>
              <w:rPr>
                <w:rFonts w:ascii="Arial" w:cs="Arial" w:eastAsia="Arial" w:hAnsi="Arial"/>
                <w:sz w:val="16"/>
                <w:szCs w:val="16"/>
                <w:color w:val="0000FF"/>
                <w:w w:val="89"/>
              </w:rPr>
            </w:pPr>
            <w:hyperlink w:anchor="page156">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0300" w:type="dxa"/>
            <w:vAlign w:val="bottom"/>
            <w:gridSpan w:val="2"/>
            <w:shd w:val="clear" w:color="auto" w:fill="BFE4FF"/>
          </w:tcPr>
          <w:p>
            <w:pPr>
              <w:ind w:left="200"/>
              <w:spacing w:after="0"/>
              <w:rPr>
                <w:sz w:val="20"/>
                <w:szCs w:val="20"/>
                <w:color w:val="auto"/>
              </w:rPr>
            </w:pPr>
            <w:r>
              <w:rPr>
                <w:rFonts w:ascii="Arial" w:cs="Arial" w:eastAsia="Arial" w:hAnsi="Arial"/>
                <w:sz w:val="16"/>
                <w:szCs w:val="16"/>
                <w:color w:val="auto"/>
              </w:rPr>
              <w:t>Certification of Principal Financial Officer Pursuant to Section 302 of the Sarbanes-Oxley Act of 2002†</w:t>
            </w:r>
          </w:p>
        </w:tc>
      </w:tr>
      <w:tr>
        <w:trPr>
          <w:trHeight w:val="61"/>
        </w:trPr>
        <w:tc>
          <w:tcPr>
            <w:tcW w:w="20" w:type="dxa"/>
            <w:vAlign w:val="bottom"/>
          </w:tcPr>
          <w:p>
            <w:pPr>
              <w:spacing w:after="0"/>
              <w:rPr>
                <w:sz w:val="5"/>
                <w:szCs w:val="5"/>
                <w:color w:val="auto"/>
              </w:rPr>
            </w:pPr>
          </w:p>
        </w:tc>
        <w:tc>
          <w:tcPr>
            <w:tcW w:w="440" w:type="dxa"/>
            <w:vAlign w:val="bottom"/>
            <w:tcBorders>
              <w:top w:val="single" w:sz="8" w:color="BFE4FF"/>
            </w:tcBorders>
            <w:shd w:val="clear" w:color="auto" w:fill="BFE4FF"/>
          </w:tcPr>
          <w:p>
            <w:pPr>
              <w:spacing w:after="0"/>
              <w:rPr>
                <w:sz w:val="5"/>
                <w:szCs w:val="5"/>
                <w:color w:val="auto"/>
              </w:rPr>
            </w:pPr>
          </w:p>
        </w:tc>
        <w:tc>
          <w:tcPr>
            <w:tcW w:w="280" w:type="dxa"/>
            <w:vAlign w:val="bottom"/>
            <w:tcBorders>
              <w:top w:val="single" w:sz="8" w:color="0000FF"/>
            </w:tcBorders>
            <w:shd w:val="clear" w:color="auto" w:fill="BFE4FF"/>
          </w:tcPr>
          <w:p>
            <w:pPr>
              <w:spacing w:after="0"/>
              <w:rPr>
                <w:sz w:val="5"/>
                <w:szCs w:val="5"/>
                <w:color w:val="auto"/>
              </w:rPr>
            </w:pPr>
          </w:p>
        </w:tc>
        <w:tc>
          <w:tcPr>
            <w:tcW w:w="360" w:type="dxa"/>
            <w:vAlign w:val="bottom"/>
            <w:tcBorders>
              <w:top w:val="single" w:sz="8" w:color="BFE4FF"/>
            </w:tcBorders>
            <w:shd w:val="clear" w:color="auto" w:fill="BFE4FF"/>
          </w:tcPr>
          <w:p>
            <w:pPr>
              <w:spacing w:after="0"/>
              <w:rPr>
                <w:sz w:val="5"/>
                <w:szCs w:val="5"/>
                <w:color w:val="auto"/>
              </w:rPr>
            </w:pPr>
          </w:p>
        </w:tc>
        <w:tc>
          <w:tcPr>
            <w:tcW w:w="520" w:type="dxa"/>
            <w:vAlign w:val="bottom"/>
            <w:tcBorders>
              <w:top w:val="single" w:sz="8" w:color="BFE4FF"/>
            </w:tcBorders>
            <w:shd w:val="clear" w:color="auto" w:fill="BFE4FF"/>
          </w:tcPr>
          <w:p>
            <w:pPr>
              <w:spacing w:after="0"/>
              <w:rPr>
                <w:sz w:val="5"/>
                <w:szCs w:val="5"/>
                <w:color w:val="auto"/>
              </w:rPr>
            </w:pPr>
          </w:p>
        </w:tc>
        <w:tc>
          <w:tcPr>
            <w:tcW w:w="9780" w:type="dxa"/>
            <w:vAlign w:val="bottom"/>
            <w:tcBorders>
              <w:top w:val="single" w:sz="8" w:color="BFE4FF"/>
            </w:tcBorders>
            <w:shd w:val="clear" w:color="auto" w:fill="BFE4FF"/>
          </w:tcPr>
          <w:p>
            <w:pPr>
              <w:spacing w:after="0"/>
              <w:rPr>
                <w:sz w:val="5"/>
                <w:szCs w:val="5"/>
                <w:color w:val="auto"/>
              </w:rPr>
            </w:pPr>
          </w:p>
        </w:tc>
      </w:tr>
      <w:tr>
        <w:trPr>
          <w:trHeight w:val="189"/>
        </w:trPr>
        <w:tc>
          <w:tcPr>
            <w:tcW w:w="20" w:type="dxa"/>
            <w:vAlign w:val="bottom"/>
          </w:tcPr>
          <w:p>
            <w:pPr>
              <w:spacing w:after="0"/>
              <w:rPr>
                <w:sz w:val="16"/>
                <w:szCs w:val="16"/>
                <w:color w:val="auto"/>
              </w:rPr>
            </w:pPr>
          </w:p>
        </w:tc>
        <w:tc>
          <w:tcPr>
            <w:tcW w:w="1080" w:type="dxa"/>
            <w:vAlign w:val="bottom"/>
            <w:gridSpan w:val="3"/>
          </w:tcPr>
          <w:p>
            <w:pPr>
              <w:jc w:val="center"/>
              <w:spacing w:after="0"/>
              <w:rPr>
                <w:rFonts w:ascii="Arial" w:cs="Arial" w:eastAsia="Arial" w:hAnsi="Arial"/>
                <w:sz w:val="16"/>
                <w:szCs w:val="16"/>
                <w:color w:val="0000FF"/>
                <w:w w:val="89"/>
              </w:rPr>
            </w:pPr>
            <w:hyperlink w:anchor="page157">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w w:val="95"/>
              </w:rPr>
              <w:t>Certification of Chief Executive Officer Pursuant to 18 U.S.C. Section 1350, as adopted pursuant to Section 906 of the Sarbanes-Oxley Act of 2002**</w:t>
            </w: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780" w:type="dxa"/>
            <w:vAlign w:val="bottom"/>
          </w:tcPr>
          <w:p>
            <w:pPr>
              <w:spacing w:after="0"/>
              <w:rPr>
                <w:sz w:val="5"/>
                <w:szCs w:val="5"/>
                <w:color w:val="auto"/>
              </w:rPr>
            </w:pPr>
          </w:p>
        </w:tc>
      </w:tr>
      <w:tr>
        <w:trPr>
          <w:trHeight w:val="189"/>
        </w:trPr>
        <w:tc>
          <w:tcPr>
            <w:tcW w:w="20" w:type="dxa"/>
            <w:vAlign w:val="bottom"/>
          </w:tcPr>
          <w:p>
            <w:pPr>
              <w:spacing w:after="0"/>
              <w:rPr>
                <w:sz w:val="16"/>
                <w:szCs w:val="16"/>
                <w:color w:val="auto"/>
              </w:rPr>
            </w:pPr>
          </w:p>
        </w:tc>
        <w:tc>
          <w:tcPr>
            <w:tcW w:w="1080" w:type="dxa"/>
            <w:vAlign w:val="bottom"/>
            <w:gridSpan w:val="3"/>
            <w:shd w:val="clear" w:color="auto" w:fill="BFE4FF"/>
          </w:tcPr>
          <w:p>
            <w:pPr>
              <w:jc w:val="center"/>
              <w:spacing w:after="0"/>
              <w:rPr>
                <w:rFonts w:ascii="Arial" w:cs="Arial" w:eastAsia="Arial" w:hAnsi="Arial"/>
                <w:sz w:val="16"/>
                <w:szCs w:val="16"/>
                <w:color w:val="0000FF"/>
                <w:w w:val="89"/>
              </w:rPr>
            </w:pPr>
            <w:hyperlink w:anchor="page158">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2</w:t>
              </w:r>
            </w:hyperlink>
          </w:p>
        </w:tc>
        <w:tc>
          <w:tcPr>
            <w:tcW w:w="10300" w:type="dxa"/>
            <w:vAlign w:val="bottom"/>
            <w:gridSpan w:val="2"/>
            <w:shd w:val="clear" w:color="auto" w:fill="BFE4FF"/>
          </w:tcPr>
          <w:p>
            <w:pPr>
              <w:ind w:left="200"/>
              <w:spacing w:after="0"/>
              <w:rPr>
                <w:sz w:val="20"/>
                <w:szCs w:val="20"/>
                <w:color w:val="auto"/>
              </w:rPr>
            </w:pPr>
            <w:r>
              <w:rPr>
                <w:rFonts w:ascii="Arial" w:cs="Arial" w:eastAsia="Arial" w:hAnsi="Arial"/>
                <w:sz w:val="16"/>
                <w:szCs w:val="16"/>
                <w:color w:val="auto"/>
                <w:w w:val="96"/>
              </w:rPr>
              <w:t>Certification of Chief Financial Officer Pursuant to 18 U.S.C. Section 1350, as adopted pursuant to Section 906 of the Sarbanes-Oxley Act of 2002**</w:t>
            </w:r>
          </w:p>
        </w:tc>
      </w:tr>
      <w:tr>
        <w:trPr>
          <w:trHeight w:val="61"/>
        </w:trPr>
        <w:tc>
          <w:tcPr>
            <w:tcW w:w="20" w:type="dxa"/>
            <w:vAlign w:val="bottom"/>
          </w:tcPr>
          <w:p>
            <w:pPr>
              <w:spacing w:after="0"/>
              <w:rPr>
                <w:sz w:val="5"/>
                <w:szCs w:val="5"/>
                <w:color w:val="auto"/>
              </w:rPr>
            </w:pPr>
          </w:p>
        </w:tc>
        <w:tc>
          <w:tcPr>
            <w:tcW w:w="440" w:type="dxa"/>
            <w:vAlign w:val="bottom"/>
            <w:tcBorders>
              <w:top w:val="single" w:sz="8" w:color="BFE4FF"/>
            </w:tcBorders>
            <w:shd w:val="clear" w:color="auto" w:fill="BFE4FF"/>
          </w:tcPr>
          <w:p>
            <w:pPr>
              <w:spacing w:after="0"/>
              <w:rPr>
                <w:sz w:val="5"/>
                <w:szCs w:val="5"/>
                <w:color w:val="auto"/>
              </w:rPr>
            </w:pPr>
          </w:p>
        </w:tc>
        <w:tc>
          <w:tcPr>
            <w:tcW w:w="280" w:type="dxa"/>
            <w:vAlign w:val="bottom"/>
            <w:tcBorders>
              <w:top w:val="single" w:sz="8" w:color="0000FF"/>
            </w:tcBorders>
            <w:shd w:val="clear" w:color="auto" w:fill="BFE4FF"/>
          </w:tcPr>
          <w:p>
            <w:pPr>
              <w:spacing w:after="0"/>
              <w:rPr>
                <w:sz w:val="5"/>
                <w:szCs w:val="5"/>
                <w:color w:val="auto"/>
              </w:rPr>
            </w:pPr>
          </w:p>
        </w:tc>
        <w:tc>
          <w:tcPr>
            <w:tcW w:w="360" w:type="dxa"/>
            <w:vAlign w:val="bottom"/>
            <w:tcBorders>
              <w:top w:val="single" w:sz="8" w:color="BFE4FF"/>
            </w:tcBorders>
            <w:shd w:val="clear" w:color="auto" w:fill="BFE4FF"/>
          </w:tcPr>
          <w:p>
            <w:pPr>
              <w:spacing w:after="0"/>
              <w:rPr>
                <w:sz w:val="5"/>
                <w:szCs w:val="5"/>
                <w:color w:val="auto"/>
              </w:rPr>
            </w:pPr>
          </w:p>
        </w:tc>
        <w:tc>
          <w:tcPr>
            <w:tcW w:w="520" w:type="dxa"/>
            <w:vAlign w:val="bottom"/>
            <w:tcBorders>
              <w:top w:val="single" w:sz="8" w:color="BFE4FF"/>
            </w:tcBorders>
            <w:shd w:val="clear" w:color="auto" w:fill="BFE4FF"/>
          </w:tcPr>
          <w:p>
            <w:pPr>
              <w:spacing w:after="0"/>
              <w:rPr>
                <w:sz w:val="5"/>
                <w:szCs w:val="5"/>
                <w:color w:val="auto"/>
              </w:rPr>
            </w:pPr>
          </w:p>
        </w:tc>
        <w:tc>
          <w:tcPr>
            <w:tcW w:w="9780" w:type="dxa"/>
            <w:vAlign w:val="bottom"/>
            <w:tcBorders>
              <w:top w:val="single" w:sz="8" w:color="BFE4FF"/>
            </w:tcBorders>
            <w:shd w:val="clear" w:color="auto" w:fill="BFE4FF"/>
          </w:tcPr>
          <w:p>
            <w:pPr>
              <w:spacing w:after="0"/>
              <w:rPr>
                <w:sz w:val="5"/>
                <w:szCs w:val="5"/>
                <w:color w:val="auto"/>
              </w:rPr>
            </w:pPr>
          </w:p>
        </w:tc>
      </w:tr>
      <w:tr>
        <w:trPr>
          <w:trHeight w:val="224"/>
        </w:trPr>
        <w:tc>
          <w:tcPr>
            <w:tcW w:w="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color w:val="auto"/>
                <w:w w:val="93"/>
              </w:rPr>
              <w:t>101.INS</w:t>
            </w:r>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XBRL Instance Document†</w:t>
            </w:r>
          </w:p>
        </w:tc>
      </w:tr>
      <w:tr>
        <w:trPr>
          <w:trHeight w:val="47"/>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080" w:type="dxa"/>
            <w:vAlign w:val="bottom"/>
            <w:tcBorders>
              <w:bottom w:val="single" w:sz="8" w:color="BFE4FF"/>
            </w:tcBorders>
            <w:gridSpan w:val="3"/>
            <w:shd w:val="clear" w:color="auto" w:fill="BFE4FF"/>
          </w:tcPr>
          <w:p>
            <w:pPr>
              <w:jc w:val="center"/>
              <w:spacing w:after="0"/>
              <w:rPr>
                <w:sz w:val="20"/>
                <w:szCs w:val="20"/>
                <w:color w:val="auto"/>
              </w:rPr>
            </w:pPr>
            <w:r>
              <w:rPr>
                <w:rFonts w:ascii="Arial" w:cs="Arial" w:eastAsia="Arial" w:hAnsi="Arial"/>
                <w:sz w:val="16"/>
                <w:szCs w:val="16"/>
                <w:color w:val="auto"/>
                <w:w w:val="92"/>
              </w:rPr>
              <w:t>101.SCH</w:t>
            </w:r>
          </w:p>
        </w:tc>
        <w:tc>
          <w:tcPr>
            <w:tcW w:w="10300" w:type="dxa"/>
            <w:vAlign w:val="bottom"/>
            <w:tcBorders>
              <w:bottom w:val="single" w:sz="8" w:color="BFE4FF"/>
            </w:tcBorders>
            <w:gridSpan w:val="2"/>
            <w:shd w:val="clear" w:color="auto" w:fill="BFE4FF"/>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color w:val="auto"/>
                <w:w w:val="96"/>
              </w:rPr>
              <w:t>101.CAL</w:t>
            </w:r>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080" w:type="dxa"/>
            <w:vAlign w:val="bottom"/>
            <w:tcBorders>
              <w:bottom w:val="single" w:sz="8" w:color="BFE4FF"/>
            </w:tcBorders>
            <w:gridSpan w:val="3"/>
            <w:shd w:val="clear" w:color="auto" w:fill="BFE4FF"/>
          </w:tcPr>
          <w:p>
            <w:pPr>
              <w:jc w:val="center"/>
              <w:spacing w:after="0"/>
              <w:rPr>
                <w:sz w:val="20"/>
                <w:szCs w:val="20"/>
                <w:color w:val="auto"/>
              </w:rPr>
            </w:pPr>
            <w:r>
              <w:rPr>
                <w:rFonts w:ascii="Arial" w:cs="Arial" w:eastAsia="Arial" w:hAnsi="Arial"/>
                <w:sz w:val="16"/>
                <w:szCs w:val="16"/>
                <w:color w:val="auto"/>
                <w:w w:val="97"/>
              </w:rPr>
              <w:t>101.LAB</w:t>
            </w:r>
          </w:p>
        </w:tc>
        <w:tc>
          <w:tcPr>
            <w:tcW w:w="10300" w:type="dxa"/>
            <w:vAlign w:val="bottom"/>
            <w:tcBorders>
              <w:bottom w:val="single" w:sz="8" w:color="BFE4FF"/>
            </w:tcBorders>
            <w:gridSpan w:val="2"/>
            <w:shd w:val="clear" w:color="auto" w:fill="BFE4FF"/>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224"/>
        </w:trPr>
        <w:tc>
          <w:tcPr>
            <w:tcW w:w="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color w:val="auto"/>
                <w:w w:val="90"/>
              </w:rPr>
              <w:t>101.PRE</w:t>
            </w:r>
          </w:p>
        </w:tc>
        <w:tc>
          <w:tcPr>
            <w:tcW w:w="10300" w:type="dxa"/>
            <w:vAlign w:val="bottom"/>
            <w:gridSpan w:val="2"/>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080" w:type="dxa"/>
            <w:vAlign w:val="bottom"/>
            <w:tcBorders>
              <w:bottom w:val="single" w:sz="8" w:color="BFE4FF"/>
            </w:tcBorders>
            <w:gridSpan w:val="3"/>
            <w:shd w:val="clear" w:color="auto" w:fill="BFE4FF"/>
          </w:tcPr>
          <w:p>
            <w:pPr>
              <w:jc w:val="center"/>
              <w:spacing w:after="0"/>
              <w:rPr>
                <w:sz w:val="20"/>
                <w:szCs w:val="20"/>
                <w:color w:val="auto"/>
              </w:rPr>
            </w:pPr>
            <w:r>
              <w:rPr>
                <w:rFonts w:ascii="Arial" w:cs="Arial" w:eastAsia="Arial" w:hAnsi="Arial"/>
                <w:sz w:val="16"/>
                <w:szCs w:val="16"/>
                <w:color w:val="auto"/>
                <w:w w:val="94"/>
              </w:rPr>
              <w:t>101.DEF</w:t>
            </w:r>
          </w:p>
        </w:tc>
        <w:tc>
          <w:tcPr>
            <w:tcW w:w="10300" w:type="dxa"/>
            <w:vAlign w:val="bottom"/>
            <w:tcBorders>
              <w:bottom w:val="single" w:sz="8" w:color="BFE4FF"/>
            </w:tcBorders>
            <w:gridSpan w:val="2"/>
            <w:shd w:val="clear" w:color="auto" w:fill="BFE4FF"/>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r>
        <w:trPr>
          <w:trHeight w:val="135"/>
        </w:trPr>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780" w:type="dxa"/>
            <w:vAlign w:val="bottom"/>
          </w:tcPr>
          <w:p>
            <w:pPr>
              <w:spacing w:after="0"/>
              <w:rPr>
                <w:sz w:val="11"/>
                <w:szCs w:val="11"/>
                <w:color w:val="auto"/>
              </w:rPr>
            </w:pPr>
          </w:p>
        </w:tc>
      </w:tr>
    </w:tbl>
    <w:p>
      <w:pPr>
        <w:spacing w:after="0" w:line="10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8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40" w:right="140" w:hanging="332"/>
        <w:spacing w:after="0" w:line="250"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supplementally copies of any of the omitted schedules upon request by the Securities and Exchange Commission.</w:t>
      </w:r>
    </w:p>
    <w:p>
      <w:pPr>
        <w:spacing w:after="0" w:line="1" w:lineRule="exact"/>
        <w:rPr>
          <w:sz w:val="20"/>
          <w:szCs w:val="20"/>
          <w:color w:val="auto"/>
        </w:rPr>
      </w:pPr>
    </w:p>
    <w:p>
      <w:pPr>
        <w:ind w:left="340" w:right="360" w:hanging="332"/>
        <w:spacing w:after="0" w:line="323"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35" w:lineRule="exact"/>
        <w:rPr>
          <w:sz w:val="20"/>
          <w:szCs w:val="20"/>
          <w:color w:val="auto"/>
        </w:rPr>
      </w:pPr>
    </w:p>
    <w:p>
      <w:pPr>
        <w:spacing w:after="0" w:line="207" w:lineRule="exact"/>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125" w:right="25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to be signed on its behalf by the undersigned, thereunto duly authorized.</w:t>
      </w:r>
    </w:p>
    <w:p>
      <w:pPr>
        <w:spacing w:after="0" w:line="1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387"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President WD Capital, Chief Strategy Officer and Chief Financial</w:t>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2018</w:t>
      </w:r>
    </w:p>
    <w:p>
      <w:pPr>
        <w:spacing w:after="0" w:line="225" w:lineRule="exact"/>
        <w:rPr>
          <w:sz w:val="20"/>
          <w:szCs w:val="20"/>
          <w:color w:val="auto"/>
        </w:rPr>
      </w:pPr>
    </w:p>
    <w:p>
      <w:pPr>
        <w:ind w:right="120" w:firstLine="324"/>
        <w:spacing w:after="0" w:line="223" w:lineRule="exact"/>
        <w:rPr>
          <w:sz w:val="20"/>
          <w:szCs w:val="20"/>
          <w:color w:val="auto"/>
        </w:rPr>
      </w:pPr>
      <w:r>
        <w:rPr>
          <w:rFonts w:ascii="Arial" w:cs="Arial" w:eastAsia="Arial" w:hAnsi="Arial"/>
          <w:sz w:val="18"/>
          <w:szCs w:val="18"/>
          <w:color w:val="auto"/>
        </w:rPr>
        <w:t>Pursuant to the requirements of the Securities Exchange Act of 1934,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Title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3200" w:type="dxa"/>
            <w:vAlign w:val="bottom"/>
          </w:tcPr>
          <w:p>
            <w:pPr>
              <w:ind w:left="40"/>
              <w:spacing w:after="0"/>
              <w:rPr>
                <w:sz w:val="20"/>
                <w:szCs w:val="20"/>
                <w:color w:val="auto"/>
              </w:rPr>
            </w:pPr>
            <w:r>
              <w:rPr>
                <w:rFonts w:ascii="Arial" w:cs="Arial" w:eastAsia="Arial" w:hAnsi="Arial"/>
                <w:sz w:val="18"/>
                <w:szCs w:val="18"/>
                <w:color w:val="auto"/>
              </w:rPr>
              <w:t>/s/ STEPHEN D. MILLIGAN</w:t>
            </w:r>
          </w:p>
        </w:tc>
        <w:tc>
          <w:tcPr>
            <w:tcW w:w="140" w:type="dxa"/>
            <w:vAlign w:val="bottom"/>
          </w:tcPr>
          <w:p>
            <w:pPr>
              <w:spacing w:after="0"/>
              <w:rPr>
                <w:sz w:val="24"/>
                <w:szCs w:val="24"/>
                <w:color w:val="auto"/>
              </w:rPr>
            </w:pPr>
          </w:p>
        </w:tc>
        <w:tc>
          <w:tcPr>
            <w:tcW w:w="602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2"/>
              </w:rPr>
              <w:t>Chief Executive Officer,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6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Stephen D. Milligan</w:t>
            </w:r>
          </w:p>
        </w:tc>
        <w:tc>
          <w:tcPr>
            <w:tcW w:w="140" w:type="dxa"/>
            <w:vAlign w:val="bottom"/>
            <w:vMerge w:val="continue"/>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3200" w:type="dxa"/>
            <w:vAlign w:val="bottom"/>
          </w:tcPr>
          <w:p>
            <w:pPr>
              <w:ind w:left="40"/>
              <w:spacing w:after="0"/>
              <w:rPr>
                <w:sz w:val="20"/>
                <w:szCs w:val="20"/>
                <w:color w:val="auto"/>
              </w:rPr>
            </w:pPr>
            <w:r>
              <w:rPr>
                <w:rFonts w:ascii="Arial" w:cs="Arial" w:eastAsia="Arial" w:hAnsi="Arial"/>
                <w:sz w:val="18"/>
                <w:szCs w:val="18"/>
                <w:color w:val="auto"/>
              </w:rPr>
              <w:t>/s/ MARK P. LONG</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3"/>
              </w:rPr>
              <w:t>President WD Capital, Chief Strategy Officer and 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6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Mark P. Long</w:t>
            </w:r>
          </w:p>
        </w:tc>
        <w:tc>
          <w:tcPr>
            <w:tcW w:w="140" w:type="dxa"/>
            <w:vAlign w:val="bottom"/>
            <w:vMerge w:val="continue"/>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MATTHEW E. MASSENGILL</w:t>
            </w:r>
          </w:p>
        </w:tc>
        <w:tc>
          <w:tcPr>
            <w:tcW w:w="140" w:type="dxa"/>
            <w:vAlign w:val="bottom"/>
          </w:tcPr>
          <w:p>
            <w:pPr>
              <w:spacing w:after="0"/>
              <w:rPr>
                <w:sz w:val="24"/>
                <w:szCs w:val="24"/>
                <w:color w:val="auto"/>
              </w:rPr>
            </w:pPr>
          </w:p>
        </w:tc>
        <w:tc>
          <w:tcPr>
            <w:tcW w:w="6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Matthew E. Massengill</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MARTIN I. COLE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Martin I. Cole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KATHLEEN A. COTE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Kathleen A. Cote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HENRY T. DENERO</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Henry T. DeNero</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MICHAEL D. LAMBERT</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Michael D. Lambert</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LEN J. LAUER</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Len J. Lauer</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PAULA A. PRICE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Paula A. Price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200" w:type="dxa"/>
            <w:vAlign w:val="bottom"/>
          </w:tcPr>
          <w:p>
            <w:pPr>
              <w:spacing w:after="0"/>
              <w:rPr>
                <w:sz w:val="24"/>
                <w:szCs w:val="24"/>
                <w:color w:val="auto"/>
              </w:rPr>
            </w:pPr>
          </w:p>
        </w:tc>
        <w:tc>
          <w:tcPr>
            <w:tcW w:w="6060" w:type="dxa"/>
            <w:vAlign w:val="bottom"/>
            <w:gridSpan w:val="2"/>
          </w:tcPr>
          <w:p>
            <w:pPr>
              <w:jc w:val="right"/>
              <w:ind w:right="33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10.4</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Western Digital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Compensation Arrangements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Named Executive Officers and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August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2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The current annual base salaries for the executive officers of Western Digital Corporation (the “Company”) who were named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Compensation Table in the Company’s Proxy Statement that was filed with the Securities and Exchange Commission in connection with the Company’s 2017 Annual Meeting of Stockholders (the “Named Executive Officers”)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vMerge w:val="restart"/>
          </w:tcPr>
          <w:p>
            <w:pPr>
              <w:spacing w:after="0"/>
              <w:rPr>
                <w:sz w:val="14"/>
                <w:szCs w:val="14"/>
                <w:color w:val="auto"/>
              </w:rPr>
            </w:pPr>
          </w:p>
        </w:tc>
        <w:tc>
          <w:tcPr>
            <w:tcW w:w="6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455"/>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6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Stephen D. Milligan</w:t>
            </w: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D. Cordano</w:t>
            </w: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P. Long</w:t>
            </w: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WD Capital, Chief Strategy Officer and Chief Financial Officer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Martin R. Fink</w:t>
            </w: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Technology Officer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C. Ray</w:t>
            </w: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Legal Officer and Secretary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Semi-Annual Bonuses</w:t>
      </w:r>
      <w:r>
        <w:rPr>
          <w:rFonts w:ascii="Arial" w:cs="Arial" w:eastAsia="Arial" w:hAnsi="Arial"/>
          <w:sz w:val="18"/>
          <w:szCs w:val="18"/>
          <w:color w:val="auto"/>
        </w:rPr>
        <w:t>. The Named Executive Officers are also eligible to receive semi-annual cash bonus awards pursuant to the short-term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(“STI”) under the Company’s Incentive Compensation Plan. The cash bonus awards are determined based on the Company’s achievement of performance goals pre-established by the Compensation Committee (the “Committee”) of the Company’s Board of Directors (for fiscal 2018, pre-established adjusted earnings per share goals) as well as other factors.</w:t>
      </w:r>
    </w:p>
    <w:p>
      <w:pPr>
        <w:spacing w:after="0" w:line="18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i w:val="1"/>
          <w:iCs w:val="1"/>
          <w:color w:val="auto"/>
        </w:rPr>
        <w:t>Additional Compensation</w:t>
      </w:r>
      <w:r>
        <w:rPr>
          <w:rFonts w:ascii="Arial" w:cs="Arial" w:eastAsia="Arial" w:hAnsi="Arial"/>
          <w:sz w:val="17"/>
          <w:szCs w:val="17"/>
          <w:color w:val="auto"/>
        </w:rPr>
        <w:t>. The Named Executive Officers are also eligible to receive equity-based incentives as determined by the Committee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2017 Performance Incentive Plan and entitled to participate in various other Company plans in each case as set forth in exhibits to the Company’s filings with the Securities and Exchange Commission or in accordance with plans available to the Company's employees generally. In addition, the Named Executive Officers may be eligible to receive perquisites and other personal benefits as disclosed in the Company’s Proxy Statement filed with the Securities and Exchange Commission in connection with the Company’s 2017 Annual Meeting of Stockholders.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Annual Retainer and Committee Retainer Fees. </w:t>
      </w:r>
      <w:r>
        <w:rPr>
          <w:rFonts w:ascii="Arial" w:cs="Arial" w:eastAsia="Arial" w:hAnsi="Arial"/>
          <w:sz w:val="18"/>
          <w:szCs w:val="18"/>
          <w:color w:val="auto"/>
        </w:rPr>
        <w:t>The following table sets forth the current annual retainer and committee membership fees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non-employee directors: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Fee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Current Annual</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Retainer Fees</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 Retainer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Additional Non-Executive Chairman of Board Retainer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Committee Retainers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Audit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Compensation Committee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Governance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Committee Chairman Retainers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Audit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Compensation Committee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Governance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138" w:name="page139"/>
    <w:bookmarkEnd w:id="138"/>
    <w:p>
      <w:pPr>
        <w:ind w:firstLine="432"/>
        <w:spacing w:after="0" w:line="276" w:lineRule="auto"/>
        <w:rPr>
          <w:sz w:val="20"/>
          <w:szCs w:val="20"/>
          <w:color w:val="auto"/>
        </w:rPr>
      </w:pPr>
      <w:r>
        <w:rPr>
          <w:rFonts w:ascii="Arial" w:cs="Arial" w:eastAsia="Arial" w:hAnsi="Arial"/>
          <w:sz w:val="17"/>
          <w:szCs w:val="17"/>
          <w:color w:val="auto"/>
        </w:rPr>
        <w:t>The annual retainer fees are paid immediately following the Annual Meeting of Stockholders. Directors who are appointed to the Board during the year are paid a pro-rata amount of the annual director retainer fees based on service to be rendered for the remaining part of the year after appointment. Non-employee directors do not receive a separate fee for each Board of Directors or committee meeting they attend. However, the Company reimburses all non-employee directors for reasonable out-of-pocket expenses incurred to attend each Board of Directors or committee meeting. Mr. Milligan, who is an employee of the Company, does not receive any compensation for his service on the Board or any Board committee.</w:t>
      </w:r>
    </w:p>
    <w:p>
      <w:pPr>
        <w:spacing w:after="0" w:line="1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Additional Director Compensation</w:t>
      </w:r>
      <w:r>
        <w:rPr>
          <w:rFonts w:ascii="Arial" w:cs="Arial" w:eastAsia="Arial" w:hAnsi="Arial"/>
          <w:sz w:val="18"/>
          <w:szCs w:val="18"/>
          <w:color w:val="auto"/>
        </w:rPr>
        <w:t>. The Company’s non-employee directors are also entitled to participate in the following other Company plans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exhibits to the Company’s filings with the Securities and Exchange Commission: Non-Employee Director Restricted Stock Unit Grant Program, as adopted under the Company’s 2017 Performance Incentive Plan; and Deferred Compensation Plan.</w:t>
      </w:r>
    </w:p>
    <w:p>
      <w:pPr>
        <w:spacing w:after="0" w:line="181"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For fiscal 2018, the Board has provided that each of the Company’s non-employee directors automatically receive, immediately following each annual meeting of stockholders if he or she has been reelected as a director at that annual meeting, an award of restricted stock units under the Non-Employee Director Restricted Stock Unit Grant Program equal in value to $240,000 (or, in the case of our non-employee director serving as Chairman of the Board, $290,000, or, in the case of the Lead Independent Director, $270,000), based on the closing market value of an equivalent number of shares of our common stock on the grant date, rounded down to the nearest whole share. Upon first being appointed or elected to the Board, a new non-employee director who has not previously served on the Board is awarded a pro-rata award under the Non-Employee Director Restricted Stock Unit Grant Program based on the remaining part of the year after appointment. Each award of restricted stock units represents the right to receive an equivalent number of shares of our common stock on the applicable vesting date as provided in the Non-Employee Director Restricted Stock Unit Grant Program.</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from time to time amend the compensation arrangements for the Company’s non-employee directors.</w:t>
      </w:r>
    </w:p>
    <w:p>
      <w:pPr>
        <w:sectPr>
          <w:pgSz w:w="11900" w:h="16838" w:orient="portrait"/>
          <w:cols w:equalWidth="0" w:num="1">
            <w:col w:w="11420"/>
          </w:cols>
          <w:pgMar w:left="240" w:top="58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effective as of [DATE], between SanDisk Corporation,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[NAME]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 THAT: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performs a valuable service for the Company; and</w:t>
      </w:r>
    </w:p>
    <w:p>
      <w:pPr>
        <w:spacing w:after="0" w:line="225" w:lineRule="exact"/>
        <w:rPr>
          <w:sz w:val="20"/>
          <w:szCs w:val="20"/>
          <w:color w:val="auto"/>
        </w:rPr>
      </w:pPr>
    </w:p>
    <w:p>
      <w:pPr>
        <w:ind w:right="380"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have adopted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of officers, directors and agents of the Company to the maximum extent authorized by Section 145 of the Delaware General Corporation Law, as amended (the “</w:t>
      </w:r>
      <w:r>
        <w:rPr>
          <w:rFonts w:ascii="Arial" w:cs="Arial" w:eastAsia="Arial" w:hAnsi="Arial"/>
          <w:sz w:val="18"/>
          <w:szCs w:val="18"/>
          <w:b w:val="1"/>
          <w:bCs w:val="1"/>
          <w:i w:val="1"/>
          <w:iCs w:val="1"/>
          <w:color w:val="auto"/>
        </w:rPr>
        <w:t>Law</w:t>
      </w:r>
      <w:r>
        <w:rPr>
          <w:rFonts w:ascii="Arial" w:cs="Arial" w:eastAsia="Arial" w:hAnsi="Arial"/>
          <w:sz w:val="18"/>
          <w:szCs w:val="18"/>
          <w:color w:val="auto"/>
        </w:rPr>
        <w:t>”); and</w:t>
      </w:r>
    </w:p>
    <w:p>
      <w:pPr>
        <w:spacing w:after="0" w:line="176"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Bylaws and the Law by their nonexclusive nature, permit contracts between the Company and the officers,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of the Company with respect to indemnification of such directors; and</w:t>
      </w:r>
    </w:p>
    <w:p>
      <w:pPr>
        <w:spacing w:after="0" w:line="162"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the authorization as provided by the Law, the Company may purchase and maintain a policy or policies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officer’s liability insurance (“</w:t>
      </w:r>
      <w:r>
        <w:rPr>
          <w:rFonts w:ascii="Arial" w:cs="Arial" w:eastAsia="Arial" w:hAnsi="Arial"/>
          <w:sz w:val="18"/>
          <w:szCs w:val="18"/>
          <w:b w:val="1"/>
          <w:bCs w:val="1"/>
          <w:i w:val="1"/>
          <w:iCs w:val="1"/>
          <w:color w:val="auto"/>
        </w:rPr>
        <w:t>D &amp; O Insurance</w:t>
      </w:r>
      <w:r>
        <w:rPr>
          <w:rFonts w:ascii="Arial" w:cs="Arial" w:eastAsia="Arial" w:hAnsi="Arial"/>
          <w:sz w:val="18"/>
          <w:szCs w:val="18"/>
          <w:color w:val="auto"/>
        </w:rPr>
        <w:t>”), covering certain liabilities which may be incurred by its directors in the performance of their obligations as directors, officers and agents of the Company; and</w:t>
      </w:r>
    </w:p>
    <w:p>
      <w:pPr>
        <w:spacing w:after="0" w:line="176" w:lineRule="exact"/>
        <w:rPr>
          <w:sz w:val="20"/>
          <w:szCs w:val="20"/>
          <w:color w:val="auto"/>
        </w:rPr>
      </w:pPr>
    </w:p>
    <w:p>
      <w:pPr>
        <w:ind w:right="340"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result of recent developments affecting the terms, scope and availability of D &amp; O Insurance there exists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uncertainty as to the extent of protection afforded Company directors by such D &amp; O Insurance and said uncertainty also exists under statutory and bylaw indemnification provisions; and</w:t>
      </w:r>
    </w:p>
    <w:p>
      <w:pPr>
        <w:spacing w:after="0" w:line="176" w:lineRule="exact"/>
        <w:rPr>
          <w:sz w:val="20"/>
          <w:szCs w:val="20"/>
          <w:color w:val="auto"/>
        </w:rPr>
      </w:pPr>
    </w:p>
    <w:p>
      <w:pPr>
        <w:ind w:right="52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Indemnitee to [continue to] serve as [POSITION] of the Company, the Company has determined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enter into this contract with Indemnitee;</w:t>
      </w:r>
    </w:p>
    <w:p>
      <w:pPr>
        <w:spacing w:after="0" w:line="162"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Indemnitee’s continued service as an officer, director or agent after the date hereof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agree as follows:</w:t>
      </w:r>
    </w:p>
    <w:p>
      <w:pPr>
        <w:spacing w:after="0" w:line="189" w:lineRule="exact"/>
        <w:rPr>
          <w:sz w:val="20"/>
          <w:szCs w:val="20"/>
          <w:color w:val="auto"/>
        </w:rPr>
      </w:pPr>
    </w:p>
    <w:p>
      <w:pPr>
        <w:ind w:left="660" w:right="220" w:firstLine="1293"/>
        <w:spacing w:after="0" w:line="313" w:lineRule="auto"/>
        <w:tabs>
          <w:tab w:leader="none" w:pos="274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 of Indemnitee</w:t>
      </w:r>
      <w:r>
        <w:rPr>
          <w:rFonts w:ascii="Arial" w:cs="Arial" w:eastAsia="Arial" w:hAnsi="Arial"/>
          <w:sz w:val="18"/>
          <w:szCs w:val="18"/>
          <w:color w:val="auto"/>
        </w:rPr>
        <w:t>. The Company hereby agrees to hold harmless and indemnify Indemnitee to the full extent</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permitted by the provisions of the Law, as such may be amended from time to time, and Article VIII of the Bylaws, as such may be amended. In furtherance of the foregoing indemnification, and without limiting the generality thereof:</w:t>
      </w:r>
    </w:p>
    <w:p>
      <w:pPr>
        <w:spacing w:after="0" w:line="180" w:lineRule="exact"/>
        <w:rPr>
          <w:rFonts w:ascii="Arial" w:cs="Arial" w:eastAsia="Arial" w:hAnsi="Arial"/>
          <w:sz w:val="18"/>
          <w:szCs w:val="18"/>
          <w:color w:val="auto"/>
        </w:rPr>
      </w:pPr>
    </w:p>
    <w:p>
      <w:pPr>
        <w:ind w:left="80" w:right="260" w:firstLine="1940"/>
        <w:spacing w:after="0" w:line="322" w:lineRule="auto"/>
        <w:tabs>
          <w:tab w:leader="none" w:pos="279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Proceedings Other Than Proceedings by or in the Right of the Company</w:t>
      </w:r>
      <w:r>
        <w:rPr>
          <w:rFonts w:ascii="Arial" w:cs="Arial" w:eastAsia="Arial" w:hAnsi="Arial"/>
          <w:sz w:val="17"/>
          <w:szCs w:val="17"/>
          <w:color w:val="auto"/>
        </w:rPr>
        <w:t>. Indemnitee shall be entitled to the rights of indemnification provided in this Section 1(a) if, by reason of his Corporate Status (as hereinafter defined), he is, or is threatened to be made, a party to or participant in any Proceeding (as hereinafter defined) other than a Proceeding by or in the right of the Company. Pursuant to this Section 1(a), Indemnitee shall be indemnified against all Expenses (as hereinafter defined), judgments, penalties, fines and amounts paid in settlement actually and reasonably incurred by him or on his behalf in connection with such Proceeding or any claim, issue or matter therein, if he acted in good faith and in a manner he reasonably believed to be in or not opposed to the best interests of the Company and, with respect to any criminal Proceeding, had no reasonable cause to believe his conduct was unlawful.</w:t>
      </w:r>
    </w:p>
    <w:p>
      <w:pPr>
        <w:spacing w:after="0" w:line="176" w:lineRule="exact"/>
        <w:rPr>
          <w:rFonts w:ascii="Arial" w:cs="Arial" w:eastAsia="Arial" w:hAnsi="Arial"/>
          <w:sz w:val="17"/>
          <w:szCs w:val="17"/>
          <w:color w:val="auto"/>
        </w:rPr>
      </w:pPr>
    </w:p>
    <w:p>
      <w:pPr>
        <w:ind w:left="80" w:right="100" w:firstLine="1940"/>
        <w:spacing w:after="0" w:line="321" w:lineRule="auto"/>
        <w:tabs>
          <w:tab w:leader="none" w:pos="280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Company</w:t>
      </w:r>
      <w:r>
        <w:rPr>
          <w:rFonts w:ascii="Arial" w:cs="Arial" w:eastAsia="Arial" w:hAnsi="Arial"/>
          <w:sz w:val="17"/>
          <w:szCs w:val="17"/>
          <w:color w:val="auto"/>
        </w:rPr>
        <w:t xml:space="preserve">. Indemnitee shall be entitled to the rights of indemnification provided in this Section 1(b) if, by reason of his Corporate Status, he is, or is threatened to be made, a party to or participant in any Proceeding brought by or in the right of the Company to procure a judgment in its favor. Pursuant to this Section 1(b), Indemnitee shall be indemnified against all Expenses actually and reasonably incurred by him or on his behalf in connection with such Proceeding if he acted in good faith and in a manner he reasonably believed to be in or not opposed to the best interests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or the court in which such Proceeding shall have been brought or is pending, shall determine that such indemnification may be made.</w:t>
      </w:r>
    </w:p>
    <w:p>
      <w:pPr>
        <w:sectPr>
          <w:pgSz w:w="11900" w:h="16838" w:orient="portrait"/>
          <w:cols w:equalWidth="0" w:num="1">
            <w:col w:w="11420"/>
          </w:cols>
          <w:pgMar w:left="240" w:top="580" w:right="239" w:bottom="1440" w:gutter="0" w:footer="0" w:header="0"/>
        </w:sectPr>
      </w:pPr>
    </w:p>
    <w:bookmarkStart w:id="140" w:name="page141"/>
    <w:bookmarkEnd w:id="140"/>
    <w:p>
      <w:pPr>
        <w:ind w:left="80" w:firstLine="1940"/>
        <w:spacing w:after="0" w:line="344" w:lineRule="auto"/>
        <w:tabs>
          <w:tab w:leader="none" w:pos="279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62" w:lineRule="exact"/>
        <w:rPr>
          <w:rFonts w:ascii="Arial" w:cs="Arial" w:eastAsia="Arial" w:hAnsi="Arial"/>
          <w:sz w:val="16"/>
          <w:szCs w:val="16"/>
          <w:color w:val="auto"/>
        </w:rPr>
      </w:pPr>
    </w:p>
    <w:p>
      <w:pPr>
        <w:ind w:left="2080" w:hanging="775"/>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Indemnity</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ind w:left="80" w:right="20" w:firstLine="1940"/>
        <w:spacing w:after="0" w:line="346" w:lineRule="auto"/>
        <w:tabs>
          <w:tab w:leader="none" w:pos="2792" w:val="left"/>
        </w:tabs>
        <w:numPr>
          <w:ilvl w:val="1"/>
          <w:numId w:val="47"/>
        </w:numPr>
        <w:rPr>
          <w:rFonts w:ascii="Arial" w:cs="Arial" w:eastAsia="Arial" w:hAnsi="Arial"/>
          <w:sz w:val="16"/>
          <w:szCs w:val="16"/>
          <w:color w:val="auto"/>
        </w:rPr>
      </w:pPr>
      <w:r>
        <w:rPr>
          <w:rFonts w:ascii="Arial" w:cs="Arial" w:eastAsia="Arial" w:hAnsi="Arial"/>
          <w:sz w:val="16"/>
          <w:szCs w:val="16"/>
          <w:color w:val="auto"/>
        </w:rPr>
        <w:t>Subject only to the exclusions set forth in Section 2(b) hereof, the Company hereby further agrees to hold harmless and indemnify Indemnitee against any and all Expenses, judgments, fines and amounts paid in settlement actually and reasonably incurred by Indemnitee in connection with any Proceeding (including an action by or on behalf of the Company) to which Indemnitee is, was or at any time becomes a party, or is threatened to be made a party, by reason of his Corporate Status; provided, however, that with respect to actions by or on behalf of the Company, indemnification of Indemnitee against any judgments shall be made by the Company only as authorized in the specific case upon a determination that Indemnitee acted in good faith and in a manner he reasonably believed to be in or not opposed to the best interests of the Company; and</w:t>
      </w:r>
    </w:p>
    <w:p>
      <w:pPr>
        <w:spacing w:after="0" w:line="164" w:lineRule="exact"/>
        <w:rPr>
          <w:rFonts w:ascii="Arial" w:cs="Arial" w:eastAsia="Arial" w:hAnsi="Arial"/>
          <w:sz w:val="16"/>
          <w:szCs w:val="16"/>
          <w:color w:val="auto"/>
        </w:rPr>
      </w:pPr>
    </w:p>
    <w:p>
      <w:pPr>
        <w:ind w:left="2800" w:hanging="780"/>
        <w:spacing w:after="0"/>
        <w:tabs>
          <w:tab w:leader="none" w:pos="2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indemnity pursuant to this Section 2 shall be paid by the Company:</w:t>
      </w:r>
    </w:p>
    <w:p>
      <w:pPr>
        <w:spacing w:after="0" w:line="49" w:lineRule="exact"/>
        <w:rPr>
          <w:rFonts w:ascii="Arial" w:cs="Arial" w:eastAsia="Arial" w:hAnsi="Arial"/>
          <w:sz w:val="18"/>
          <w:szCs w:val="18"/>
          <w:color w:val="auto"/>
        </w:rPr>
      </w:pPr>
    </w:p>
    <w:p>
      <w:pPr>
        <w:ind w:right="500" w:firstLine="2601"/>
        <w:spacing w:after="0" w:line="297" w:lineRule="auto"/>
        <w:tabs>
          <w:tab w:leader="none" w:pos="3411"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respect to remuneration paid to Indemnitee if it shall be determined by a final judgment or other final adjudication that such remuneration was in violation of law;</w:t>
      </w:r>
    </w:p>
    <w:p>
      <w:pPr>
        <w:ind w:right="60" w:firstLine="2601"/>
        <w:spacing w:after="0" w:line="297" w:lineRule="auto"/>
        <w:tabs>
          <w:tab w:leader="none" w:pos="3461" w:val="left"/>
        </w:tabs>
        <w:numPr>
          <w:ilvl w:val="2"/>
          <w:numId w:val="47"/>
        </w:numPr>
        <w:rPr>
          <w:rFonts w:ascii="Arial" w:cs="Arial" w:eastAsia="Arial" w:hAnsi="Arial"/>
          <w:sz w:val="18"/>
          <w:szCs w:val="18"/>
          <w:color w:val="auto"/>
        </w:rPr>
      </w:pPr>
      <w:r>
        <w:rPr>
          <w:rFonts w:ascii="Arial" w:cs="Arial" w:eastAsia="Arial" w:hAnsi="Arial"/>
          <w:sz w:val="18"/>
          <w:szCs w:val="18"/>
          <w:color w:val="auto"/>
        </w:rPr>
        <w:t>On account of any suit in which judgment is rendered against Indemnitee for an accounting of profits made from the purchase or sale by Indemnitee of securities of the Company pursuant to the provisions of Section 16(b) of the Securities Exchange Act of 1934 and amendments thereto or similar provisions of any federal, state or local statutory law;</w:t>
      </w:r>
    </w:p>
    <w:p>
      <w:pPr>
        <w:spacing w:after="0" w:line="1" w:lineRule="exact"/>
        <w:rPr>
          <w:rFonts w:ascii="Arial" w:cs="Arial" w:eastAsia="Arial" w:hAnsi="Arial"/>
          <w:sz w:val="18"/>
          <w:szCs w:val="18"/>
          <w:color w:val="auto"/>
        </w:rPr>
      </w:pPr>
    </w:p>
    <w:p>
      <w:pPr>
        <w:ind w:right="660" w:firstLine="2601"/>
        <w:spacing w:after="0" w:line="297" w:lineRule="auto"/>
        <w:tabs>
          <w:tab w:leader="none" w:pos="3511" w:val="left"/>
        </w:tabs>
        <w:numPr>
          <w:ilvl w:val="2"/>
          <w:numId w:val="47"/>
        </w:numPr>
        <w:rPr>
          <w:rFonts w:ascii="Arial" w:cs="Arial" w:eastAsia="Arial" w:hAnsi="Arial"/>
          <w:sz w:val="18"/>
          <w:szCs w:val="18"/>
          <w:color w:val="auto"/>
        </w:rPr>
      </w:pPr>
      <w:r>
        <w:rPr>
          <w:rFonts w:ascii="Arial" w:cs="Arial" w:eastAsia="Arial" w:hAnsi="Arial"/>
          <w:sz w:val="18"/>
          <w:szCs w:val="18"/>
          <w:color w:val="auto"/>
        </w:rPr>
        <w:t>On account of Indemnitee’s conduct which is finally adjudged to have been knowingly fraudulent or deliberately dishonest, or to constitute willful misconduct; or</w:t>
      </w:r>
    </w:p>
    <w:p>
      <w:pPr>
        <w:ind w:left="3500" w:hanging="899"/>
        <w:spacing w:after="0"/>
        <w:tabs>
          <w:tab w:leader="none" w:pos="35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If a final decision by a court having jurisdiction in the matter shall determine that such indemnification is not</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lawful.</w:t>
      </w:r>
    </w:p>
    <w:p>
      <w:pPr>
        <w:spacing w:after="0" w:line="261" w:lineRule="exact"/>
        <w:rPr>
          <w:rFonts w:ascii="Arial" w:cs="Arial" w:eastAsia="Arial" w:hAnsi="Arial"/>
          <w:sz w:val="16"/>
          <w:szCs w:val="16"/>
          <w:color w:val="auto"/>
        </w:rPr>
      </w:pPr>
    </w:p>
    <w:p>
      <w:pPr>
        <w:ind w:firstLine="1305"/>
        <w:spacing w:after="0" w:line="319" w:lineRule="auto"/>
        <w:tabs>
          <w:tab w:leader="none" w:pos="2080"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Contribution</w:t>
      </w:r>
      <w:r>
        <w:rPr>
          <w:rFonts w:ascii="Arial" w:cs="Arial" w:eastAsia="Arial" w:hAnsi="Arial"/>
          <w:sz w:val="17"/>
          <w:szCs w:val="17"/>
          <w:color w:val="auto"/>
        </w:rPr>
        <w:t>. If the indemnification provided in Sections 1 and 2 is unavailable and may not be paid to Indemnitee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other than those set forth in paragraphs (i), (ii) and (iii) of Section 2(b), then in respect to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such proportion as is appropriate to reflect (i) the relative benefits received by the Company on the one hand and by the Indemnitee on the other hand from the transaction from which such Proceeding arose, and (ii) the relative fault of the Company on the one hand and of the Indemnitee on the other hand in connection with the events which resulted in such Expenses, judgments, fines or settlement amounts, as well as any other relevant equitable considerations. The relative fault of the Company on the one hand and of the Indemnitee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3 were determined by pro rata allocation or any other method of allocation which does not take account of the foregoing equitable considerations.</w:t>
      </w:r>
    </w:p>
    <w:p>
      <w:pPr>
        <w:spacing w:after="0" w:line="180" w:lineRule="exact"/>
        <w:rPr>
          <w:rFonts w:ascii="Arial" w:cs="Arial" w:eastAsia="Arial" w:hAnsi="Arial"/>
          <w:sz w:val="17"/>
          <w:szCs w:val="17"/>
          <w:color w:val="auto"/>
        </w:rPr>
      </w:pPr>
    </w:p>
    <w:p>
      <w:pPr>
        <w:ind w:right="60" w:firstLine="1305"/>
        <w:spacing w:after="0" w:line="313" w:lineRule="auto"/>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 for Expenses of a Witness</w:t>
      </w:r>
      <w:r>
        <w:rPr>
          <w:rFonts w:ascii="Arial" w:cs="Arial" w:eastAsia="Arial" w:hAnsi="Arial"/>
          <w:sz w:val="18"/>
          <w:szCs w:val="18"/>
          <w:color w:val="auto"/>
        </w:rPr>
        <w:t>. Notwithstanding any other provision of this Agreement,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is, by reason of his Corporate Status, a witness in any Proceeding to which Indemnitee is not a party, he shall be indemnified against all Expenses actually and reasonably incurred by him or on his behalf in connection therewith.</w:t>
      </w:r>
    </w:p>
    <w:p>
      <w:pPr>
        <w:sectPr>
          <w:pgSz w:w="11900" w:h="16838" w:orient="portrait"/>
          <w:cols w:equalWidth="0" w:num="1">
            <w:col w:w="11400"/>
          </w:cols>
          <w:pgMar w:left="240" w:top="611" w:right="259" w:bottom="1440" w:gutter="0" w:footer="0" w:header="0"/>
        </w:sectPr>
      </w:pPr>
    </w:p>
    <w:bookmarkStart w:id="141" w:name="page142"/>
    <w:bookmarkEnd w:id="141"/>
    <w:p>
      <w:pPr>
        <w:ind w:left="-1200" w:firstLine="1305"/>
        <w:spacing w:after="0" w:line="340"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Advancement of Expenses</w:t>
      </w:r>
      <w:r>
        <w:rPr>
          <w:rFonts w:ascii="Arial" w:cs="Arial" w:eastAsia="Arial" w:hAnsi="Arial"/>
          <w:sz w:val="16"/>
          <w:szCs w:val="16"/>
          <w:color w:val="auto"/>
        </w:rPr>
        <w:t>. Notwithstanding any other provision of this Agreement, the Company shall advance all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by or on behalf of Indemnitee in connection with any Proceeding by reason of Indemnitee’s Corporate Status within ten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an undertaking by or on behalf of Indemnitee to repay any Expenses advanced if it shall ultimately be determined that Indemnitee is not entitled to be indemnified against such Expenses. Any advances and undertakings to repay pursuant to this Section 5 shall be unsecured and interest free. Notwithstanding the foregoing, the obligation of the Company to advance Expenses pursuant to this Section 5 shall be subject to the condition that, if, when and to the extent that the Company determines that Indemnitee would not be permitted to be indemnified under applicable law, the Company shall be entitled to be reimbursed, within thirty (30) days of such determination,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Company that Indemnitee would not be permitted to be indemnified under applicable law shall not be binding and Indemnitee shall not be required to reimburse the Company for any advance of Expenses until a final judicial determination is made with respect thereto (as to which all rights of appeal therefrom have been exhausted or lapsed).</w:t>
      </w:r>
    </w:p>
    <w:p>
      <w:pPr>
        <w:spacing w:after="0" w:line="163" w:lineRule="exact"/>
        <w:rPr>
          <w:rFonts w:ascii="Arial" w:cs="Arial" w:eastAsia="Arial" w:hAnsi="Arial"/>
          <w:sz w:val="16"/>
          <w:szCs w:val="16"/>
          <w:color w:val="auto"/>
        </w:rPr>
      </w:pPr>
    </w:p>
    <w:p>
      <w:pPr>
        <w:ind w:left="880" w:hanging="775"/>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 for Determination of Entitlement to Indemnification</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ind w:left="-1120" w:right="140" w:firstLine="1940"/>
        <w:spacing w:after="0" w:line="304" w:lineRule="auto"/>
        <w:tabs>
          <w:tab w:leader="none" w:pos="15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obtain indemnification (including, but not limited to, the advancement of Expenses and contribution by the Company)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of Directors in writing that Indemnitee has requested indemnification.</w:t>
      </w:r>
    </w:p>
    <w:p>
      <w:pPr>
        <w:spacing w:after="0" w:line="188" w:lineRule="exact"/>
        <w:rPr>
          <w:rFonts w:ascii="Arial" w:cs="Arial" w:eastAsia="Arial" w:hAnsi="Arial"/>
          <w:sz w:val="18"/>
          <w:szCs w:val="18"/>
          <w:color w:val="auto"/>
        </w:rPr>
      </w:pPr>
    </w:p>
    <w:p>
      <w:pPr>
        <w:ind w:left="-1120" w:right="20" w:firstLine="1940"/>
        <w:spacing w:after="0" w:line="338" w:lineRule="auto"/>
        <w:tabs>
          <w:tab w:leader="none" w:pos="1602" w:val="left"/>
        </w:tabs>
        <w:numPr>
          <w:ilvl w:val="1"/>
          <w:numId w:val="48"/>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the first sentence of Section 6(a) hereof, a determination, if required by applicable law, with respect to Indemnitee’s entitlement thereto shall be made in the specific case: (i) if a Change in Control (as hereinafter defined) shall have occurred, by Independent Counsel (as hereinafter defined) in a written opinion to the Board of Directors, a copy of which shall be delivered to Indemnitee (unless Indemnitee shall request that such determination be made by the Board of Directors or the stockholders, in which case the determination shall be made in the manner provided in Clause (ii) below), or (ii) if a Change in Control shall not have occurred, (A) by the Board of Directors by a majority vote of a quorum consisting of Disinterested Directors (as hereinafter defined), or (B) if a quorum of the Board of Directors consisting of Disinterested Directors is not obtainable or, even if obtainable, said Disinterested Directors so direct, by Independent Counsel in a written opinion to the Board of Directors, a copy of which shall be delivered to Indemnitee, or (C) if so directed by said Disinterested Directors, by the stockholders of the Company; and, if it is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of Directors, or stockholder of the Company shall act reasonably and in good faith in making a determination under the Agreement of the Indemnitee’s entitlement to indemnification.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ectPr>
          <w:pgSz w:w="11900" w:h="16838" w:orient="portrait"/>
          <w:cols w:equalWidth="0" w:num="1">
            <w:col w:w="10180"/>
          </w:cols>
          <w:pgMar w:left="1440" w:top="607" w:right="279" w:bottom="1440" w:gutter="0" w:footer="0" w:header="0"/>
        </w:sectPr>
      </w:pPr>
    </w:p>
    <w:bookmarkStart w:id="142" w:name="page143"/>
    <w:bookmarkEnd w:id="142"/>
    <w:p>
      <w:pPr>
        <w:ind w:left="4" w:firstLine="1940"/>
        <w:spacing w:after="0" w:line="337" w:lineRule="auto"/>
        <w:tabs>
          <w:tab w:leader="none" w:pos="2716" w:val="left"/>
        </w:tabs>
        <w:numPr>
          <w:ilvl w:val="2"/>
          <w:numId w:val="49"/>
        </w:numPr>
        <w:rPr>
          <w:rFonts w:ascii="Arial" w:cs="Arial" w:eastAsia="Arial" w:hAnsi="Arial"/>
          <w:sz w:val="16"/>
          <w:szCs w:val="16"/>
          <w:color w:val="auto"/>
        </w:rPr>
      </w:pPr>
      <w:r>
        <w:rPr>
          <w:rFonts w:ascii="Arial" w:cs="Arial" w:eastAsia="Arial" w:hAnsi="Arial"/>
          <w:sz w:val="16"/>
          <w:szCs w:val="16"/>
          <w:color w:val="auto"/>
        </w:rPr>
        <w:t xml:space="preserve">If the determination of entitlement to indemnification is to be made by Independent Counsel pursuant to Section 6(b) hereof, the Independent Counsel shall be selected as provided in this Section 6(c). If a Change in Control shall not have occurred, the Independent Counsel shall be selected by the Board of Directors, and the Company shall give written notice to Indemnitee advising him of the identity of the Independent Counsel so selected. If a Change in Control shall have occurred, the Independent Counsel shall be selected by Indemnitee (unless Indemnitee shall request that such selection be made by the Board of Directors, in which event the preceding sentence shall apply), and Indemnitee shall give written notice to the Company advising it of the identity of the Independent Counsel so selected. In either event, Indemnitee or the Company, as the case may be, may, within 10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objection may be asserted only on the ground that the Independent Counsel so selected does not meet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Counsel” as defined in Section 14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Section 6(a) hereof, no Independent Counsel shall have been selected and not objected to, either the Company or Indemnitee may petition the Court of Chancery of the State of Delaware or other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6(b) hereof. The Company shall pay any and all reasonable fees and expenses of Independent Counsel incurred by such Independent Counsel in connection with acting pursuant to Section 6(b) hereof, and the Company shall pay all reasonable fees and expenses incident to the procedures of this Section 6(c), regardless of the manner in which such Independent Counsel was selected or appointed. Upon the due commencement of any judicial proceeding or arbitration pursuant to Section 8(a)(iii) of this Agreement, Independent Counsel shall be discharged and relieved of any further responsibility in such capacity (subject to the applicable standards of professional conduct then prevailing).</w:t>
      </w:r>
    </w:p>
    <w:p>
      <w:pPr>
        <w:spacing w:after="0" w:line="179" w:lineRule="exact"/>
        <w:rPr>
          <w:rFonts w:ascii="Arial" w:cs="Arial" w:eastAsia="Arial" w:hAnsi="Arial"/>
          <w:sz w:val="16"/>
          <w:szCs w:val="16"/>
          <w:color w:val="auto"/>
        </w:rPr>
      </w:pPr>
    </w:p>
    <w:p>
      <w:pPr>
        <w:ind w:left="4" w:right="120" w:firstLine="1940"/>
        <w:spacing w:after="0" w:line="311" w:lineRule="auto"/>
        <w:tabs>
          <w:tab w:leader="none" w:pos="272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Company shall not be required to obtain the consent of the Indemnitee to the settlement of any Proceeding which the Company has undertaken to defend if the Company assumes full and sole responsibility for such settlement and the settlement grants the Indemnitee a complete and unqualified release in respect of the potential liability.</w:t>
      </w:r>
    </w:p>
    <w:p>
      <w:pPr>
        <w:spacing w:after="0" w:line="177" w:lineRule="exact"/>
        <w:rPr>
          <w:rFonts w:ascii="Arial" w:cs="Arial" w:eastAsia="Arial" w:hAnsi="Arial"/>
          <w:sz w:val="18"/>
          <w:szCs w:val="18"/>
          <w:color w:val="auto"/>
        </w:rPr>
      </w:pPr>
    </w:p>
    <w:p>
      <w:pPr>
        <w:ind w:left="2004" w:hanging="775"/>
        <w:spacing w:after="0"/>
        <w:tabs>
          <w:tab w:leader="none" w:pos="2004"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Presumptions and Effect of Certain Proceedings</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ind w:left="4" w:right="340" w:firstLine="1940"/>
        <w:spacing w:after="0" w:line="329" w:lineRule="auto"/>
        <w:tabs>
          <w:tab w:leader="none" w:pos="2716" w:val="left"/>
        </w:tabs>
        <w:numPr>
          <w:ilvl w:val="2"/>
          <w:numId w:val="50"/>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6(a) of this Agreement, and the Company shall have the burden of proof to overcome that presumption in connection with the making by any person, persons or entity of any determination contrary to that presumption.</w:t>
      </w:r>
    </w:p>
    <w:p>
      <w:pPr>
        <w:spacing w:after="0" w:line="170" w:lineRule="exact"/>
        <w:rPr>
          <w:rFonts w:ascii="Arial" w:cs="Arial" w:eastAsia="Arial" w:hAnsi="Arial"/>
          <w:sz w:val="17"/>
          <w:szCs w:val="17"/>
          <w:color w:val="auto"/>
        </w:rPr>
      </w:pPr>
    </w:p>
    <w:p>
      <w:pPr>
        <w:ind w:left="4" w:firstLine="1940"/>
        <w:spacing w:after="0" w:line="334" w:lineRule="auto"/>
        <w:tabs>
          <w:tab w:leader="none" w:pos="2726" w:val="left"/>
        </w:tabs>
        <w:numPr>
          <w:ilvl w:val="2"/>
          <w:numId w:val="50"/>
        </w:numPr>
        <w:rPr>
          <w:rFonts w:ascii="Arial" w:cs="Arial" w:eastAsia="Arial" w:hAnsi="Arial"/>
          <w:sz w:val="16"/>
          <w:szCs w:val="16"/>
          <w:color w:val="auto"/>
        </w:rPr>
      </w:pPr>
      <w:r>
        <w:rPr>
          <w:rFonts w:ascii="Arial" w:cs="Arial" w:eastAsia="Arial" w:hAnsi="Arial"/>
          <w:sz w:val="16"/>
          <w:szCs w:val="16"/>
          <w:color w:val="auto"/>
        </w:rPr>
        <w:t>If the person, persons or entity empowered or selected under Section 6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w:t>
      </w:r>
    </w:p>
    <w:p>
      <w:pPr>
        <w:spacing w:after="0" w:line="1" w:lineRule="exact"/>
        <w:rPr>
          <w:rFonts w:ascii="Arial" w:cs="Arial" w:eastAsia="Arial" w:hAnsi="Arial"/>
          <w:sz w:val="16"/>
          <w:szCs w:val="16"/>
          <w:color w:val="auto"/>
        </w:rPr>
      </w:pPr>
    </w:p>
    <w:p>
      <w:pPr>
        <w:ind w:left="4" w:right="20" w:hanging="4"/>
        <w:spacing w:after="0" w:line="255" w:lineRule="exact"/>
        <w:tabs>
          <w:tab w:leader="none" w:pos="219"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30</w:t>
      </w:r>
      <w:r>
        <w:rPr>
          <w:rFonts w:ascii="MS PGothic" w:cs="MS PGothic" w:eastAsia="MS PGothic" w:hAnsi="MS PGothic"/>
          <w:sz w:val="17"/>
          <w:szCs w:val="17"/>
          <w:color w:val="auto"/>
        </w:rPr>
        <w:t>‑</w:t>
      </w:r>
      <w:r>
        <w:rPr>
          <w:rFonts w:ascii="Arial" w:cs="Arial" w:eastAsia="Arial" w:hAnsi="Arial"/>
          <w:sz w:val="17"/>
          <w:szCs w:val="17"/>
          <w:color w:val="auto"/>
        </w:rPr>
        <w:t>day period may be extended for a reasonable time, not to exceed an additional fifteen (15) days, if the person, persons or entity making the determination with respect to entitlement to indemnification in good faith requires such additional time for the obtaining or evaluating documentation and/or information relating thereto; and provided, further, that the foregoing provisions of this Section 7(b) shall not apply (i) if the determination of entitlement to indemnification is to be made by the stockholders pursuant to Section 6(b) of this Agreement and if (A) within fifteen (15) days after receipt by the Company of the request for such determination the Board of Directors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6(b) of this Agreement.</w:t>
      </w:r>
    </w:p>
    <w:p>
      <w:pPr>
        <w:sectPr>
          <w:pgSz w:w="11900" w:h="16838" w:orient="portrait"/>
          <w:cols w:equalWidth="0" w:num="1">
            <w:col w:w="11324"/>
          </w:cols>
          <w:pgMar w:left="316" w:top="611" w:right="259" w:bottom="1440" w:gutter="0" w:footer="0" w:header="0"/>
        </w:sectPr>
      </w:pPr>
    </w:p>
    <w:bookmarkStart w:id="143" w:name="page144"/>
    <w:bookmarkEnd w:id="143"/>
    <w:p>
      <w:pPr>
        <w:ind w:left="4" w:right="60" w:firstLine="1940"/>
        <w:spacing w:after="0" w:line="304" w:lineRule="auto"/>
        <w:tabs>
          <w:tab w:leader="none" w:pos="2716" w:val="left"/>
        </w:tabs>
        <w:numPr>
          <w:ilvl w:val="2"/>
          <w:numId w:val="52"/>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(with or without court approval),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88" w:lineRule="exact"/>
        <w:rPr>
          <w:rFonts w:ascii="Arial" w:cs="Arial" w:eastAsia="Arial" w:hAnsi="Arial"/>
          <w:sz w:val="18"/>
          <w:szCs w:val="18"/>
          <w:color w:val="auto"/>
        </w:rPr>
      </w:pPr>
    </w:p>
    <w:p>
      <w:pPr>
        <w:ind w:left="4" w:firstLine="1940"/>
        <w:spacing w:after="0" w:line="344" w:lineRule="auto"/>
        <w:tabs>
          <w:tab w:leader="none" w:pos="2726" w:val="left"/>
        </w:tabs>
        <w:numPr>
          <w:ilvl w:val="2"/>
          <w:numId w:val="52"/>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The provisions of this Section 7(d) shall not be deemed to be exclusive or to limit in any way the other circumstances in which the Indemnitee may be deemed to have met the applicable standard of conduct set forth in this Agreement.</w:t>
      </w:r>
    </w:p>
    <w:p>
      <w:pPr>
        <w:spacing w:after="0" w:line="162" w:lineRule="exact"/>
        <w:rPr>
          <w:rFonts w:ascii="Arial" w:cs="Arial" w:eastAsia="Arial" w:hAnsi="Arial"/>
          <w:sz w:val="16"/>
          <w:szCs w:val="16"/>
          <w:color w:val="auto"/>
        </w:rPr>
      </w:pPr>
    </w:p>
    <w:p>
      <w:pPr>
        <w:ind w:left="2004" w:hanging="775"/>
        <w:spacing w:after="0"/>
        <w:tabs>
          <w:tab w:leader="none" w:pos="2004" w:val="left"/>
        </w:tabs>
        <w:numPr>
          <w:ilvl w:val="1"/>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of Indemnitee.</w:t>
      </w:r>
    </w:p>
    <w:p>
      <w:pPr>
        <w:spacing w:after="0" w:line="269" w:lineRule="exact"/>
        <w:rPr>
          <w:rFonts w:ascii="Arial" w:cs="Arial" w:eastAsia="Arial" w:hAnsi="Arial"/>
          <w:sz w:val="18"/>
          <w:szCs w:val="18"/>
          <w:color w:val="auto"/>
        </w:rPr>
      </w:pPr>
    </w:p>
    <w:p>
      <w:pPr>
        <w:ind w:left="4" w:right="80" w:firstLine="1940"/>
        <w:spacing w:after="0" w:line="340" w:lineRule="auto"/>
        <w:tabs>
          <w:tab w:leader="none" w:pos="2716" w:val="left"/>
        </w:tabs>
        <w:numPr>
          <w:ilvl w:val="2"/>
          <w:numId w:val="53"/>
        </w:numPr>
        <w:rPr>
          <w:rFonts w:ascii="Arial" w:cs="Arial" w:eastAsia="Arial" w:hAnsi="Arial"/>
          <w:sz w:val="16"/>
          <w:szCs w:val="16"/>
          <w:color w:val="auto"/>
        </w:rPr>
      </w:pPr>
      <w:r>
        <w:rPr>
          <w:rFonts w:ascii="Arial" w:cs="Arial" w:eastAsia="Arial" w:hAnsi="Arial"/>
          <w:sz w:val="16"/>
          <w:szCs w:val="16"/>
          <w:color w:val="auto"/>
        </w:rPr>
        <w:t>In the event that (i) a determination is made pursuant to Section 6 of this Agreement that Indemnitee is not entitled to indemnification under this Agreement, (ii) advancement of Expenses is not timely made pursuant to Section 5 of this Agreement, (iii) no determination of entitlement to indemnification shall have been made pursuant to Section 6(b) of this Agreement within 90 days after receipt by the Company of the request for indemnification, (iv) payment of indemnification is not made pursuant to Section 3 or 4 of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Section 6 or 7 of this Agreement, Indemnitee shall be entitled to an adjudication in an appropriate court of the State of Delaware, or in any other court of competent jurisdiction, of his entitlement to such indemnification.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8(a). The Company shall not oppose Indemnitee’s right to seek any such adjudication or award in arbitration.</w:t>
      </w:r>
    </w:p>
    <w:p>
      <w:pPr>
        <w:spacing w:after="0" w:line="171" w:lineRule="exact"/>
        <w:rPr>
          <w:rFonts w:ascii="Arial" w:cs="Arial" w:eastAsia="Arial" w:hAnsi="Arial"/>
          <w:sz w:val="16"/>
          <w:szCs w:val="16"/>
          <w:color w:val="auto"/>
        </w:rPr>
      </w:pPr>
    </w:p>
    <w:p>
      <w:pPr>
        <w:jc w:val="both"/>
        <w:ind w:left="4" w:right="240" w:firstLine="1940"/>
        <w:spacing w:after="0" w:line="336" w:lineRule="auto"/>
        <w:tabs>
          <w:tab w:leader="none" w:pos="2726" w:val="left"/>
        </w:tabs>
        <w:numPr>
          <w:ilvl w:val="2"/>
          <w:numId w:val="53"/>
        </w:numPr>
        <w:rPr>
          <w:rFonts w:ascii="Arial" w:cs="Arial" w:eastAsia="Arial" w:hAnsi="Arial"/>
          <w:sz w:val="17"/>
          <w:szCs w:val="17"/>
          <w:color w:val="auto"/>
        </w:rPr>
      </w:pPr>
      <w:r>
        <w:rPr>
          <w:rFonts w:ascii="Arial" w:cs="Arial" w:eastAsia="Arial" w:hAnsi="Arial"/>
          <w:sz w:val="17"/>
          <w:szCs w:val="17"/>
          <w:color w:val="auto"/>
        </w:rPr>
        <w:t xml:space="preserve">In the event that a determination shall have been made pursuant to Section 6(b) of this Agreement that Indemnitee is not entitled to indemnification, any judicial proceeding or arbitration commenced pursuant to this Section 8 shall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shall not be prejudiced by reason of that adverse determination.</w:t>
      </w:r>
    </w:p>
    <w:p>
      <w:pPr>
        <w:spacing w:after="0" w:line="164" w:lineRule="exact"/>
        <w:rPr>
          <w:rFonts w:ascii="Arial" w:cs="Arial" w:eastAsia="Arial" w:hAnsi="Arial"/>
          <w:sz w:val="17"/>
          <w:szCs w:val="17"/>
          <w:color w:val="auto"/>
        </w:rPr>
      </w:pPr>
    </w:p>
    <w:p>
      <w:pPr>
        <w:ind w:left="4" w:right="160" w:firstLine="1940"/>
        <w:spacing w:after="0" w:line="334" w:lineRule="auto"/>
        <w:tabs>
          <w:tab w:leader="none" w:pos="2716" w:val="left"/>
        </w:tabs>
        <w:numPr>
          <w:ilvl w:val="2"/>
          <w:numId w:val="53"/>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6(b) of this Agreement that Indemnitee is entitled to indemnification, the Company shall be bound by such determination in any judicial proceeding or arbitration commenced pursuant to this Section 8, absent</w:t>
      </w:r>
    </w:p>
    <w:p>
      <w:pPr>
        <w:spacing w:after="0" w:line="1" w:lineRule="exact"/>
        <w:rPr>
          <w:rFonts w:ascii="Arial" w:cs="Arial" w:eastAsia="Arial" w:hAnsi="Arial"/>
          <w:sz w:val="16"/>
          <w:szCs w:val="16"/>
          <w:color w:val="auto"/>
        </w:rPr>
      </w:pPr>
    </w:p>
    <w:p>
      <w:pPr>
        <w:ind w:left="4" w:right="100" w:hanging="4"/>
        <w:spacing w:after="0" w:line="324" w:lineRule="auto"/>
        <w:tabs>
          <w:tab w:leader="none" w:pos="2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0" w:lineRule="exact"/>
        <w:rPr>
          <w:rFonts w:ascii="Arial" w:cs="Arial" w:eastAsia="Arial" w:hAnsi="Arial"/>
          <w:sz w:val="18"/>
          <w:szCs w:val="18"/>
          <w:color w:val="auto"/>
        </w:rPr>
      </w:pPr>
    </w:p>
    <w:p>
      <w:pPr>
        <w:ind w:left="4" w:right="240" w:firstLine="1940"/>
        <w:spacing w:after="0" w:line="319" w:lineRule="auto"/>
        <w:tabs>
          <w:tab w:leader="none" w:pos="2726" w:val="left"/>
        </w:tabs>
        <w:numPr>
          <w:ilvl w:val="2"/>
          <w:numId w:val="54"/>
        </w:numPr>
        <w:rPr>
          <w:rFonts w:ascii="Arial" w:cs="Arial" w:eastAsia="Arial" w:hAnsi="Arial"/>
          <w:sz w:val="17"/>
          <w:szCs w:val="17"/>
          <w:color w:val="auto"/>
        </w:rPr>
      </w:pPr>
      <w:r>
        <w:rPr>
          <w:rFonts w:ascii="Arial" w:cs="Arial" w:eastAsia="Arial" w:hAnsi="Arial"/>
          <w:sz w:val="17"/>
          <w:szCs w:val="17"/>
          <w:color w:val="auto"/>
        </w:rPr>
        <w:t>In the event that Indemnitee, pursuant to this Section 8, seeks a judicial adjudication of or an award in arbitration to enforce his rights under, or to recover damages for breach of, this Agreement, Indemnitee shall be entitled to recover from the Company, and shall be indemnified by the Company against, any and all expenses (of the types described in the definition of Expenses in Section 16 of this Agreement) actually and reasonably incurred by him in such judicial adjudication or arbitration, but only if he prevails therein. If it shall be determined in said judicial adjudication or arbitration that Indemnitee is entitled to receive part but not all of the indemnification sought, the expenses incurred by Indemnitee in connection with such judicial adjudication or arbitration shall be appropriately prorated. The Company shall indemnify Indemnitee against any and all expenses and, if requested by Indemnitee, shall (within ten (10) days after receipt by the Company of a written request therefor) advance such expenses to Indemnitee, which are incurred by Indemnitee in connection with any action brought by Indemnitee to recover under any directors’ and officers’ liability insurance policies maintained by the Company, regardless of whether Indemnitee ultimately is determined to be entitled to such indemnification, advancement of expenses or insurance recovery, as the case may be.</w:t>
      </w:r>
    </w:p>
    <w:p>
      <w:pPr>
        <w:sectPr>
          <w:pgSz w:w="11900" w:h="16838" w:orient="portrait"/>
          <w:cols w:equalWidth="0" w:num="1">
            <w:col w:w="11344"/>
          </w:cols>
          <w:pgMar w:left="316" w:top="611" w:right="239" w:bottom="1440" w:gutter="0" w:footer="0" w:header="0"/>
        </w:sectPr>
      </w:pPr>
    </w:p>
    <w:bookmarkStart w:id="144" w:name="page145"/>
    <w:bookmarkEnd w:id="144"/>
    <w:p>
      <w:pPr>
        <w:jc w:val="both"/>
        <w:ind w:left="-1120" w:right="180" w:firstLine="1940"/>
        <w:spacing w:after="0" w:line="311" w:lineRule="auto"/>
        <w:tabs>
          <w:tab w:leader="none" w:pos="15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8 that the procedures and presumptions of this Agreement are not valid, binding and enforceable and shall stipulate in any such court or before any such arbitrator that the Company is bound by all the provisions of this Agreement.</w:t>
      </w:r>
    </w:p>
    <w:p>
      <w:pPr>
        <w:spacing w:after="0" w:line="177" w:lineRule="exact"/>
        <w:rPr>
          <w:rFonts w:ascii="Arial" w:cs="Arial" w:eastAsia="Arial" w:hAnsi="Arial"/>
          <w:sz w:val="18"/>
          <w:szCs w:val="18"/>
          <w:color w:val="auto"/>
        </w:rPr>
      </w:pPr>
    </w:p>
    <w:p>
      <w:pPr>
        <w:ind w:left="880" w:hanging="775"/>
        <w:spacing w:after="0" w:line="207" w:lineRule="exact"/>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Non</w:t>
      </w:r>
      <w:r>
        <w:rPr>
          <w:rFonts w:ascii="MS PGothic" w:cs="MS PGothic" w:eastAsia="MS PGothic" w:hAnsi="MS PGothic"/>
          <w:sz w:val="18"/>
          <w:szCs w:val="18"/>
          <w:b w:val="1"/>
          <w:bCs w:val="1"/>
          <w:u w:val="single" w:color="auto"/>
          <w:color w:val="auto"/>
        </w:rPr>
        <w:t>‑</w:t>
      </w:r>
      <w:r>
        <w:rPr>
          <w:rFonts w:ascii="Arial" w:cs="Arial" w:eastAsia="Arial" w:hAnsi="Arial"/>
          <w:sz w:val="18"/>
          <w:szCs w:val="18"/>
          <w:b w:val="1"/>
          <w:bCs w:val="1"/>
          <w:u w:val="single" w:color="auto"/>
          <w:color w:val="auto"/>
        </w:rPr>
        <w:t>Exclusivity; Survival of Rights; Insurance: Subrogation.</w:t>
      </w:r>
    </w:p>
    <w:p>
      <w:pPr>
        <w:spacing w:after="0" w:line="269" w:lineRule="exact"/>
        <w:rPr>
          <w:rFonts w:ascii="Arial" w:cs="Arial" w:eastAsia="Arial" w:hAnsi="Arial"/>
          <w:sz w:val="18"/>
          <w:szCs w:val="18"/>
          <w:color w:val="auto"/>
        </w:rPr>
      </w:pPr>
    </w:p>
    <w:p>
      <w:pPr>
        <w:ind w:left="-1120" w:right="20" w:firstLine="1940"/>
        <w:spacing w:after="0" w:line="300" w:lineRule="auto"/>
        <w:tabs>
          <w:tab w:leader="none" w:pos="15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rights of indemnification as provided by this Agreement shall not be deemed exclusive of any other rights to which Indemnitee may at any time be entitled under applicable law, the certificate of incorporation of the Company,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Law, whether by statute or judicial decision, permits greater indemnification than would be afforded currently under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Arial" w:cs="Arial" w:eastAsia="Arial" w:hAnsi="Arial"/>
          <w:sz w:val="18"/>
          <w:szCs w:val="18"/>
          <w:color w:val="auto"/>
        </w:rPr>
      </w:pPr>
    </w:p>
    <w:p>
      <w:pPr>
        <w:ind w:left="-1120" w:right="320" w:firstLine="1940"/>
        <w:spacing w:after="0" w:line="354" w:lineRule="auto"/>
        <w:tabs>
          <w:tab w:leader="none" w:pos="1602"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or agent under such policy or policies.</w:t>
      </w:r>
    </w:p>
    <w:p>
      <w:pPr>
        <w:spacing w:after="0" w:line="156" w:lineRule="exact"/>
        <w:rPr>
          <w:rFonts w:ascii="Arial" w:cs="Arial" w:eastAsia="Arial" w:hAnsi="Arial"/>
          <w:sz w:val="16"/>
          <w:szCs w:val="16"/>
          <w:color w:val="auto"/>
        </w:rPr>
      </w:pPr>
    </w:p>
    <w:p>
      <w:pPr>
        <w:ind w:left="-1120" w:right="180" w:firstLine="1940"/>
        <w:spacing w:after="0" w:line="311" w:lineRule="auto"/>
        <w:tabs>
          <w:tab w:leader="none" w:pos="15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1" w:lineRule="exact"/>
        <w:rPr>
          <w:rFonts w:ascii="Arial" w:cs="Arial" w:eastAsia="Arial" w:hAnsi="Arial"/>
          <w:sz w:val="18"/>
          <w:szCs w:val="18"/>
          <w:color w:val="auto"/>
        </w:rPr>
      </w:pPr>
    </w:p>
    <w:p>
      <w:pPr>
        <w:ind w:left="-1120" w:right="260" w:firstLine="1940"/>
        <w:spacing w:after="0" w:line="395" w:lineRule="auto"/>
        <w:tabs>
          <w:tab w:leader="none" w:pos="1602"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19" w:lineRule="exact"/>
        <w:rPr>
          <w:rFonts w:ascii="Arial" w:cs="Arial" w:eastAsia="Arial" w:hAnsi="Arial"/>
          <w:sz w:val="16"/>
          <w:szCs w:val="16"/>
          <w:color w:val="auto"/>
        </w:rPr>
      </w:pPr>
    </w:p>
    <w:p>
      <w:pPr>
        <w:ind w:left="-1200" w:right="140" w:firstLine="1305"/>
        <w:spacing w:after="0" w:line="308" w:lineRule="auto"/>
        <w:tabs>
          <w:tab w:leader="none" w:pos="97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Exception to Right of Indemnification</w:t>
      </w:r>
      <w:r>
        <w:rPr>
          <w:rFonts w:ascii="Arial" w:cs="Arial" w:eastAsia="Arial" w:hAnsi="Arial"/>
          <w:sz w:val="18"/>
          <w:szCs w:val="18"/>
          <w:color w:val="auto"/>
        </w:rPr>
        <w:t>. Notwithstanding any other provision of this Agreement, Indemnitee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indemnification under this Agreement with respect to any Proceeding brought by Indemnitee, or any claim therein, unless (a) the bringing of such Proceeding or making of such claim shall have been approved by the Board of Directors or (b) such Proceeding is being brought by the Indemnitee to assert his rights under this Agreement.</w:t>
      </w:r>
    </w:p>
    <w:p>
      <w:pPr>
        <w:spacing w:after="0" w:line="179" w:lineRule="exact"/>
        <w:rPr>
          <w:rFonts w:ascii="Arial" w:cs="Arial" w:eastAsia="Arial" w:hAnsi="Arial"/>
          <w:sz w:val="18"/>
          <w:szCs w:val="18"/>
          <w:color w:val="auto"/>
        </w:rPr>
      </w:pPr>
    </w:p>
    <w:p>
      <w:pPr>
        <w:ind w:left="-1200" w:firstLine="1305"/>
        <w:spacing w:after="0" w:line="342" w:lineRule="auto"/>
        <w:tabs>
          <w:tab w:leader="none" w:pos="963"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Duration of Agreement</w:t>
      </w:r>
      <w:r>
        <w:rPr>
          <w:rFonts w:ascii="Arial" w:cs="Arial" w:eastAsia="Arial" w:hAnsi="Arial"/>
          <w:sz w:val="16"/>
          <w:szCs w:val="16"/>
          <w:color w:val="auto"/>
        </w:rPr>
        <w:t>. All agreements and obligations of the Company contained herein shall continue during the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is a director of the Company (or is or was serving at the request of the Company as a director, officer, employee or agent of another corporation, partnership, joint venture, trust or other enterprise), whether the act or omission occurred or Proceeding is brought before or after the date of this Agreement, and shall continue thereafter so long as Indemnitee shall be subject to any Proceeding (or any proceeding commenced under Section 8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This Agreement shall continue in effect regardless of whether Indemnitee continues to serve as an director of the Company or any other enterprise at the Company’s request.</w:t>
      </w:r>
    </w:p>
    <w:p>
      <w:pPr>
        <w:spacing w:after="0" w:line="165" w:lineRule="exact"/>
        <w:rPr>
          <w:rFonts w:ascii="Arial" w:cs="Arial" w:eastAsia="Arial" w:hAnsi="Arial"/>
          <w:sz w:val="16"/>
          <w:szCs w:val="16"/>
          <w:color w:val="auto"/>
        </w:rPr>
      </w:pPr>
    </w:p>
    <w:p>
      <w:pPr>
        <w:jc w:val="both"/>
        <w:ind w:left="-1200" w:right="40" w:firstLine="1305"/>
        <w:spacing w:after="0" w:line="367" w:lineRule="auto"/>
        <w:tabs>
          <w:tab w:leader="none" w:pos="970"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w:t>
      </w:r>
      <w:r>
        <w:rPr>
          <w:rFonts w:ascii="Arial" w:cs="Arial" w:eastAsia="Arial" w:hAnsi="Arial"/>
          <w:sz w:val="16"/>
          <w:szCs w:val="16"/>
          <w:color w:val="auto"/>
        </w:rPr>
        <w:t>. To the extent requested by the Indemnitee and approved by the Board of Directors, the Company may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ectPr>
          <w:pgSz w:w="11900" w:h="16838" w:orient="portrait"/>
          <w:cols w:equalWidth="0" w:num="1">
            <w:col w:w="10220"/>
          </w:cols>
          <w:pgMar w:left="1440" w:top="611" w:right="239" w:bottom="1440" w:gutter="0" w:footer="0" w:header="0"/>
        </w:sectPr>
      </w:pPr>
    </w:p>
    <w:bookmarkStart w:id="145" w:name="page146"/>
    <w:bookmarkEnd w:id="145"/>
    <w:p>
      <w:pPr>
        <w:ind w:left="980" w:hanging="875"/>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Enforcement</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ind w:left="-1120" w:right="120" w:firstLine="1940"/>
        <w:spacing w:after="0" w:line="311" w:lineRule="auto"/>
        <w:tabs>
          <w:tab w:leader="none" w:pos="15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an director of the Company, and the Company acknowledges that Indemnitee is relying upon this Agreement in serving as an director of the Company.</w:t>
      </w:r>
    </w:p>
    <w:p>
      <w:pPr>
        <w:spacing w:after="0" w:line="181" w:lineRule="exact"/>
        <w:rPr>
          <w:rFonts w:ascii="Arial" w:cs="Arial" w:eastAsia="Arial" w:hAnsi="Arial"/>
          <w:sz w:val="18"/>
          <w:szCs w:val="18"/>
          <w:color w:val="auto"/>
        </w:rPr>
      </w:pPr>
    </w:p>
    <w:p>
      <w:pPr>
        <w:ind w:left="-1120" w:right="260" w:firstLine="1940"/>
        <w:spacing w:after="0" w:line="395" w:lineRule="auto"/>
        <w:tabs>
          <w:tab w:leader="none" w:pos="1602"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19" w:lineRule="exact"/>
        <w:rPr>
          <w:rFonts w:ascii="Arial" w:cs="Arial" w:eastAsia="Arial" w:hAnsi="Arial"/>
          <w:sz w:val="16"/>
          <w:szCs w:val="16"/>
          <w:color w:val="auto"/>
        </w:rPr>
      </w:pPr>
    </w:p>
    <w:p>
      <w:pPr>
        <w:ind w:left="980" w:hanging="875"/>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w:t>
      </w:r>
    </w:p>
    <w:p>
      <w:pPr>
        <w:spacing w:after="0" w:line="269" w:lineRule="exact"/>
        <w:rPr>
          <w:rFonts w:ascii="Arial" w:cs="Arial" w:eastAsia="Arial" w:hAnsi="Arial"/>
          <w:sz w:val="18"/>
          <w:szCs w:val="18"/>
          <w:color w:val="auto"/>
        </w:rPr>
      </w:pPr>
    </w:p>
    <w:p>
      <w:pPr>
        <w:ind w:left="-1120" w:firstLine="1940"/>
        <w:spacing w:after="0" w:line="256" w:lineRule="exact"/>
        <w:tabs>
          <w:tab w:leader="none" w:pos="1592"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a change in control of the Company occurring after the date of this Agreement of a nature that would be required to be reported in response to Item 6(e) of Schedule 14A of Regulation 14A (or in response to any similar item on any similar schedule or form) promulgated under the Securities Exchange Act of 1934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whether or not the Company is then subject to such reporting requirement; provided, however, that, without limitation, such a Change in Control shall be deemed to have occurred if after the date of this Agreement (i) any “person” (as such term is used in Sections 13(d) and 14(d) of the Act,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w:t>
      </w:r>
      <w:r>
        <w:rPr>
          <w:rFonts w:ascii="MS PGothic" w:cs="MS PGothic" w:eastAsia="MS PGothic" w:hAnsi="MS PGothic"/>
          <w:sz w:val="16"/>
          <w:szCs w:val="16"/>
          <w:color w:val="auto"/>
        </w:rPr>
        <w:t>‑</w:t>
      </w:r>
      <w:r>
        <w:rPr>
          <w:rFonts w:ascii="Arial" w:cs="Arial" w:eastAsia="Arial" w:hAnsi="Arial"/>
          <w:sz w:val="16"/>
          <w:szCs w:val="16"/>
          <w:color w:val="auto"/>
        </w:rPr>
        <w:t>3 under the Act), directly or indirectly, of securities of the Company representing 15% or more of the combined voting power of the Company’s then outstanding securities (other than any such person or any affiliate thereof that is such a 15% beneficial owner as of the date hereof) without the prior approval of at least two</w:t>
      </w:r>
      <w:r>
        <w:rPr>
          <w:rFonts w:ascii="MS PGothic" w:cs="MS PGothic" w:eastAsia="MS PGothic" w:hAnsi="MS PGothic"/>
          <w:sz w:val="16"/>
          <w:szCs w:val="16"/>
          <w:color w:val="auto"/>
        </w:rPr>
        <w:t>‑</w:t>
      </w:r>
      <w:r>
        <w:rPr>
          <w:rFonts w:ascii="Arial" w:cs="Arial" w:eastAsia="Arial" w:hAnsi="Arial"/>
          <w:sz w:val="16"/>
          <w:szCs w:val="16"/>
          <w:color w:val="auto"/>
        </w:rPr>
        <w:t>thirds of the members of the Board of Directors in office immediately prior to such person attaining such percentage interest; (ii) there occurs a proxy contest, or the Company is a party to a merger, consoli-da-tion; sale of assets, plan of liquidation or other reorganization, as a consequence of which members of the Board of Directors in office immediately prior to such transaction or event constitute less than a majority of the Board of Directors thereafter; or (iii) during any period of two consecutive years, other than as a result of an event described in clause (a)(ii) of this Section 16,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 A Change in Control shall not be deemed to have occurred under item (i) above if the “person” described under item (i) is entitled to report its ownership on Schedule 13G promulgated under the Act and such person is able to represent that it acquired such securities in the ordinary course of its business and not with the purpose nor with the effect of changing or influencing the control of the Company, nor in connection with or as a participant in any transaction having such purpose or effect. If the “person” referred to in the previous sentence would at any time not be entitled to continue to report such ownership on Schedule 13G pursuant to Rule 13d</w:t>
      </w:r>
      <w:r>
        <w:rPr>
          <w:rFonts w:ascii="MS PGothic" w:cs="MS PGothic" w:eastAsia="MS PGothic" w:hAnsi="MS PGothic"/>
          <w:sz w:val="16"/>
          <w:szCs w:val="16"/>
          <w:color w:val="auto"/>
        </w:rPr>
        <w:t>‑</w:t>
      </w:r>
      <w:r>
        <w:rPr>
          <w:rFonts w:ascii="Arial" w:cs="Arial" w:eastAsia="Arial" w:hAnsi="Arial"/>
          <w:sz w:val="16"/>
          <w:szCs w:val="16"/>
          <w:color w:val="auto"/>
        </w:rPr>
        <w:t>1(b)(3)(i)(B) of the Act, then a Change in Control shall be deemed to have occurred at such time.</w:t>
      </w:r>
    </w:p>
    <w:p>
      <w:pPr>
        <w:spacing w:after="0" w:line="242" w:lineRule="exact"/>
        <w:rPr>
          <w:rFonts w:ascii="Arial" w:cs="Arial" w:eastAsia="Arial" w:hAnsi="Arial"/>
          <w:sz w:val="16"/>
          <w:szCs w:val="16"/>
          <w:color w:val="auto"/>
        </w:rPr>
      </w:pPr>
    </w:p>
    <w:p>
      <w:pPr>
        <w:ind w:left="-1120" w:right="100" w:firstLine="1940"/>
        <w:spacing w:after="0" w:line="311" w:lineRule="auto"/>
        <w:tabs>
          <w:tab w:leader="none" w:pos="16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officer, employee or agent or fiduciary of the Company or of any other corporation, partnership, joint venture, trust, employee benefit plan or other enterprise which such person is or was serving at the express written request of the Company.</w:t>
      </w:r>
    </w:p>
    <w:p>
      <w:pPr>
        <w:spacing w:after="0" w:line="181" w:lineRule="exact"/>
        <w:rPr>
          <w:rFonts w:ascii="Arial" w:cs="Arial" w:eastAsia="Arial" w:hAnsi="Arial"/>
          <w:sz w:val="18"/>
          <w:szCs w:val="18"/>
          <w:color w:val="auto"/>
        </w:rPr>
      </w:pPr>
    </w:p>
    <w:p>
      <w:pPr>
        <w:ind w:left="-1120" w:right="120" w:firstLine="1940"/>
        <w:spacing w:after="0" w:line="324" w:lineRule="auto"/>
        <w:tabs>
          <w:tab w:leader="none" w:pos="15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left="-1120" w:right="100" w:firstLine="1940"/>
        <w:spacing w:after="0" w:line="311" w:lineRule="auto"/>
        <w:tabs>
          <w:tab w:leader="none" w:pos="16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limited liability company, partnership, joint venture, trust, employee benefit plan or other enterprise of which Indemnitee is or was serving at the express written request of the Company as a director, officer, employee, agent or fiduciary.</w:t>
      </w:r>
    </w:p>
    <w:p>
      <w:pPr>
        <w:sectPr>
          <w:pgSz w:w="11900" w:h="16838" w:orient="portrait"/>
          <w:cols w:equalWidth="0" w:num="1">
            <w:col w:w="10220"/>
          </w:cols>
          <w:pgMar w:left="1440" w:top="607" w:right="239" w:bottom="1440" w:gutter="0" w:footer="0" w:header="0"/>
        </w:sectPr>
      </w:pPr>
    </w:p>
    <w:bookmarkStart w:id="146" w:name="page147"/>
    <w:bookmarkEnd w:id="146"/>
    <w:p>
      <w:pPr>
        <w:ind w:left="4" w:right="40" w:firstLine="1940"/>
        <w:spacing w:after="0" w:line="297" w:lineRule="auto"/>
        <w:tabs>
          <w:tab w:leader="none" w:pos="2716" w:val="left"/>
        </w:tabs>
        <w:numPr>
          <w:ilvl w:val="2"/>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w:t>
      </w:r>
    </w:p>
    <w:p>
      <w:pPr>
        <w:spacing w:after="0" w:line="1" w:lineRule="exact"/>
        <w:rPr>
          <w:rFonts w:ascii="Arial" w:cs="Arial" w:eastAsia="Arial" w:hAnsi="Arial"/>
          <w:sz w:val="18"/>
          <w:szCs w:val="18"/>
          <w:color w:val="auto"/>
        </w:rPr>
      </w:pPr>
    </w:p>
    <w:p>
      <w:pPr>
        <w:ind w:left="4" w:right="60" w:firstLine="1940"/>
        <w:spacing w:after="0" w:line="334" w:lineRule="auto"/>
        <w:tabs>
          <w:tab w:leader="none" w:pos="2696" w:val="left"/>
        </w:tabs>
        <w:numPr>
          <w:ilvl w:val="2"/>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spacing w:after="0" w:line="1" w:lineRule="exact"/>
        <w:rPr>
          <w:rFonts w:ascii="Arial" w:cs="Arial" w:eastAsia="Arial" w:hAnsi="Arial"/>
          <w:sz w:val="16"/>
          <w:szCs w:val="16"/>
          <w:color w:val="auto"/>
        </w:rPr>
      </w:pPr>
    </w:p>
    <w:p>
      <w:pPr>
        <w:ind w:left="4" w:right="20" w:hanging="4"/>
        <w:spacing w:after="0" w:line="304"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88" w:lineRule="exact"/>
        <w:rPr>
          <w:rFonts w:ascii="Arial" w:cs="Arial" w:eastAsia="Arial" w:hAnsi="Arial"/>
          <w:sz w:val="18"/>
          <w:szCs w:val="18"/>
          <w:color w:val="auto"/>
        </w:rPr>
      </w:pPr>
    </w:p>
    <w:p>
      <w:pPr>
        <w:ind w:left="4" w:firstLine="1940"/>
        <w:spacing w:after="0" w:line="343" w:lineRule="auto"/>
        <w:tabs>
          <w:tab w:leader="none" w:pos="2726" w:val="left"/>
        </w:tabs>
        <w:numPr>
          <w:ilvl w:val="2"/>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director of the Company, by reason of any action taken by him or of any inaction on his part while acting as an director of the Company, or by reason of the fact that he is or was serving at the request of the Company as a director, officer, employee or agent of another corporation, partnership, joint venture, trust or other enterprise; in each case whether or not he is acting or serving in any such capacity at the time any liability or expense is incurred for which indemnification can be provided under this Agreement; including one pending on or before the date of this Agreement; and excluding one initiated by an Indemnitee pursuant to Section 8 of this Agreement to enforce his rights under this Agreement.</w:t>
      </w:r>
    </w:p>
    <w:p>
      <w:pPr>
        <w:spacing w:after="0" w:line="161" w:lineRule="exact"/>
        <w:rPr>
          <w:rFonts w:ascii="Arial" w:cs="Arial" w:eastAsia="Arial" w:hAnsi="Arial"/>
          <w:sz w:val="16"/>
          <w:szCs w:val="16"/>
          <w:color w:val="auto"/>
        </w:rPr>
      </w:pPr>
    </w:p>
    <w:p>
      <w:pPr>
        <w:ind w:left="-76" w:right="60" w:firstLine="1305"/>
        <w:spacing w:after="0" w:line="302" w:lineRule="auto"/>
        <w:tabs>
          <w:tab w:leader="none" w:pos="2094" w:val="left"/>
        </w:tabs>
        <w:numPr>
          <w:ilvl w:val="1"/>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or provisions of this Agreement shall be held by a court of competent jurisdiction to be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void, illegal or otherwise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and (b)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9" w:lineRule="exact"/>
        <w:rPr>
          <w:rFonts w:ascii="Arial" w:cs="Arial" w:eastAsia="Arial" w:hAnsi="Arial"/>
          <w:sz w:val="18"/>
          <w:szCs w:val="18"/>
          <w:color w:val="auto"/>
        </w:rPr>
      </w:pPr>
    </w:p>
    <w:p>
      <w:pPr>
        <w:ind w:left="-76" w:right="80" w:firstLine="1305"/>
        <w:spacing w:after="0" w:line="313" w:lineRule="auto"/>
        <w:tabs>
          <w:tab w:leader="none" w:pos="2094" w:val="left"/>
        </w:tabs>
        <w:numPr>
          <w:ilvl w:val="1"/>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6" w:lineRule="exact"/>
        <w:rPr>
          <w:rFonts w:ascii="Arial" w:cs="Arial" w:eastAsia="Arial" w:hAnsi="Arial"/>
          <w:sz w:val="18"/>
          <w:szCs w:val="18"/>
          <w:color w:val="auto"/>
        </w:rPr>
      </w:pPr>
    </w:p>
    <w:p>
      <w:pPr>
        <w:ind w:left="-76" w:right="260" w:firstLine="1305"/>
        <w:spacing w:after="0" w:line="308" w:lineRule="auto"/>
        <w:tabs>
          <w:tab w:leader="none" w:pos="2094" w:val="left"/>
        </w:tabs>
        <w:numPr>
          <w:ilvl w:val="1"/>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w:t>
      </w:r>
      <w:r>
        <w:rPr>
          <w:rFonts w:ascii="Arial" w:cs="Arial" w:eastAsia="Arial" w:hAnsi="Arial"/>
          <w:sz w:val="18"/>
          <w:szCs w:val="18"/>
          <w:b w:val="1"/>
          <w:bCs w:val="1"/>
          <w:color w:val="auto"/>
        </w:rPr>
        <w:t xml:space="preserve"> </w:t>
      </w:r>
      <w:r>
        <w:rPr>
          <w:rFonts w:ascii="Arial" w:cs="Arial" w:eastAsia="Arial" w:hAnsi="Arial"/>
          <w:sz w:val="18"/>
          <w:szCs w:val="18"/>
          <w:color w:val="auto"/>
        </w:rPr>
        <w:t>citation, subpoena, complaint, indictment, information or other document relating to any Proceeding or matter which may be subject to indemnification covered hereunder. The failure to so notify the Company shall not relieve the Company of any obligation which it may have to the Indemnitee under this Agreement or otherwise.</w:t>
      </w:r>
    </w:p>
    <w:p>
      <w:pPr>
        <w:spacing w:after="0" w:line="179" w:lineRule="exact"/>
        <w:rPr>
          <w:rFonts w:ascii="Arial" w:cs="Arial" w:eastAsia="Arial" w:hAnsi="Arial"/>
          <w:sz w:val="18"/>
          <w:szCs w:val="18"/>
          <w:color w:val="auto"/>
        </w:rPr>
      </w:pPr>
    </w:p>
    <w:p>
      <w:pPr>
        <w:ind w:left="-76" w:right="80" w:firstLine="1305"/>
        <w:spacing w:after="0" w:line="338" w:lineRule="auto"/>
        <w:tabs>
          <w:tab w:leader="none" w:pos="2094" w:val="left"/>
        </w:tabs>
        <w:numPr>
          <w:ilvl w:val="1"/>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requests, demands and other communications hereunder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if (i) delivered by hand and receipted for by the party to whom said notice or other communication shall have been directed, or (ii) mailed by certified or registered mail with postage prepaid, on the third business day after the date on which it is so mailed:</w:t>
      </w:r>
    </w:p>
    <w:p>
      <w:pPr>
        <w:spacing w:after="0" w:line="137" w:lineRule="exact"/>
        <w:rPr>
          <w:sz w:val="20"/>
          <w:szCs w:val="20"/>
          <w:color w:val="auto"/>
        </w:rPr>
      </w:pPr>
    </w:p>
    <w:p>
      <w:pPr>
        <w:ind w:left="1224"/>
        <w:spacing w:after="0"/>
        <w:tabs>
          <w:tab w:leader="none" w:pos="158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Indemnitee, to:</w:t>
      </w:r>
    </w:p>
    <w:p>
      <w:pPr>
        <w:spacing w:after="0" w:line="225"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[ADDRESS 1]</w:t>
      </w:r>
    </w:p>
    <w:p>
      <w:pPr>
        <w:spacing w:after="0" w:line="23"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[ADDRESS 2]</w:t>
      </w:r>
    </w:p>
    <w:p>
      <w:pPr>
        <w:sectPr>
          <w:pgSz w:w="11900" w:h="16838" w:orient="portrait"/>
          <w:cols w:equalWidth="0" w:num="1">
            <w:col w:w="11344"/>
          </w:cols>
          <w:pgMar w:left="316" w:top="611" w:right="239" w:bottom="1440" w:gutter="0" w:footer="0" w:header="0"/>
        </w:sectPr>
      </w:pPr>
    </w:p>
    <w:bookmarkStart w:id="147" w:name="page148"/>
    <w:bookmarkEnd w:id="147"/>
    <w:p>
      <w:pPr>
        <w:ind w:left="1960" w:right="7200" w:hanging="655"/>
        <w:spacing w:after="0" w:line="257" w:lineRule="auto"/>
        <w:tabs>
          <w:tab w:leader="none" w:pos="17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to the Company, to: SanDisk Corporation 951 SanDisk Drive Milpitas, CA 95035 Attention: Chief Legal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248" w:lineRule="exact"/>
        <w:rPr>
          <w:sz w:val="20"/>
          <w:szCs w:val="20"/>
          <w:color w:val="auto"/>
        </w:rPr>
      </w:pPr>
    </w:p>
    <w:p>
      <w:pPr>
        <w:jc w:val="both"/>
        <w:ind w:firstLine="1305"/>
        <w:spacing w:after="0" w:line="313" w:lineRule="auto"/>
        <w:tabs>
          <w:tab w:leader="none" w:pos="217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rFonts w:ascii="Arial" w:cs="Arial" w:eastAsia="Arial" w:hAnsi="Arial"/>
          <w:sz w:val="18"/>
          <w:szCs w:val="18"/>
          <w:color w:val="auto"/>
        </w:rPr>
      </w:pPr>
    </w:p>
    <w:p>
      <w:pPr>
        <w:ind w:right="340" w:firstLine="1305"/>
        <w:spacing w:after="0" w:line="329" w:lineRule="auto"/>
        <w:tabs>
          <w:tab w:leader="none" w:pos="217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part of this Agreement or to affect the construction thereof.</w:t>
      </w:r>
    </w:p>
    <w:p>
      <w:pPr>
        <w:spacing w:after="0" w:line="161" w:lineRule="exact"/>
        <w:rPr>
          <w:rFonts w:ascii="Arial" w:cs="Arial" w:eastAsia="Arial" w:hAnsi="Arial"/>
          <w:sz w:val="18"/>
          <w:szCs w:val="18"/>
          <w:color w:val="auto"/>
        </w:rPr>
      </w:pPr>
    </w:p>
    <w:p>
      <w:pPr>
        <w:ind w:right="120" w:firstLine="1305"/>
        <w:spacing w:after="0" w:line="329" w:lineRule="auto"/>
        <w:tabs>
          <w:tab w:leader="none" w:pos="217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parties agree that this Agreement shall be governed by, and construed and enforced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Delaware without application of the conflict of laws principles thereof.</w:t>
      </w:r>
    </w:p>
    <w:p>
      <w:pPr>
        <w:spacing w:after="0" w:line="161" w:lineRule="exact"/>
        <w:rPr>
          <w:rFonts w:ascii="Arial" w:cs="Arial" w:eastAsia="Arial" w:hAnsi="Arial"/>
          <w:sz w:val="18"/>
          <w:szCs w:val="18"/>
          <w:color w:val="auto"/>
        </w:rPr>
      </w:pPr>
    </w:p>
    <w:p>
      <w:pPr>
        <w:ind w:left="2180" w:hanging="875"/>
        <w:spacing w:after="0"/>
        <w:tabs>
          <w:tab w:leader="none" w:pos="2180"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Gender</w:t>
      </w:r>
      <w:r>
        <w:rPr>
          <w:rFonts w:ascii="Arial" w:cs="Arial" w:eastAsia="Arial" w:hAnsi="Arial"/>
          <w:sz w:val="17"/>
          <w:szCs w:val="17"/>
          <w:color w:val="auto"/>
        </w:rPr>
        <w:t>. Use of the masculine pronoun shall be deemed to include usage of the feminine pronoun where appropriate.</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340"/>
          </w:cols>
          <w:pgMar w:left="240" w:top="800" w:right="319" w:bottom="1440" w:gutter="0" w:footer="0" w:header="0"/>
        </w:sectPr>
      </w:pPr>
    </w:p>
    <w:bookmarkStart w:id="148" w:name="page149"/>
    <w:bookmarkEnd w:id="148"/>
    <w:p>
      <w:pPr>
        <w:ind w:left="10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to be effective as of the day and year first above written.</w:t>
      </w:r>
    </w:p>
    <w:p>
      <w:pPr>
        <w:sectPr>
          <w:pgSz w:w="11900" w:h="16838" w:orient="portrait"/>
          <w:cols w:equalWidth="0" w:num="1">
            <w:col w:w="9780"/>
          </w:cols>
          <w:pgMar w:left="1440" w:top="1013" w:right="679" w:bottom="1440" w:gutter="0" w:footer="0" w:header="0"/>
        </w:sectPr>
      </w:pPr>
    </w:p>
    <w:p>
      <w:pPr>
        <w:spacing w:after="0" w:line="24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SANDISK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__________________________________</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Judy Bruner</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Title: Executive Vice President, Administration and Chief Financial Officer</w:t>
      </w:r>
    </w:p>
    <w:p>
      <w:pPr>
        <w:spacing w:after="0" w:line="200" w:lineRule="exact"/>
        <w:rPr>
          <w:sz w:val="20"/>
          <w:szCs w:val="20"/>
          <w:color w:val="auto"/>
        </w:rPr>
      </w:pPr>
    </w:p>
    <w:p>
      <w:pPr>
        <w:spacing w:after="0" w:line="24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4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__________________________________</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Name: [NAME]</w:t>
      </w:r>
    </w:p>
    <w:p>
      <w:pPr>
        <w:sectPr>
          <w:pgSz w:w="11900" w:h="16838" w:orient="portrait"/>
          <w:cols w:equalWidth="0" w:num="1">
            <w:col w:w="9780"/>
          </w:cols>
          <w:pgMar w:left="1440" w:top="1013" w:right="679" w:bottom="1440" w:gutter="0" w:footer="0" w:header="0"/>
          <w:type w:val="continuous"/>
        </w:sectPr>
      </w:pPr>
    </w:p>
    <w:bookmarkStart w:id="149" w:name="page150"/>
    <w:bookmarkEnd w:id="149"/>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16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23"/>
        </w:trPr>
        <w:tc>
          <w:tcPr>
            <w:tcW w:w="16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i w:val="1"/>
                <w:iCs w:val="1"/>
                <w:color w:val="auto"/>
                <w:w w:val="98"/>
              </w:rPr>
              <w:t>(in millions)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2,085</w:t>
            </w:r>
          </w:p>
        </w:tc>
      </w:tr>
      <w:tr>
        <w:trPr>
          <w:trHeight w:val="27"/>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w:t>
            </w:r>
          </w:p>
        </w:tc>
      </w:tr>
      <w:tr>
        <w:trPr>
          <w:trHeight w:val="229"/>
        </w:trPr>
        <w:tc>
          <w:tcPr>
            <w:tcW w:w="4640" w:type="dxa"/>
            <w:vAlign w:val="bottom"/>
            <w:gridSpan w:val="2"/>
          </w:tcPr>
          <w:p>
            <w:pPr>
              <w:ind w:left="280"/>
              <w:spacing w:after="0"/>
              <w:rPr>
                <w:sz w:val="20"/>
                <w:szCs w:val="20"/>
                <w:color w:val="auto"/>
              </w:rPr>
            </w:pPr>
            <w:r>
              <w:rPr>
                <w:rFonts w:ascii="Arial" w:cs="Arial" w:eastAsia="Arial" w:hAnsi="Arial"/>
                <w:sz w:val="18"/>
                <w:szCs w:val="18"/>
                <w:color w:val="auto"/>
                <w:w w:val="98"/>
              </w:rPr>
              <w:t>Undistributed equity in income from 50%-or-less-owned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6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2,774</w:t>
            </w:r>
          </w:p>
        </w:tc>
      </w:tr>
      <w:tr>
        <w:trPr>
          <w:trHeight w:val="237"/>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Computation of fixed charges: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w:t>
            </w:r>
          </w:p>
        </w:tc>
      </w:tr>
      <w:tr>
        <w:trPr>
          <w:trHeight w:val="229"/>
        </w:trPr>
        <w:tc>
          <w:tcPr>
            <w:tcW w:w="4640" w:type="dxa"/>
            <w:vAlign w:val="bottom"/>
            <w:gridSpan w:val="2"/>
          </w:tcPr>
          <w:p>
            <w:pPr>
              <w:ind w:left="280"/>
              <w:spacing w:after="0"/>
              <w:rPr>
                <w:sz w:val="20"/>
                <w:szCs w:val="20"/>
                <w:color w:val="auto"/>
              </w:rPr>
            </w:pPr>
            <w:r>
              <w:rPr>
                <w:rFonts w:ascii="Arial" w:cs="Arial" w:eastAsia="Arial" w:hAnsi="Arial"/>
                <w:sz w:val="18"/>
                <w:szCs w:val="18"/>
                <w:color w:val="auto"/>
                <w:w w:val="94"/>
              </w:rPr>
              <w:t>Interest relating to lease guarantee of 50%-or-less-owned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4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w w:val="96"/>
              </w:rPr>
              <w:t xml:space="preserve">Estimated interest portion of operating lease expense </w:t>
            </w:r>
            <w:r>
              <w:rPr>
                <w:rFonts w:ascii="Arial" w:cs="Arial" w:eastAsia="Arial" w:hAnsi="Arial"/>
                <w:sz w:val="25"/>
                <w:szCs w:val="25"/>
                <w:color w:val="auto"/>
                <w:w w:val="96"/>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r>
      <w:tr>
        <w:trPr>
          <w:trHeight w:val="237"/>
        </w:trPr>
        <w:tc>
          <w:tcPr>
            <w:tcW w:w="4640" w:type="dxa"/>
            <w:vAlign w:val="bottom"/>
            <w:gridSpan w:val="2"/>
          </w:tcPr>
          <w:p>
            <w:pPr>
              <w:ind w:left="500"/>
              <w:spacing w:after="0"/>
              <w:rPr>
                <w:sz w:val="20"/>
                <w:szCs w:val="20"/>
                <w:color w:val="auto"/>
              </w:rPr>
            </w:pPr>
            <w:r>
              <w:rPr>
                <w:rFonts w:ascii="Arial" w:cs="Arial" w:eastAsia="Arial" w:hAnsi="Arial"/>
                <w:sz w:val="18"/>
                <w:szCs w:val="18"/>
                <w:color w:val="auto"/>
              </w:rPr>
              <w:t>Fixed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692</w:t>
            </w:r>
          </w:p>
        </w:tc>
      </w:tr>
      <w:tr>
        <w:trPr>
          <w:trHeight w:val="27"/>
        </w:trPr>
        <w:tc>
          <w:tcPr>
            <w:tcW w:w="16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24.4x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23.9x</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1.5x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1.9x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4.0x</w:t>
            </w:r>
          </w:p>
        </w:tc>
      </w:tr>
      <w:tr>
        <w:trPr>
          <w:trHeight w:val="135"/>
        </w:trPr>
        <w:tc>
          <w:tcPr>
            <w:tcW w:w="162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760" w:type="dxa"/>
            <w:vAlign w:val="bottom"/>
          </w:tcPr>
          <w:p>
            <w:pPr>
              <w:ind w:left="560"/>
              <w:spacing w:after="0"/>
              <w:rPr>
                <w:sz w:val="20"/>
                <w:szCs w:val="20"/>
                <w:color w:val="auto"/>
              </w:rPr>
            </w:pPr>
            <w:r>
              <w:rPr>
                <w:rFonts w:ascii="Arial" w:cs="Arial" w:eastAsia="Arial" w:hAnsi="Arial"/>
                <w:sz w:val="18"/>
                <w:szCs w:val="18"/>
                <w:b w:val="1"/>
                <w:bCs w:val="1"/>
                <w:color w:val="auto"/>
              </w:rPr>
              <w:t>WESTERN DIGITAL COPORATION</w:t>
            </w:r>
          </w:p>
        </w:tc>
      </w:tr>
      <w:tr>
        <w:trPr>
          <w:trHeight w:val="234"/>
        </w:trPr>
        <w:tc>
          <w:tcPr>
            <w:tcW w:w="3660" w:type="dxa"/>
            <w:vAlign w:val="bottom"/>
          </w:tcPr>
          <w:p>
            <w:pPr>
              <w:spacing w:after="0"/>
              <w:rPr>
                <w:sz w:val="20"/>
                <w:szCs w:val="20"/>
                <w:color w:val="auto"/>
              </w:rPr>
            </w:pPr>
          </w:p>
        </w:tc>
        <w:tc>
          <w:tcPr>
            <w:tcW w:w="7760" w:type="dxa"/>
            <w:vAlign w:val="bottom"/>
          </w:tcPr>
          <w:p>
            <w:pPr>
              <w:ind w:left="580"/>
              <w:spacing w:after="0"/>
              <w:rPr>
                <w:sz w:val="20"/>
                <w:szCs w:val="20"/>
                <w:color w:val="auto"/>
              </w:rPr>
            </w:pPr>
            <w:r>
              <w:rPr>
                <w:rFonts w:ascii="Arial" w:cs="Arial" w:eastAsia="Arial" w:hAnsi="Arial"/>
                <w:sz w:val="18"/>
                <w:szCs w:val="18"/>
                <w:b w:val="1"/>
                <w:bCs w:val="1"/>
                <w:color w:val="auto"/>
              </w:rPr>
              <w:t>SUBSIDIARIES OF THE COMPANY</w:t>
            </w:r>
          </w:p>
        </w:tc>
      </w:tr>
      <w:tr>
        <w:trPr>
          <w:trHeight w:val="594"/>
        </w:trPr>
        <w:tc>
          <w:tcPr>
            <w:tcW w:w="36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225"/>
        </w:trPr>
        <w:tc>
          <w:tcPr>
            <w:tcW w:w="3660" w:type="dxa"/>
            <w:vAlign w:val="bottom"/>
            <w:shd w:val="clear" w:color="auto" w:fill="CCEEFF"/>
          </w:tcPr>
          <w:p>
            <w:pPr>
              <w:spacing w:after="0"/>
              <w:rPr>
                <w:sz w:val="19"/>
                <w:szCs w:val="19"/>
                <w:color w:val="auto"/>
              </w:rPr>
            </w:pPr>
          </w:p>
        </w:tc>
        <w:tc>
          <w:tcPr>
            <w:tcW w:w="7760" w:type="dxa"/>
            <w:vAlign w:val="bottom"/>
            <w:shd w:val="clear" w:color="auto" w:fill="CCEEFF"/>
          </w:tcPr>
          <w:p>
            <w:pPr>
              <w:ind w:left="4600"/>
              <w:spacing w:after="0"/>
              <w:rPr>
                <w:sz w:val="20"/>
                <w:szCs w:val="20"/>
                <w:color w:val="auto"/>
              </w:rPr>
            </w:pPr>
            <w:r>
              <w:rPr>
                <w:rFonts w:ascii="Arial" w:cs="Arial" w:eastAsia="Arial" w:hAnsi="Arial"/>
                <w:sz w:val="18"/>
                <w:szCs w:val="18"/>
                <w:b w:val="1"/>
                <w:bCs w:val="1"/>
                <w:color w:val="auto"/>
              </w:rPr>
              <w:t>State or Other Jurisdiction of</w:t>
            </w:r>
          </w:p>
        </w:tc>
      </w:tr>
      <w:tr>
        <w:trPr>
          <w:trHeight w:val="26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of Entity</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b w:val="1"/>
                <w:bCs w:val="1"/>
                <w:color w:val="auto"/>
              </w:rPr>
              <w:t>Incorporation or Organization</w:t>
            </w: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Amplidata N.V.</w:t>
            </w:r>
          </w:p>
        </w:tc>
        <w:tc>
          <w:tcPr>
            <w:tcW w:w="7760" w:type="dxa"/>
            <w:vAlign w:val="bottom"/>
            <w:tcBorders>
              <w:top w:val="single" w:sz="8" w:color="auto"/>
            </w:tcBorders>
          </w:tcPr>
          <w:p>
            <w:pPr>
              <w:ind w:left="4600"/>
              <w:spacing w:after="0"/>
              <w:rPr>
                <w:sz w:val="20"/>
                <w:szCs w:val="20"/>
                <w:color w:val="auto"/>
              </w:rPr>
            </w:pPr>
            <w:r>
              <w:rPr>
                <w:rFonts w:ascii="Arial" w:cs="Arial" w:eastAsia="Arial" w:hAnsi="Arial"/>
                <w:sz w:val="18"/>
                <w:szCs w:val="18"/>
                <w:color w:val="auto"/>
              </w:rPr>
              <w:t>Belgium</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Amplidata, Inc.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Delaware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EasyStore Memory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Ireland</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Fabrik, LLC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Delaware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Fusion Multisystems Ltd.</w:t>
            </w:r>
          </w:p>
        </w:tc>
        <w:tc>
          <w:tcPr>
            <w:tcW w:w="7760" w:type="dxa"/>
            <w:vAlign w:val="bottom"/>
          </w:tcPr>
          <w:p>
            <w:pPr>
              <w:ind w:left="4600"/>
              <w:spacing w:after="0"/>
              <w:rPr>
                <w:sz w:val="20"/>
                <w:szCs w:val="20"/>
                <w:color w:val="auto"/>
              </w:rPr>
            </w:pPr>
            <w:r>
              <w:rPr>
                <w:rFonts w:ascii="Arial" w:cs="Arial" w:eastAsia="Arial" w:hAnsi="Arial"/>
                <w:sz w:val="18"/>
                <w:szCs w:val="18"/>
                <w:color w:val="auto"/>
              </w:rPr>
              <w:t>Canada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(Beijing) Info Tech Co.,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China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Fusion-io GmbH</w:t>
            </w:r>
          </w:p>
        </w:tc>
        <w:tc>
          <w:tcPr>
            <w:tcW w:w="7760" w:type="dxa"/>
            <w:vAlign w:val="bottom"/>
          </w:tcPr>
          <w:p>
            <w:pPr>
              <w:ind w:left="4600"/>
              <w:spacing w:after="0"/>
              <w:rPr>
                <w:sz w:val="20"/>
                <w:szCs w:val="20"/>
                <w:color w:val="auto"/>
              </w:rPr>
            </w:pPr>
            <w:r>
              <w:rPr>
                <w:rFonts w:ascii="Arial" w:cs="Arial" w:eastAsia="Arial" w:hAnsi="Arial"/>
                <w:sz w:val="18"/>
                <w:szCs w:val="18"/>
                <w:color w:val="auto"/>
              </w:rPr>
              <w:t>Germany</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Holdings S.A.R.L.</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Luxembourg</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Fusion-io Poland SP.Z.O.O.</w:t>
            </w:r>
          </w:p>
        </w:tc>
        <w:tc>
          <w:tcPr>
            <w:tcW w:w="7760" w:type="dxa"/>
            <w:vAlign w:val="bottom"/>
          </w:tcPr>
          <w:p>
            <w:pPr>
              <w:ind w:left="4600"/>
              <w:spacing w:after="0"/>
              <w:rPr>
                <w:sz w:val="20"/>
                <w:szCs w:val="20"/>
                <w:color w:val="auto"/>
              </w:rPr>
            </w:pPr>
            <w:r>
              <w:rPr>
                <w:rFonts w:ascii="Arial" w:cs="Arial" w:eastAsia="Arial" w:hAnsi="Arial"/>
                <w:sz w:val="18"/>
                <w:szCs w:val="18"/>
                <w:color w:val="auto"/>
              </w:rPr>
              <w:t>Poland</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Singapore Private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Singapore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Fusion-io LLC</w:t>
            </w:r>
          </w:p>
        </w:tc>
        <w:tc>
          <w:tcPr>
            <w:tcW w:w="7760" w:type="dxa"/>
            <w:vAlign w:val="bottom"/>
          </w:tcPr>
          <w:p>
            <w:pPr>
              <w:ind w:left="4600"/>
              <w:spacing w:after="0"/>
              <w:rPr>
                <w:sz w:val="20"/>
                <w:szCs w:val="20"/>
                <w:color w:val="auto"/>
              </w:rPr>
            </w:pPr>
            <w:r>
              <w:rPr>
                <w:rFonts w:ascii="Arial" w:cs="Arial" w:eastAsia="Arial" w:hAnsi="Arial"/>
                <w:sz w:val="18"/>
                <w:szCs w:val="18"/>
                <w:color w:val="auto"/>
              </w:rPr>
              <w:t>Delaware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G-Tech LLC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California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HGSP Holdco Hong Kong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Hong Kong</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HGSP (Shenzhen) Co.,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China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(Shenzhen) Co., Ltd.</w:t>
            </w:r>
          </w:p>
        </w:tc>
        <w:tc>
          <w:tcPr>
            <w:tcW w:w="7760" w:type="dxa"/>
            <w:vAlign w:val="bottom"/>
          </w:tcPr>
          <w:p>
            <w:pPr>
              <w:ind w:left="4600"/>
              <w:spacing w:after="0"/>
              <w:rPr>
                <w:sz w:val="20"/>
                <w:szCs w:val="20"/>
                <w:color w:val="auto"/>
              </w:rPr>
            </w:pPr>
            <w:r>
              <w:rPr>
                <w:rFonts w:ascii="Arial" w:cs="Arial" w:eastAsia="Arial" w:hAnsi="Arial"/>
                <w:sz w:val="18"/>
                <w:szCs w:val="18"/>
                <w:color w:val="auto"/>
              </w:rPr>
              <w:t>China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(Thailand)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Thailand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Asia Pte. Ltd.</w:t>
            </w:r>
          </w:p>
        </w:tc>
        <w:tc>
          <w:tcPr>
            <w:tcW w:w="7760" w:type="dxa"/>
            <w:vAlign w:val="bottom"/>
          </w:tcPr>
          <w:p>
            <w:pPr>
              <w:ind w:left="4600"/>
              <w:spacing w:after="0"/>
              <w:rPr>
                <w:sz w:val="20"/>
                <w:szCs w:val="20"/>
                <w:color w:val="auto"/>
              </w:rPr>
            </w:pPr>
            <w:r>
              <w:rPr>
                <w:rFonts w:ascii="Arial" w:cs="Arial" w:eastAsia="Arial" w:hAnsi="Arial"/>
                <w:sz w:val="18"/>
                <w:szCs w:val="18"/>
                <w:color w:val="auto"/>
              </w:rPr>
              <w:t>Singapore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Consulting (Shanghai) Co.,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China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Europe, Ltd.</w:t>
            </w:r>
          </w:p>
        </w:tc>
        <w:tc>
          <w:tcPr>
            <w:tcW w:w="7760" w:type="dxa"/>
            <w:vAlign w:val="bottom"/>
          </w:tcPr>
          <w:p>
            <w:pPr>
              <w:ind w:left="4600"/>
              <w:spacing w:after="0"/>
              <w:rPr>
                <w:sz w:val="20"/>
                <w:szCs w:val="20"/>
                <w:color w:val="auto"/>
              </w:rPr>
            </w:pPr>
            <w:r>
              <w:rPr>
                <w:rFonts w:ascii="Arial" w:cs="Arial" w:eastAsia="Arial" w:hAnsi="Arial"/>
                <w:sz w:val="18"/>
                <w:szCs w:val="18"/>
                <w:color w:val="auto"/>
              </w:rPr>
              <w:t>United Kingdom</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Japan,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Japan</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Malaysia Sdn. Bhd.</w:t>
            </w:r>
          </w:p>
        </w:tc>
        <w:tc>
          <w:tcPr>
            <w:tcW w:w="7760" w:type="dxa"/>
            <w:vAlign w:val="bottom"/>
          </w:tcPr>
          <w:p>
            <w:pPr>
              <w:ind w:left="4600"/>
              <w:spacing w:after="0"/>
              <w:rPr>
                <w:sz w:val="20"/>
                <w:szCs w:val="20"/>
                <w:color w:val="auto"/>
              </w:rPr>
            </w:pPr>
            <w:r>
              <w:rPr>
                <w:rFonts w:ascii="Arial" w:cs="Arial" w:eastAsia="Arial" w:hAnsi="Arial"/>
                <w:sz w:val="18"/>
                <w:szCs w:val="18"/>
                <w:color w:val="auto"/>
              </w:rPr>
              <w:t>Malaysia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Netherlands B.V.</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Netherlands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Philippines Corp.</w:t>
            </w:r>
          </w:p>
        </w:tc>
        <w:tc>
          <w:tcPr>
            <w:tcW w:w="7760" w:type="dxa"/>
            <w:vAlign w:val="bottom"/>
          </w:tcPr>
          <w:p>
            <w:pPr>
              <w:ind w:left="4600"/>
              <w:spacing w:after="0"/>
              <w:rPr>
                <w:sz w:val="20"/>
                <w:szCs w:val="20"/>
                <w:color w:val="auto"/>
              </w:rPr>
            </w:pPr>
            <w:r>
              <w:rPr>
                <w:rFonts w:ascii="Arial" w:cs="Arial" w:eastAsia="Arial" w:hAnsi="Arial"/>
                <w:sz w:val="18"/>
                <w:szCs w:val="18"/>
                <w:color w:val="auto"/>
              </w:rPr>
              <w:t>Philippines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Singapore Pte.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Singapore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Technologies India Private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India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Technologies Malaysia Sdn. Bhd.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Malaysia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HGST, Inc.</w:t>
            </w:r>
          </w:p>
        </w:tc>
        <w:tc>
          <w:tcPr>
            <w:tcW w:w="7760" w:type="dxa"/>
            <w:vAlign w:val="bottom"/>
          </w:tcPr>
          <w:p>
            <w:pPr>
              <w:ind w:left="4600"/>
              <w:spacing w:after="0"/>
              <w:rPr>
                <w:sz w:val="20"/>
                <w:szCs w:val="20"/>
                <w:color w:val="auto"/>
              </w:rPr>
            </w:pPr>
            <w:r>
              <w:rPr>
                <w:rFonts w:ascii="Arial" w:cs="Arial" w:eastAsia="Arial" w:hAnsi="Arial"/>
                <w:sz w:val="18"/>
                <w:szCs w:val="18"/>
                <w:color w:val="auto"/>
              </w:rPr>
              <w:t>Delaware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HICAP Properties Corp.</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Philippines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Keen Personal Media, Inc.</w:t>
            </w:r>
          </w:p>
        </w:tc>
        <w:tc>
          <w:tcPr>
            <w:tcW w:w="7760" w:type="dxa"/>
            <w:vAlign w:val="bottom"/>
          </w:tcPr>
          <w:p>
            <w:pPr>
              <w:ind w:left="4600"/>
              <w:spacing w:after="0"/>
              <w:rPr>
                <w:sz w:val="20"/>
                <w:szCs w:val="20"/>
                <w:color w:val="auto"/>
              </w:rPr>
            </w:pPr>
            <w:r>
              <w:rPr>
                <w:rFonts w:ascii="Arial" w:cs="Arial" w:eastAsia="Arial" w:hAnsi="Arial"/>
                <w:sz w:val="18"/>
                <w:szCs w:val="18"/>
                <w:color w:val="auto"/>
              </w:rPr>
              <w:t>Delaware</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Pacifica Insurance Corporation</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Hawaii</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Prestadora SD, S. de R.L. de C.V.</w:t>
            </w:r>
          </w:p>
        </w:tc>
        <w:tc>
          <w:tcPr>
            <w:tcW w:w="7760" w:type="dxa"/>
            <w:vAlign w:val="bottom"/>
          </w:tcPr>
          <w:p>
            <w:pPr>
              <w:ind w:left="4600"/>
              <w:spacing w:after="0"/>
              <w:rPr>
                <w:sz w:val="20"/>
                <w:szCs w:val="20"/>
                <w:color w:val="auto"/>
              </w:rPr>
            </w:pPr>
            <w:r>
              <w:rPr>
                <w:rFonts w:ascii="Arial" w:cs="Arial" w:eastAsia="Arial" w:hAnsi="Arial"/>
                <w:sz w:val="18"/>
                <w:szCs w:val="18"/>
                <w:color w:val="auto"/>
              </w:rPr>
              <w:t>Mexico</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Read-Rite Philippines, Inc.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Philippines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Rising Silicon Inc.</w:t>
            </w:r>
          </w:p>
        </w:tc>
        <w:tc>
          <w:tcPr>
            <w:tcW w:w="7760" w:type="dxa"/>
            <w:vAlign w:val="bottom"/>
          </w:tcPr>
          <w:p>
            <w:pPr>
              <w:ind w:left="4600"/>
              <w:spacing w:after="0"/>
              <w:rPr>
                <w:sz w:val="20"/>
                <w:szCs w:val="20"/>
                <w:color w:val="auto"/>
              </w:rPr>
            </w:pPr>
            <w:r>
              <w:rPr>
                <w:rFonts w:ascii="Arial" w:cs="Arial" w:eastAsia="Arial" w:hAnsi="Arial"/>
                <w:sz w:val="18"/>
                <w:szCs w:val="18"/>
                <w:color w:val="auto"/>
              </w:rPr>
              <w:t>Texas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Sandbox Expansion LLC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Delaware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(Cayman) 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Cayman Islands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(Ireland) Limited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Ireland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3D IP Holdings Ltd</w:t>
            </w:r>
          </w:p>
        </w:tc>
        <w:tc>
          <w:tcPr>
            <w:tcW w:w="7760" w:type="dxa"/>
            <w:vAlign w:val="bottom"/>
          </w:tcPr>
          <w:p>
            <w:pPr>
              <w:ind w:left="4600"/>
              <w:spacing w:after="0"/>
              <w:rPr>
                <w:sz w:val="20"/>
                <w:szCs w:val="20"/>
                <w:color w:val="auto"/>
              </w:rPr>
            </w:pPr>
            <w:r>
              <w:rPr>
                <w:rFonts w:ascii="Arial" w:cs="Arial" w:eastAsia="Arial" w:hAnsi="Arial"/>
                <w:sz w:val="18"/>
                <w:szCs w:val="18"/>
                <w:color w:val="auto"/>
              </w:rPr>
              <w:t>Cayman Islands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3D LLC</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Delaware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B.V.</w:t>
            </w:r>
          </w:p>
        </w:tc>
        <w:tc>
          <w:tcPr>
            <w:tcW w:w="7760" w:type="dxa"/>
            <w:vAlign w:val="bottom"/>
          </w:tcPr>
          <w:p>
            <w:pPr>
              <w:ind w:left="4600"/>
              <w:spacing w:after="0"/>
              <w:rPr>
                <w:sz w:val="20"/>
                <w:szCs w:val="20"/>
                <w:color w:val="auto"/>
              </w:rPr>
            </w:pPr>
            <w:r>
              <w:rPr>
                <w:rFonts w:ascii="Arial" w:cs="Arial" w:eastAsia="Arial" w:hAnsi="Arial"/>
                <w:sz w:val="18"/>
                <w:szCs w:val="18"/>
                <w:color w:val="auto"/>
              </w:rPr>
              <w:t>Netherlands</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Bermuda Limited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Bermuda</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Bermuda Unlimited</w:t>
            </w:r>
          </w:p>
        </w:tc>
        <w:tc>
          <w:tcPr>
            <w:tcW w:w="7760" w:type="dxa"/>
            <w:vAlign w:val="bottom"/>
          </w:tcPr>
          <w:p>
            <w:pPr>
              <w:ind w:left="4600"/>
              <w:spacing w:after="0"/>
              <w:rPr>
                <w:sz w:val="20"/>
                <w:szCs w:val="20"/>
                <w:color w:val="auto"/>
              </w:rPr>
            </w:pPr>
            <w:r>
              <w:rPr>
                <w:rFonts w:ascii="Arial" w:cs="Arial" w:eastAsia="Arial" w:hAnsi="Arial"/>
                <w:sz w:val="18"/>
                <w:szCs w:val="18"/>
                <w:color w:val="auto"/>
              </w:rPr>
              <w:t>Bermuda</w:t>
            </w:r>
          </w:p>
        </w:tc>
      </w:tr>
      <w:tr>
        <w:trPr>
          <w:trHeight w:val="27"/>
        </w:trPr>
        <w:tc>
          <w:tcPr>
            <w:tcW w:w="366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BiCS IP Holdings Ltd</w:t>
            </w:r>
          </w:p>
        </w:tc>
        <w:tc>
          <w:tcPr>
            <w:tcW w:w="776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color w:val="auto"/>
              </w:rPr>
              <w:t>Cayman Islands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SanDisk Brasil Participações Ltda.</w:t>
            </w:r>
          </w:p>
        </w:tc>
        <w:tc>
          <w:tcPr>
            <w:tcW w:w="7760" w:type="dxa"/>
            <w:vAlign w:val="bottom"/>
          </w:tcPr>
          <w:p>
            <w:pPr>
              <w:ind w:left="4600"/>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b w:val="1"/>
                <w:bCs w:val="1"/>
                <w:color w:val="auto"/>
              </w:rPr>
              <w:t>WESTERN DIGITAL COPORATION</w:t>
            </w:r>
          </w:p>
        </w:tc>
      </w:tr>
      <w:tr>
        <w:trPr>
          <w:trHeight w:val="234"/>
        </w:trPr>
        <w:tc>
          <w:tcPr>
            <w:tcW w:w="406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SUBSIDIARIES OF THE COMPANY</w:t>
            </w:r>
          </w:p>
        </w:tc>
      </w:tr>
      <w:tr>
        <w:trPr>
          <w:trHeight w:val="594"/>
        </w:trPr>
        <w:tc>
          <w:tcPr>
            <w:tcW w:w="406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25"/>
        </w:trPr>
        <w:tc>
          <w:tcPr>
            <w:tcW w:w="4060" w:type="dxa"/>
            <w:vAlign w:val="bottom"/>
            <w:shd w:val="clear" w:color="auto" w:fill="CCEEFF"/>
          </w:tcPr>
          <w:p>
            <w:pPr>
              <w:spacing w:after="0"/>
              <w:rPr>
                <w:sz w:val="19"/>
                <w:szCs w:val="19"/>
                <w:color w:val="auto"/>
              </w:rPr>
            </w:pPr>
          </w:p>
        </w:tc>
        <w:tc>
          <w:tcPr>
            <w:tcW w:w="736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State or Other Jurisdiction of</w:t>
            </w:r>
          </w:p>
        </w:tc>
      </w:tr>
      <w:tr>
        <w:trPr>
          <w:trHeight w:val="26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of Entity</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b w:val="1"/>
                <w:bCs w:val="1"/>
                <w:color w:val="auto"/>
              </w:rPr>
              <w:t>Incorporation or Organization</w:t>
            </w: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SanDisk C.V.</w:t>
            </w:r>
          </w:p>
        </w:tc>
        <w:tc>
          <w:tcPr>
            <w:tcW w:w="7360" w:type="dxa"/>
            <w:vAlign w:val="bottom"/>
            <w:tcBorders>
              <w:top w:val="single" w:sz="8" w:color="auto"/>
            </w:tcBorders>
          </w:tcPr>
          <w:p>
            <w:pPr>
              <w:ind w:left="4200"/>
              <w:spacing w:after="0"/>
              <w:rPr>
                <w:sz w:val="20"/>
                <w:szCs w:val="20"/>
                <w:color w:val="auto"/>
              </w:rPr>
            </w:pPr>
            <w:r>
              <w:rPr>
                <w:rFonts w:ascii="Arial" w:cs="Arial" w:eastAsia="Arial" w:hAnsi="Arial"/>
                <w:sz w:val="18"/>
                <w:szCs w:val="18"/>
                <w:color w:val="auto"/>
              </w:rPr>
              <w:t>Netherlands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China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Ireland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China LLC</w:t>
            </w:r>
          </w:p>
        </w:tc>
        <w:tc>
          <w:tcPr>
            <w:tcW w:w="736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Enterprise IP LLC</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Texas</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Equipment Y.K.</w:t>
            </w:r>
          </w:p>
        </w:tc>
        <w:tc>
          <w:tcPr>
            <w:tcW w:w="7360" w:type="dxa"/>
            <w:vAlign w:val="bottom"/>
          </w:tcPr>
          <w:p>
            <w:pPr>
              <w:ind w:left="4200"/>
              <w:spacing w:after="0"/>
              <w:rPr>
                <w:sz w:val="20"/>
                <w:szCs w:val="20"/>
                <w:color w:val="auto"/>
              </w:rPr>
            </w:pPr>
            <w:r>
              <w:rPr>
                <w:rFonts w:ascii="Arial" w:cs="Arial" w:eastAsia="Arial" w:hAnsi="Arial"/>
                <w:sz w:val="18"/>
                <w:szCs w:val="18"/>
                <w:color w:val="auto"/>
              </w:rPr>
              <w:t>Japan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Flash B.V.</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Netherlands</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France SAS</w:t>
            </w:r>
          </w:p>
        </w:tc>
        <w:tc>
          <w:tcPr>
            <w:tcW w:w="7360" w:type="dxa"/>
            <w:vAlign w:val="bottom"/>
          </w:tcPr>
          <w:p>
            <w:pPr>
              <w:ind w:left="4200"/>
              <w:spacing w:after="0"/>
              <w:rPr>
                <w:sz w:val="20"/>
                <w:szCs w:val="20"/>
                <w:color w:val="auto"/>
              </w:rPr>
            </w:pPr>
            <w:r>
              <w:rPr>
                <w:rFonts w:ascii="Arial" w:cs="Arial" w:eastAsia="Arial" w:hAnsi="Arial"/>
                <w:sz w:val="18"/>
                <w:szCs w:val="18"/>
                <w:color w:val="auto"/>
              </w:rPr>
              <w:t>France</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G.K.</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Japan</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GmbH</w:t>
            </w:r>
          </w:p>
        </w:tc>
        <w:tc>
          <w:tcPr>
            <w:tcW w:w="7360" w:type="dxa"/>
            <w:vAlign w:val="bottom"/>
          </w:tcPr>
          <w:p>
            <w:pPr>
              <w:ind w:left="4200"/>
              <w:spacing w:after="0"/>
              <w:rPr>
                <w:sz w:val="20"/>
                <w:szCs w:val="20"/>
                <w:color w:val="auto"/>
              </w:rPr>
            </w:pPr>
            <w:r>
              <w:rPr>
                <w:rFonts w:ascii="Arial" w:cs="Arial" w:eastAsia="Arial" w:hAnsi="Arial"/>
                <w:sz w:val="18"/>
                <w:szCs w:val="18"/>
                <w:color w:val="auto"/>
              </w:rPr>
              <w:t>Germany</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Holding B.V.</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Netherlands</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Holdings LLC</w:t>
            </w:r>
          </w:p>
        </w:tc>
        <w:tc>
          <w:tcPr>
            <w:tcW w:w="736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Hong Kong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Hong Kong</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IL Ltd.</w:t>
            </w:r>
          </w:p>
        </w:tc>
        <w:tc>
          <w:tcPr>
            <w:tcW w:w="7360" w:type="dxa"/>
            <w:vAlign w:val="bottom"/>
          </w:tcPr>
          <w:p>
            <w:pPr>
              <w:ind w:left="4200"/>
              <w:spacing w:after="0"/>
              <w:rPr>
                <w:sz w:val="20"/>
                <w:szCs w:val="20"/>
                <w:color w:val="auto"/>
              </w:rPr>
            </w:pPr>
            <w:r>
              <w:rPr>
                <w:rFonts w:ascii="Arial" w:cs="Arial" w:eastAsia="Arial" w:hAnsi="Arial"/>
                <w:sz w:val="18"/>
                <w:szCs w:val="18"/>
                <w:color w:val="auto"/>
              </w:rPr>
              <w:t>Israel</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SanDisk India Device Design Centre Private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India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94"/>
              </w:rPr>
              <w:t>SanDisk Information Technology (Shanghai) Co. Ltd.</w:t>
            </w:r>
          </w:p>
        </w:tc>
        <w:tc>
          <w:tcPr>
            <w:tcW w:w="7360" w:type="dxa"/>
            <w:vAlign w:val="bottom"/>
          </w:tcPr>
          <w:p>
            <w:pPr>
              <w:ind w:left="4200"/>
              <w:spacing w:after="0"/>
              <w:rPr>
                <w:sz w:val="20"/>
                <w:szCs w:val="20"/>
                <w:color w:val="auto"/>
              </w:rPr>
            </w:pPr>
            <w:r>
              <w:rPr>
                <w:rFonts w:ascii="Arial" w:cs="Arial" w:eastAsia="Arial" w:hAnsi="Arial"/>
                <w:sz w:val="18"/>
                <w:szCs w:val="18"/>
                <w:color w:val="auto"/>
              </w:rPr>
              <w:t>China</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International Holdco B.V.</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Netherlands</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International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Ireland</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International Middle East FZE</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United Arab Emirates</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Israel (Tefen) Ltd.</w:t>
            </w:r>
          </w:p>
        </w:tc>
        <w:tc>
          <w:tcPr>
            <w:tcW w:w="7360" w:type="dxa"/>
            <w:vAlign w:val="bottom"/>
          </w:tcPr>
          <w:p>
            <w:pPr>
              <w:ind w:left="4200"/>
              <w:spacing w:after="0"/>
              <w:rPr>
                <w:sz w:val="20"/>
                <w:szCs w:val="20"/>
                <w:color w:val="auto"/>
              </w:rPr>
            </w:pPr>
            <w:r>
              <w:rPr>
                <w:rFonts w:ascii="Arial" w:cs="Arial" w:eastAsia="Arial" w:hAnsi="Arial"/>
                <w:sz w:val="18"/>
                <w:szCs w:val="18"/>
                <w:color w:val="auto"/>
              </w:rPr>
              <w:t>Israel</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Italy S.R.L.</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Italy</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Korea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Korea</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Latin America Holdings LLC</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Delaware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LLC</w:t>
            </w:r>
          </w:p>
        </w:tc>
        <w:tc>
          <w:tcPr>
            <w:tcW w:w="736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Malaysia Sdn. Bhd.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Malaysia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Manufacturing Americas, LLC</w:t>
            </w:r>
          </w:p>
        </w:tc>
        <w:tc>
          <w:tcPr>
            <w:tcW w:w="7360" w:type="dxa"/>
            <w:vAlign w:val="bottom"/>
          </w:tcPr>
          <w:p>
            <w:pPr>
              <w:ind w:left="4200"/>
              <w:spacing w:after="0"/>
              <w:rPr>
                <w:sz w:val="20"/>
                <w:szCs w:val="20"/>
                <w:color w:val="auto"/>
              </w:rPr>
            </w:pPr>
            <w:r>
              <w:rPr>
                <w:rFonts w:ascii="Arial" w:cs="Arial" w:eastAsia="Arial" w:hAnsi="Arial"/>
                <w:sz w:val="18"/>
                <w:szCs w:val="18"/>
                <w:color w:val="auto"/>
              </w:rPr>
              <w:t>Delaware</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Manufacturing Unlimited Company</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Ireland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Operations Holdings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Ireland</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Pazarlama Ve Ticaret Limited Sirketi</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Turkey</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Scotland,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United Kingdom</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Semiconductor (Shanghai) Co. Ltd.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China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Spain, S.L.U.</w:t>
            </w:r>
          </w:p>
        </w:tc>
        <w:tc>
          <w:tcPr>
            <w:tcW w:w="7360" w:type="dxa"/>
            <w:vAlign w:val="bottom"/>
          </w:tcPr>
          <w:p>
            <w:pPr>
              <w:ind w:left="4200"/>
              <w:spacing w:after="0"/>
              <w:rPr>
                <w:sz w:val="20"/>
                <w:szCs w:val="20"/>
                <w:color w:val="auto"/>
              </w:rPr>
            </w:pPr>
            <w:r>
              <w:rPr>
                <w:rFonts w:ascii="Arial" w:cs="Arial" w:eastAsia="Arial" w:hAnsi="Arial"/>
                <w:sz w:val="18"/>
                <w:szCs w:val="18"/>
                <w:color w:val="auto"/>
              </w:rPr>
              <w:t>Spain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Storage Malaysia Sdn. Bhd.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Malaysia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Sweden AB</w:t>
            </w:r>
          </w:p>
        </w:tc>
        <w:tc>
          <w:tcPr>
            <w:tcW w:w="7360" w:type="dxa"/>
            <w:vAlign w:val="bottom"/>
          </w:tcPr>
          <w:p>
            <w:pPr>
              <w:ind w:left="4200"/>
              <w:spacing w:after="0"/>
              <w:rPr>
                <w:sz w:val="20"/>
                <w:szCs w:val="20"/>
                <w:color w:val="auto"/>
              </w:rPr>
            </w:pPr>
            <w:r>
              <w:rPr>
                <w:rFonts w:ascii="Arial" w:cs="Arial" w:eastAsia="Arial" w:hAnsi="Arial"/>
                <w:sz w:val="18"/>
                <w:szCs w:val="18"/>
                <w:color w:val="auto"/>
              </w:rPr>
              <w:t>Sweden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Switzerland Sarl</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Switzerland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Taiwan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Taiwan</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Technologies LLC</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Texas</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Trading (Shanghai) Co. Ltd.</w:t>
            </w:r>
          </w:p>
        </w:tc>
        <w:tc>
          <w:tcPr>
            <w:tcW w:w="7360" w:type="dxa"/>
            <w:vAlign w:val="bottom"/>
          </w:tcPr>
          <w:p>
            <w:pPr>
              <w:ind w:left="4200"/>
              <w:spacing w:after="0"/>
              <w:rPr>
                <w:sz w:val="20"/>
                <w:szCs w:val="20"/>
                <w:color w:val="auto"/>
              </w:rPr>
            </w:pPr>
            <w:r>
              <w:rPr>
                <w:rFonts w:ascii="Arial" w:cs="Arial" w:eastAsia="Arial" w:hAnsi="Arial"/>
                <w:sz w:val="18"/>
                <w:szCs w:val="18"/>
                <w:color w:val="auto"/>
              </w:rPr>
              <w:t>China</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Trading Holdings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Ireland</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SanDisk UK, Limited</w:t>
            </w:r>
          </w:p>
        </w:tc>
        <w:tc>
          <w:tcPr>
            <w:tcW w:w="7360" w:type="dxa"/>
            <w:vAlign w:val="bottom"/>
          </w:tcPr>
          <w:p>
            <w:pPr>
              <w:ind w:left="4200"/>
              <w:spacing w:after="0"/>
              <w:rPr>
                <w:sz w:val="20"/>
                <w:szCs w:val="20"/>
                <w:color w:val="auto"/>
              </w:rPr>
            </w:pPr>
            <w:r>
              <w:rPr>
                <w:rFonts w:ascii="Arial" w:cs="Arial" w:eastAsia="Arial" w:hAnsi="Arial"/>
                <w:sz w:val="18"/>
                <w:szCs w:val="18"/>
                <w:color w:val="auto"/>
              </w:rPr>
              <w:t>United Kingdom</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Limited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Japan</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SD International Holdings Ltd.</w:t>
            </w:r>
          </w:p>
        </w:tc>
        <w:tc>
          <w:tcPr>
            <w:tcW w:w="7360" w:type="dxa"/>
            <w:vAlign w:val="bottom"/>
          </w:tcPr>
          <w:p>
            <w:pPr>
              <w:ind w:left="4200"/>
              <w:spacing w:after="0"/>
              <w:rPr>
                <w:sz w:val="20"/>
                <w:szCs w:val="20"/>
                <w:color w:val="auto"/>
              </w:rPr>
            </w:pPr>
            <w:r>
              <w:rPr>
                <w:rFonts w:ascii="Arial" w:cs="Arial" w:eastAsia="Arial" w:hAnsi="Arial"/>
                <w:sz w:val="18"/>
                <w:szCs w:val="18"/>
                <w:color w:val="auto"/>
              </w:rPr>
              <w:t>Cayman Islands</w:t>
            </w:r>
          </w:p>
        </w:tc>
      </w:tr>
      <w:tr>
        <w:trPr>
          <w:trHeight w:val="27"/>
        </w:trPr>
        <w:tc>
          <w:tcPr>
            <w:tcW w:w="40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Shenzhen Hailiang Storage Products Co., Ltd.</w:t>
            </w:r>
          </w:p>
        </w:tc>
        <w:tc>
          <w:tcPr>
            <w:tcW w:w="7360" w:type="dxa"/>
            <w:vAlign w:val="bottom"/>
            <w:tcBorders>
              <w:bottom w:val="single" w:sz="8" w:color="CCEEFF"/>
            </w:tcBorders>
            <w:shd w:val="clear" w:color="auto" w:fill="CCEEFF"/>
          </w:tcPr>
          <w:p>
            <w:pPr>
              <w:ind w:left="4200"/>
              <w:spacing w:after="0"/>
              <w:rPr>
                <w:sz w:val="20"/>
                <w:szCs w:val="20"/>
                <w:color w:val="auto"/>
              </w:rPr>
            </w:pPr>
            <w:r>
              <w:rPr>
                <w:rFonts w:ascii="Arial" w:cs="Arial" w:eastAsia="Arial" w:hAnsi="Arial"/>
                <w:sz w:val="18"/>
                <w:szCs w:val="18"/>
                <w:color w:val="auto"/>
              </w:rPr>
              <w:t>China</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Skyera, LLC</w:t>
            </w:r>
          </w:p>
        </w:tc>
        <w:tc>
          <w:tcPr>
            <w:tcW w:w="7360" w:type="dxa"/>
            <w:vAlign w:val="bottom"/>
          </w:tcPr>
          <w:p>
            <w:pPr>
              <w:ind w:left="42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ind w:left="4220"/>
              <w:spacing w:after="0"/>
              <w:rPr>
                <w:sz w:val="20"/>
                <w:szCs w:val="20"/>
                <w:color w:val="auto"/>
              </w:rPr>
            </w:pPr>
            <w:r>
              <w:rPr>
                <w:rFonts w:ascii="Arial" w:cs="Arial" w:eastAsia="Arial" w:hAnsi="Arial"/>
                <w:sz w:val="18"/>
                <w:szCs w:val="18"/>
                <w:b w:val="1"/>
                <w:bCs w:val="1"/>
                <w:color w:val="auto"/>
              </w:rPr>
              <w:t>WESTERN DIGITAL COPORATION</w:t>
            </w:r>
          </w:p>
        </w:tc>
        <w:tc>
          <w:tcPr>
            <w:tcW w:w="3680" w:type="dxa"/>
            <w:vAlign w:val="bottom"/>
          </w:tcPr>
          <w:p>
            <w:pPr>
              <w:spacing w:after="0"/>
              <w:rPr>
                <w:sz w:val="18"/>
                <w:szCs w:val="18"/>
                <w:color w:val="auto"/>
              </w:rPr>
            </w:pPr>
          </w:p>
        </w:tc>
      </w:tr>
      <w:tr>
        <w:trPr>
          <w:trHeight w:val="234"/>
        </w:trPr>
        <w:tc>
          <w:tcPr>
            <w:tcW w:w="7740" w:type="dxa"/>
            <w:vAlign w:val="bottom"/>
          </w:tcPr>
          <w:p>
            <w:pPr>
              <w:ind w:left="4240"/>
              <w:spacing w:after="0"/>
              <w:rPr>
                <w:sz w:val="20"/>
                <w:szCs w:val="20"/>
                <w:color w:val="auto"/>
              </w:rPr>
            </w:pPr>
            <w:r>
              <w:rPr>
                <w:rFonts w:ascii="Arial" w:cs="Arial" w:eastAsia="Arial" w:hAnsi="Arial"/>
                <w:sz w:val="18"/>
                <w:szCs w:val="18"/>
                <w:b w:val="1"/>
                <w:bCs w:val="1"/>
                <w:color w:val="auto"/>
              </w:rPr>
              <w:t>SUBSIDIARIES OF THE COMPANY</w:t>
            </w:r>
          </w:p>
        </w:tc>
        <w:tc>
          <w:tcPr>
            <w:tcW w:w="3680" w:type="dxa"/>
            <w:vAlign w:val="bottom"/>
          </w:tcPr>
          <w:p>
            <w:pPr>
              <w:spacing w:after="0"/>
              <w:rPr>
                <w:sz w:val="20"/>
                <w:szCs w:val="20"/>
                <w:color w:val="auto"/>
              </w:rPr>
            </w:pPr>
          </w:p>
        </w:tc>
      </w:tr>
      <w:tr>
        <w:trPr>
          <w:trHeight w:val="594"/>
        </w:trPr>
        <w:tc>
          <w:tcPr>
            <w:tcW w:w="77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5"/>
        </w:trPr>
        <w:tc>
          <w:tcPr>
            <w:tcW w:w="7740" w:type="dxa"/>
            <w:vAlign w:val="bottom"/>
            <w:shd w:val="clear" w:color="auto" w:fill="CCEEFF"/>
          </w:tcPr>
          <w:p>
            <w:pPr>
              <w:spacing w:after="0"/>
              <w:rPr>
                <w:sz w:val="19"/>
                <w:szCs w:val="19"/>
                <w:color w:val="auto"/>
              </w:rPr>
            </w:pPr>
          </w:p>
        </w:tc>
        <w:tc>
          <w:tcPr>
            <w:tcW w:w="3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State or Other Jurisdiction of</w:t>
            </w:r>
          </w:p>
        </w:tc>
      </w:tr>
      <w:tr>
        <w:trPr>
          <w:trHeight w:val="26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of Entity</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Incorporation or Organization</w:t>
            </w:r>
          </w:p>
        </w:tc>
      </w:tr>
      <w:tr>
        <w:trPr>
          <w:trHeight w:val="237"/>
        </w:trPr>
        <w:tc>
          <w:tcPr>
            <w:tcW w:w="7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SMART Storage Systems GmbH</w:t>
            </w:r>
          </w:p>
        </w:tc>
        <w:tc>
          <w:tcPr>
            <w:tcW w:w="36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Austria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Bermuda, LP</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Bermuda</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STEC Europe B.V.</w:t>
            </w:r>
          </w:p>
        </w:tc>
        <w:tc>
          <w:tcPr>
            <w:tcW w:w="3680" w:type="dxa"/>
            <w:vAlign w:val="bottom"/>
          </w:tcPr>
          <w:p>
            <w:pPr>
              <w:ind w:left="520"/>
              <w:spacing w:after="0"/>
              <w:rPr>
                <w:sz w:val="20"/>
                <w:szCs w:val="20"/>
                <w:color w:val="auto"/>
              </w:rPr>
            </w:pPr>
            <w:r>
              <w:rPr>
                <w:rFonts w:ascii="Arial" w:cs="Arial" w:eastAsia="Arial" w:hAnsi="Arial"/>
                <w:sz w:val="18"/>
                <w:szCs w:val="18"/>
                <w:color w:val="auto"/>
              </w:rPr>
              <w:t>Netherlands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Germany GmbH</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Germany</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STEC Hong Kong Ltd.</w:t>
            </w:r>
          </w:p>
        </w:tc>
        <w:tc>
          <w:tcPr>
            <w:tcW w:w="3680" w:type="dxa"/>
            <w:vAlign w:val="bottom"/>
          </w:tcPr>
          <w:p>
            <w:pPr>
              <w:ind w:left="520"/>
              <w:spacing w:after="0"/>
              <w:rPr>
                <w:sz w:val="20"/>
                <w:szCs w:val="20"/>
                <w:color w:val="auto"/>
              </w:rPr>
            </w:pPr>
            <w:r>
              <w:rPr>
                <w:rFonts w:ascii="Arial" w:cs="Arial" w:eastAsia="Arial" w:hAnsi="Arial"/>
                <w:sz w:val="18"/>
                <w:szCs w:val="18"/>
                <w:color w:val="auto"/>
              </w:rPr>
              <w:t>Hong Kong</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International Holding, Inc.</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California</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STEC Italy SRL</w:t>
            </w:r>
          </w:p>
        </w:tc>
        <w:tc>
          <w:tcPr>
            <w:tcW w:w="3680" w:type="dxa"/>
            <w:vAlign w:val="bottom"/>
          </w:tcPr>
          <w:p>
            <w:pPr>
              <w:ind w:left="520"/>
              <w:spacing w:after="0"/>
              <w:rPr>
                <w:sz w:val="20"/>
                <w:szCs w:val="20"/>
                <w:color w:val="auto"/>
              </w:rPr>
            </w:pPr>
            <w:r>
              <w:rPr>
                <w:rFonts w:ascii="Arial" w:cs="Arial" w:eastAsia="Arial" w:hAnsi="Arial"/>
                <w:sz w:val="18"/>
                <w:szCs w:val="18"/>
                <w:color w:val="auto"/>
              </w:rPr>
              <w:t>Italy</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R&amp;D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Cayman Islands</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Suntech Realty, Inc.</w:t>
            </w:r>
          </w:p>
        </w:tc>
        <w:tc>
          <w:tcPr>
            <w:tcW w:w="3680" w:type="dxa"/>
            <w:vAlign w:val="bottom"/>
          </w:tcPr>
          <w:p>
            <w:pPr>
              <w:ind w:left="520"/>
              <w:spacing w:after="0"/>
              <w:rPr>
                <w:sz w:val="20"/>
                <w:szCs w:val="20"/>
                <w:color w:val="auto"/>
              </w:rPr>
            </w:pPr>
            <w:r>
              <w:rPr>
                <w:rFonts w:ascii="Arial" w:cs="Arial" w:eastAsia="Arial" w:hAnsi="Arial"/>
                <w:sz w:val="18"/>
                <w:szCs w:val="18"/>
                <w:color w:val="auto"/>
              </w:rPr>
              <w:t>Philippines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Tegile Systems Private Limited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India</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Virident Systems, LLC</w:t>
            </w:r>
          </w:p>
        </w:tc>
        <w:tc>
          <w:tcPr>
            <w:tcW w:w="368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Virident Systems International Holdings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Cayman Islands</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Viviti Technologies Pte. Ltd.</w:t>
            </w:r>
          </w:p>
        </w:tc>
        <w:tc>
          <w:tcPr>
            <w:tcW w:w="3680" w:type="dxa"/>
            <w:vAlign w:val="bottom"/>
          </w:tcPr>
          <w:p>
            <w:pPr>
              <w:ind w:left="520"/>
              <w:spacing w:after="0"/>
              <w:rPr>
                <w:sz w:val="20"/>
                <w:szCs w:val="20"/>
                <w:color w:val="auto"/>
              </w:rPr>
            </w:pPr>
            <w:r>
              <w:rPr>
                <w:rFonts w:ascii="Arial" w:cs="Arial" w:eastAsia="Arial" w:hAnsi="Arial"/>
                <w:sz w:val="18"/>
                <w:szCs w:val="18"/>
                <w:color w:val="auto"/>
              </w:rPr>
              <w:t>Singapore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WD Media (Malaysia) Sdn.</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Malaysia</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WD Media (Singapore) Pte. Ltd.</w:t>
            </w:r>
          </w:p>
        </w:tc>
        <w:tc>
          <w:tcPr>
            <w:tcW w:w="3680" w:type="dxa"/>
            <w:vAlign w:val="bottom"/>
          </w:tcPr>
          <w:p>
            <w:pPr>
              <w:ind w:left="520"/>
              <w:spacing w:after="0"/>
              <w:rPr>
                <w:sz w:val="20"/>
                <w:szCs w:val="20"/>
                <w:color w:val="auto"/>
              </w:rPr>
            </w:pPr>
            <w:r>
              <w:rPr>
                <w:rFonts w:ascii="Arial" w:cs="Arial" w:eastAsia="Arial" w:hAnsi="Arial"/>
                <w:sz w:val="18"/>
                <w:szCs w:val="18"/>
                <w:color w:val="auto"/>
              </w:rPr>
              <w:t>Singapore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WD Media, LLC</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Delaware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(Argentina) S.A.</w:t>
            </w:r>
          </w:p>
        </w:tc>
        <w:tc>
          <w:tcPr>
            <w:tcW w:w="3680" w:type="dxa"/>
            <w:vAlign w:val="bottom"/>
          </w:tcPr>
          <w:p>
            <w:pPr>
              <w:ind w:left="520"/>
              <w:spacing w:after="0"/>
              <w:rPr>
                <w:sz w:val="20"/>
                <w:szCs w:val="20"/>
                <w:color w:val="auto"/>
              </w:rPr>
            </w:pPr>
            <w:r>
              <w:rPr>
                <w:rFonts w:ascii="Arial" w:cs="Arial" w:eastAsia="Arial" w:hAnsi="Arial"/>
                <w:sz w:val="18"/>
                <w:szCs w:val="18"/>
                <w:color w:val="auto"/>
              </w:rPr>
              <w:t>Argentina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(France) SARL</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France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(Fremont), LLC</w:t>
            </w:r>
          </w:p>
        </w:tc>
        <w:tc>
          <w:tcPr>
            <w:tcW w:w="368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(I.S.) Limited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Ireland</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(Malaysia) Sdn. Bhd.</w:t>
            </w:r>
          </w:p>
        </w:tc>
        <w:tc>
          <w:tcPr>
            <w:tcW w:w="3680" w:type="dxa"/>
            <w:vAlign w:val="bottom"/>
          </w:tcPr>
          <w:p>
            <w:pPr>
              <w:ind w:left="520"/>
              <w:spacing w:after="0"/>
              <w:rPr>
                <w:sz w:val="20"/>
                <w:szCs w:val="20"/>
                <w:color w:val="auto"/>
              </w:rPr>
            </w:pPr>
            <w:r>
              <w:rPr>
                <w:rFonts w:ascii="Arial" w:cs="Arial" w:eastAsia="Arial" w:hAnsi="Arial"/>
                <w:sz w:val="18"/>
                <w:szCs w:val="18"/>
                <w:color w:val="auto"/>
              </w:rPr>
              <w:t>Malaysia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(S.E. Asia) Pte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Singapore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(Thailand) Company Limited</w:t>
            </w:r>
          </w:p>
        </w:tc>
        <w:tc>
          <w:tcPr>
            <w:tcW w:w="3680" w:type="dxa"/>
            <w:vAlign w:val="bottom"/>
          </w:tcPr>
          <w:p>
            <w:pPr>
              <w:ind w:left="520"/>
              <w:spacing w:after="0"/>
              <w:rPr>
                <w:sz w:val="20"/>
                <w:szCs w:val="20"/>
                <w:color w:val="auto"/>
              </w:rPr>
            </w:pPr>
            <w:r>
              <w:rPr>
                <w:rFonts w:ascii="Arial" w:cs="Arial" w:eastAsia="Arial" w:hAnsi="Arial"/>
                <w:sz w:val="18"/>
                <w:szCs w:val="18"/>
                <w:color w:val="auto"/>
              </w:rPr>
              <w:t>Thailand</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(UK) Limited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United Kingdom</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Canada Corporation</w:t>
            </w:r>
          </w:p>
        </w:tc>
        <w:tc>
          <w:tcPr>
            <w:tcW w:w="3680" w:type="dxa"/>
            <w:vAlign w:val="bottom"/>
          </w:tcPr>
          <w:p>
            <w:pPr>
              <w:ind w:left="520"/>
              <w:spacing w:after="0"/>
              <w:rPr>
                <w:sz w:val="20"/>
                <w:szCs w:val="20"/>
                <w:color w:val="auto"/>
              </w:rPr>
            </w:pPr>
            <w:r>
              <w:rPr>
                <w:rFonts w:ascii="Arial" w:cs="Arial" w:eastAsia="Arial" w:hAnsi="Arial"/>
                <w:sz w:val="18"/>
                <w:szCs w:val="18"/>
                <w:color w:val="auto"/>
              </w:rPr>
              <w:t>Ontario, Canada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Capital Global,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Cayman Islands</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Capital, LLC</w:t>
            </w:r>
          </w:p>
        </w:tc>
        <w:tc>
          <w:tcPr>
            <w:tcW w:w="368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Deutschland GmbH</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Germany</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Do Brasil Comercio E Distribuicao De Produtos De Informatica Ltda.</w:t>
            </w:r>
          </w:p>
        </w:tc>
        <w:tc>
          <w:tcPr>
            <w:tcW w:w="3680" w:type="dxa"/>
            <w:vAlign w:val="bottom"/>
          </w:tcPr>
          <w:p>
            <w:pPr>
              <w:ind w:left="520"/>
              <w:spacing w:after="0"/>
              <w:rPr>
                <w:sz w:val="20"/>
                <w:szCs w:val="20"/>
                <w:color w:val="auto"/>
              </w:rPr>
            </w:pPr>
            <w:r>
              <w:rPr>
                <w:rFonts w:ascii="Arial" w:cs="Arial" w:eastAsia="Arial" w:hAnsi="Arial"/>
                <w:sz w:val="18"/>
                <w:szCs w:val="18"/>
                <w:color w:val="auto"/>
              </w:rPr>
              <w:t>Brazil</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Hong Kong Limited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Hong Kong</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Information Technology (Shanghai) Company Ltd.</w:t>
            </w:r>
          </w:p>
        </w:tc>
        <w:tc>
          <w:tcPr>
            <w:tcW w:w="3680" w:type="dxa"/>
            <w:vAlign w:val="bottom"/>
          </w:tcPr>
          <w:p>
            <w:pPr>
              <w:ind w:left="520"/>
              <w:spacing w:after="0"/>
              <w:rPr>
                <w:sz w:val="20"/>
                <w:szCs w:val="20"/>
                <w:color w:val="auto"/>
              </w:rPr>
            </w:pPr>
            <w:r>
              <w:rPr>
                <w:rFonts w:ascii="Arial" w:cs="Arial" w:eastAsia="Arial" w:hAnsi="Arial"/>
                <w:sz w:val="18"/>
                <w:szCs w:val="18"/>
                <w:color w:val="auto"/>
              </w:rPr>
              <w:t>China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International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Cayman Islands</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Ireland, Ltd.</w:t>
            </w:r>
          </w:p>
        </w:tc>
        <w:tc>
          <w:tcPr>
            <w:tcW w:w="3680" w:type="dxa"/>
            <w:vAlign w:val="bottom"/>
          </w:tcPr>
          <w:p>
            <w:pPr>
              <w:ind w:left="520"/>
              <w:spacing w:after="0"/>
              <w:rPr>
                <w:sz w:val="20"/>
                <w:szCs w:val="20"/>
                <w:color w:val="auto"/>
              </w:rPr>
            </w:pPr>
            <w:r>
              <w:rPr>
                <w:rFonts w:ascii="Arial" w:cs="Arial" w:eastAsia="Arial" w:hAnsi="Arial"/>
                <w:sz w:val="18"/>
                <w:szCs w:val="18"/>
                <w:color w:val="auto"/>
              </w:rPr>
              <w:t>Cayman Islands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Japan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Japan</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Korea, Ltd.</w:t>
            </w:r>
          </w:p>
        </w:tc>
        <w:tc>
          <w:tcPr>
            <w:tcW w:w="3680" w:type="dxa"/>
            <w:vAlign w:val="bottom"/>
          </w:tcPr>
          <w:p>
            <w:pPr>
              <w:ind w:left="520"/>
              <w:spacing w:after="0"/>
              <w:rPr>
                <w:sz w:val="20"/>
                <w:szCs w:val="20"/>
                <w:color w:val="auto"/>
              </w:rPr>
            </w:pPr>
            <w:r>
              <w:rPr>
                <w:rFonts w:ascii="Arial" w:cs="Arial" w:eastAsia="Arial" w:hAnsi="Arial"/>
                <w:sz w:val="18"/>
                <w:szCs w:val="18"/>
                <w:color w:val="auto"/>
              </w:rPr>
              <w:t>Korea</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Latin America, Inc.</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Delaware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Netherlands B.V.</w:t>
            </w:r>
          </w:p>
        </w:tc>
        <w:tc>
          <w:tcPr>
            <w:tcW w:w="3680" w:type="dxa"/>
            <w:vAlign w:val="bottom"/>
          </w:tcPr>
          <w:p>
            <w:pPr>
              <w:ind w:left="520"/>
              <w:spacing w:after="0"/>
              <w:rPr>
                <w:sz w:val="20"/>
                <w:szCs w:val="20"/>
                <w:color w:val="auto"/>
              </w:rPr>
            </w:pPr>
            <w:r>
              <w:rPr>
                <w:rFonts w:ascii="Arial" w:cs="Arial" w:eastAsia="Arial" w:hAnsi="Arial"/>
                <w:sz w:val="18"/>
                <w:szCs w:val="18"/>
                <w:color w:val="auto"/>
              </w:rPr>
              <w:t>Netherlands</w:t>
            </w:r>
          </w:p>
        </w:tc>
      </w:tr>
      <w:tr>
        <w:trPr>
          <w:trHeight w:val="27"/>
        </w:trPr>
        <w:tc>
          <w:tcPr>
            <w:tcW w:w="7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Taiwan Co., Ltd.</w:t>
            </w:r>
          </w:p>
        </w:tc>
        <w:tc>
          <w:tcPr>
            <w:tcW w:w="3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Taiwan</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Western Digital Technologies, Inc.</w:t>
            </w:r>
          </w:p>
        </w:tc>
        <w:tc>
          <w:tcPr>
            <w:tcW w:w="3680" w:type="dxa"/>
            <w:vAlign w:val="bottom"/>
          </w:tcPr>
          <w:p>
            <w:pPr>
              <w:ind w:left="5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statements on Form S-8 (Nos. 333</w:t>
      </w:r>
      <w:r>
        <w:rPr>
          <w:rFonts w:ascii="MS PGothic" w:cs="MS PGothic" w:eastAsia="MS PGothic" w:hAnsi="MS PGothic"/>
          <w:sz w:val="17"/>
          <w:szCs w:val="17"/>
          <w:color w:val="auto"/>
        </w:rPr>
        <w:t>‑</w:t>
      </w:r>
      <w:r>
        <w:rPr>
          <w:rFonts w:ascii="Arial" w:cs="Arial" w:eastAsia="Arial" w:hAnsi="Arial"/>
          <w:sz w:val="17"/>
          <w:szCs w:val="17"/>
          <w:color w:val="auto"/>
        </w:rPr>
        <w:t>41423, 33-56128, 333-122475, 333-129813, 333-155661, 333-163133, 333-180286, 333-185194, 333-190290, 333-191216, 333-191910, 333-202646, 333-207842, 333-211420, 33-60168, and 333-221407) of Western Digital Corporation and subsidiaries of our report dated August 24, 2018, with respect to the consolidated balance sheets of Western Digital Corporation and subsidiaries as of June 29, 2018 and June 30, 2017, and the related consolidated statements of operations, comprehensive income, stockholders’ equity, and cash flows, for each of the years in the three-year period ended June 29, 2018, and the related notes (collectively, the "consolidated financial statements"), and the effectiveness of internal control over financial reporting as of June 29, 2018, which report appears in the June 29, 2018, annual report on Form 10-K of Western Digital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24, 2018</w:t>
      </w:r>
    </w:p>
    <w:p>
      <w:pPr>
        <w:sectPr>
          <w:pgSz w:w="11900" w:h="16838" w:orient="portrait"/>
          <w:cols w:equalWidth="0" w:num="1">
            <w:col w:w="11420"/>
          </w:cols>
          <w:pgMar w:left="240" w:top="57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line="207" w:lineRule="exact"/>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2018</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line="207" w:lineRule="exact"/>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2018</w:t>
      </w:r>
    </w:p>
    <w:p>
      <w:pPr>
        <w:sectPr>
          <w:pgSz w:w="11900" w:h="16838" w:orient="portrait"/>
          <w:cols w:equalWidth="0" w:num="1">
            <w:col w:w="11420"/>
          </w:cols>
          <w:pgMar w:left="240" w:top="580" w:right="239" w:bottom="1440" w:gutter="0" w:footer="0" w:header="0"/>
        </w:sectPr>
      </w:pPr>
    </w:p>
    <w:bookmarkStart w:id="156" w:name="page157"/>
    <w:bookmarkEnd w:id="156"/>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332"/>
        <w:spacing w:after="0" w:line="224" w:lineRule="exact"/>
        <w:tabs>
          <w:tab w:leader="none" w:pos="53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accompanying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period ended June 29, 2018 (the “Report”) fully complies with the requirements of Section 13(a) or Section 15(d), as applicable, of the Securities Exchange Act of 1934, as amended; and</w:t>
      </w:r>
    </w:p>
    <w:p>
      <w:pPr>
        <w:spacing w:after="0" w:line="66" w:lineRule="exact"/>
        <w:rPr>
          <w:rFonts w:ascii="Arial" w:cs="Arial" w:eastAsia="Arial" w:hAnsi="Arial"/>
          <w:sz w:val="17"/>
          <w:szCs w:val="17"/>
          <w:color w:val="auto"/>
        </w:rPr>
      </w:pPr>
    </w:p>
    <w:p>
      <w:pPr>
        <w:ind w:left="600" w:hanging="268"/>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2018</w:t>
      </w:r>
    </w:p>
    <w:p>
      <w:pPr>
        <w:sectPr>
          <w:pgSz w:w="11900" w:h="16838" w:orient="portrait"/>
          <w:cols w:equalWidth="0" w:num="1">
            <w:col w:w="11420"/>
          </w:cols>
          <w:pgMar w:left="240" w:top="580" w:right="239" w:bottom="1440" w:gutter="0" w:footer="0" w:header="0"/>
        </w:sectPr>
      </w:pPr>
    </w:p>
    <w:bookmarkStart w:id="157" w:name="page158"/>
    <w:bookmarkEnd w:id="157"/>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332"/>
        <w:spacing w:after="0" w:line="224" w:lineRule="exact"/>
        <w:tabs>
          <w:tab w:leader="none" w:pos="539"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accompanying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period ended June 29, 2018 (the “Report”) fully complies with the requirements of Section 13(a) or Section 15(d), as applicable, of the Securities Exchange Act of 1934, as amended; and</w:t>
      </w:r>
    </w:p>
    <w:p>
      <w:pPr>
        <w:spacing w:after="0" w:line="66" w:lineRule="exact"/>
        <w:rPr>
          <w:rFonts w:ascii="Arial" w:cs="Arial" w:eastAsia="Arial" w:hAnsi="Arial"/>
          <w:sz w:val="17"/>
          <w:szCs w:val="17"/>
          <w:color w:val="auto"/>
        </w:rPr>
      </w:pPr>
    </w:p>
    <w:p>
      <w:pPr>
        <w:ind w:left="600" w:hanging="268"/>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lowerRoman"/>
      <w:start w:val="2"/>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lowerRoman"/>
      <w:start w:val="2"/>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21"/>
    </w:lvl>
  </w:abstractNum>
  <w:abstractNum w:abstractNumId="39">
    <w:nsid w:val="70C6A529"/>
    <w:multiLevelType w:val="hybridMultilevel"/>
    <w:lvl w:ilvl="0">
      <w:lvlJc w:val="left"/>
      <w:lvlText w:val="%1"/>
      <w:numFmt w:val="decimal"/>
      <w:start w:val="23"/>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lvl w:ilvl="1">
      <w:lvlJc w:val="left"/>
      <w:lvlText w:val="(%2)"/>
      <w:numFmt w:val="lowerLetter"/>
      <w:start w:val="1"/>
    </w:lvl>
  </w:abstractNum>
  <w:abstractNum w:abstractNumId="45">
    <w:nsid w:val="275AC79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6">
    <w:nsid w:val="3938657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1CF10FD8"/>
    <w:multiLevelType w:val="hybridMultilevel"/>
    <w:lvl w:ilvl="0">
      <w:lvlJc w:val="left"/>
      <w:lvlText w:val="%1."/>
      <w:numFmt w:val="decimal"/>
      <w:start w:val="5"/>
    </w:lvl>
    <w:lvl w:ilvl="1">
      <w:lvlJc w:val="left"/>
      <w:lvlText w:val="(%2)"/>
      <w:numFmt w:val="lowerLetter"/>
      <w:start w:val="1"/>
    </w:lvl>
  </w:abstractNum>
  <w:abstractNum w:abstractNumId="48">
    <w:nsid w:val="180115B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9">
    <w:nsid w:val="235BA861"/>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50">
    <w:nsid w:val="47398C8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1">
    <w:nsid w:val="354FE9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2">
    <w:nsid w:val="15B5AF5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3">
    <w:nsid w:val="741226B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54">
    <w:nsid w:val="D34B6A8"/>
    <w:multiLevelType w:val="hybridMultilevel"/>
    <w:lvl w:ilvl="0">
      <w:lvlJc w:val="left"/>
      <w:lvlText w:val="%1"/>
      <w:numFmt w:val="decimal"/>
      <w:start w:val="1"/>
    </w:lvl>
    <w:lvl w:ilvl="1">
      <w:lvlJc w:val="left"/>
      <w:lvlText w:val="(%2)"/>
      <w:numFmt w:val="lowerLetter"/>
      <w:start w:val="5"/>
    </w:lvl>
  </w:abstractNum>
  <w:abstractNum w:abstractNumId="55">
    <w:nsid w:val="10233C99"/>
    <w:multiLevelType w:val="hybridMultilevel"/>
    <w:lvl w:ilvl="0">
      <w:lvlJc w:val="left"/>
      <w:lvlText w:val="%1."/>
      <w:numFmt w:val="decimal"/>
      <w:start w:val="9"/>
    </w:lvl>
    <w:lvl w:ilvl="1">
      <w:lvlJc w:val="left"/>
      <w:lvlText w:val="(%2)"/>
      <w:numFmt w:val="lowerLetter"/>
      <w:start w:val="1"/>
    </w:lvl>
  </w:abstractNum>
  <w:abstractNum w:abstractNumId="56">
    <w:nsid w:val="3F6AB60F"/>
    <w:multiLevelType w:val="hybridMultilevel"/>
    <w:lvl w:ilvl="0">
      <w:lvlJc w:val="left"/>
      <w:lvlText w:val="%1."/>
      <w:numFmt w:val="decimal"/>
      <w:start w:val="13"/>
    </w:lvl>
    <w:lvl w:ilvl="1">
      <w:lvlJc w:val="left"/>
      <w:lvlText w:val="(%2)"/>
      <w:numFmt w:val="lowerLetter"/>
      <w:start w:val="1"/>
    </w:lvl>
  </w:abstractNum>
  <w:abstractNum w:abstractNumId="57">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58">
    <w:nsid w:val="7E0C57B1"/>
    <w:multiLevelType w:val="hybridMultilevel"/>
    <w:lvl w:ilvl="0">
      <w:lvlJc w:val="left"/>
      <w:lvlText w:val="(%1)"/>
      <w:numFmt w:val="lowerLetter"/>
      <w:start w:val="35"/>
    </w:lvl>
    <w:lvl w:ilvl="1">
      <w:lvlJc w:val="left"/>
      <w:lvlText w:val="%2."/>
      <w:numFmt w:val="decimal"/>
      <w:start w:val="14"/>
    </w:lvl>
    <w:lvl w:ilvl="2">
      <w:lvlJc w:val="left"/>
      <w:lvlText w:val="(%3)"/>
      <w:numFmt w:val="lowerLetter"/>
      <w:start w:val="7"/>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1."/>
      <w:numFmt w:val="decimal"/>
      <w:start w:val="19"/>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8" Type="http://schemas.openxmlformats.org/officeDocument/2006/relationships/image" Target="media/image52.png"/><Relationship Id="rId70" Type="http://schemas.openxmlformats.org/officeDocument/2006/relationships/image" Target="media/image53.png"/><Relationship Id="rId89"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4" Type="http://schemas.openxmlformats.org/officeDocument/2006/relationships/image" Target="media/image57.png"/><Relationship Id="rId97" Type="http://schemas.openxmlformats.org/officeDocument/2006/relationships/image" Target="media/image58.png"/><Relationship Id="rId100" Type="http://schemas.openxmlformats.org/officeDocument/2006/relationships/image" Target="media/image59.png"/><Relationship Id="rId103" Type="http://schemas.openxmlformats.org/officeDocument/2006/relationships/image" Target="media/image60.png"/><Relationship Id="rId106" Type="http://schemas.openxmlformats.org/officeDocument/2006/relationships/image" Target="media/image61.png"/><Relationship Id="rId109" Type="http://schemas.openxmlformats.org/officeDocument/2006/relationships/image" Target="media/image62.png"/><Relationship Id="rId112" Type="http://schemas.openxmlformats.org/officeDocument/2006/relationships/image" Target="media/image63.png"/><Relationship Id="rId115" Type="http://schemas.openxmlformats.org/officeDocument/2006/relationships/image" Target="media/image64.png"/><Relationship Id="rId117" Type="http://schemas.openxmlformats.org/officeDocument/2006/relationships/image" Target="media/image65.png"/><Relationship Id="rId120" Type="http://schemas.openxmlformats.org/officeDocument/2006/relationships/image" Target="media/image66.png"/><Relationship Id="rId121" Type="http://schemas.openxmlformats.org/officeDocument/2006/relationships/image" Target="media/image67.png"/><Relationship Id="rId123" Type="http://schemas.openxmlformats.org/officeDocument/2006/relationships/image" Target="media/image68.png"/><Relationship Id="rId124" Type="http://schemas.openxmlformats.org/officeDocument/2006/relationships/image" Target="media/image69.png"/><Relationship Id="rId125" Type="http://schemas.openxmlformats.org/officeDocument/2006/relationships/image" Target="media/image70.png"/><Relationship Id="rId126" Type="http://schemas.openxmlformats.org/officeDocument/2006/relationships/image" Target="media/image71.png"/><Relationship Id="rId127" Type="http://schemas.openxmlformats.org/officeDocument/2006/relationships/image" Target="media/image72.png"/><Relationship Id="rId128" Type="http://schemas.openxmlformats.org/officeDocument/2006/relationships/image" Target="media/image73.png"/><Relationship Id="rId129" Type="http://schemas.openxmlformats.org/officeDocument/2006/relationships/image" Target="media/image74.png"/><Relationship Id="rId58" Type="http://schemas.openxmlformats.org/officeDocument/2006/relationships/hyperlink" Target="http://www.sec.gov/Archives/edgar/data/106040/000119312515352265/d36533dex21.htm" TargetMode="External"/><Relationship Id="rId60" Type="http://schemas.openxmlformats.org/officeDocument/2006/relationships/hyperlink" Target="http://www.sec.gov/Archives/edgar/data/106040/000095013706001502/a17011exv3w1.htm" TargetMode="External"/><Relationship Id="rId61" Type="http://schemas.openxmlformats.org/officeDocument/2006/relationships/hyperlink" Target="http://www.sec.gov/Archives/edgar/data/106040/000119312518153458/d577779dex31.htm" TargetMode="External"/><Relationship Id="rId62" Type="http://schemas.openxmlformats.org/officeDocument/2006/relationships/hyperlink" Target="http://www.sec.gov/Archives/edgar/data/1000180/000110465913078765/a13-22405_3ex4d1.htm" TargetMode="External"/><Relationship Id="rId63" Type="http://schemas.openxmlformats.org/officeDocument/2006/relationships/hyperlink" Target="http://www.sec.gov/Archives/edgar/data/106040/000119312516588382/d154176dex41.htm" TargetMode="External"/><Relationship Id="rId64" Type="http://schemas.openxmlformats.org/officeDocument/2006/relationships/hyperlink" Target="http://www.sec.gov/Archives/edgar/data/106040/000119312518042423/d538323dex41.htm" TargetMode="External"/><Relationship Id="rId65" Type="http://schemas.openxmlformats.org/officeDocument/2006/relationships/hyperlink" Target="http://www.sec.gov/Archives/edgar/data/106040/000119312518042423/d538323dex42.htm" TargetMode="External"/><Relationship Id="rId66" Type="http://schemas.openxmlformats.org/officeDocument/2006/relationships/hyperlink" Target="http://www.sec.gov/Archives/edgar/data/106040/000119312517331827/d471621dex101.htm" TargetMode="External"/><Relationship Id="rId67" Type="http://schemas.openxmlformats.org/officeDocument/2006/relationships/hyperlink" Target="http://www.sec.gov/Archives/edgar/data/106040/000010604018000010/wdc-2018q2ex1011.htm" TargetMode="External"/><Relationship Id="rId69" Type="http://schemas.openxmlformats.org/officeDocument/2006/relationships/hyperlink" Target="http://www.sec.gov/Archives/edgar/data/106040/000010604018000010/wdc-2018q2ex1012.htm" TargetMode="External"/><Relationship Id="rId71" Type="http://schemas.openxmlformats.org/officeDocument/2006/relationships/hyperlink" Target="http://www.sec.gov/Archives/edgar/data/106040/000010604018000010/wdc-2018q2ex1013.htm" TargetMode="External"/><Relationship Id="rId72" Type="http://schemas.openxmlformats.org/officeDocument/2006/relationships/hyperlink" Target="http://www.sec.gov/Archives/edgar/data/106040/000010604018000010/wdc-2018q2ex1014.htm" TargetMode="External"/><Relationship Id="rId73" Type="http://schemas.openxmlformats.org/officeDocument/2006/relationships/hyperlink" Target="http://www.sec.gov/Archives/edgar/data/106040/000010604018000010/wdc-2018q2ex1015.htm" TargetMode="External"/><Relationship Id="rId74" Type="http://schemas.openxmlformats.org/officeDocument/2006/relationships/hyperlink" Target="http://www.sec.gov/Archives/edgar/data/106040/000010604016000019/wdc-010116xexhibit1011.htm" TargetMode="External"/><Relationship Id="rId75" Type="http://schemas.openxmlformats.org/officeDocument/2006/relationships/hyperlink" Target="http://www.sec.gov/Archives/edgar/data/106040/000010604016000019/wdc-010116xexhibit1012.htm" TargetMode="External"/><Relationship Id="rId76" Type="http://schemas.openxmlformats.org/officeDocument/2006/relationships/hyperlink" Target="http://www.sec.gov/Archives/edgar/data/106040/000010604016000019/wdc-010116xexhibit1013.htm" TargetMode="External"/><Relationship Id="rId77" Type="http://schemas.openxmlformats.org/officeDocument/2006/relationships/hyperlink" Target="http://www.sec.gov/Archives/edgar/data/106040/000010604016000019/wdc-010116xexhibit1014.htm" TargetMode="External"/><Relationship Id="rId78" Type="http://schemas.openxmlformats.org/officeDocument/2006/relationships/hyperlink" Target="http://www.sec.gov/Archives/edgar/data/106040/000010604015000014/wdc-100215xexhibit102.htm" TargetMode="External"/><Relationship Id="rId79" Type="http://schemas.openxmlformats.org/officeDocument/2006/relationships/hyperlink" Target="http://www.sec.gov/Archives/edgar/data/106040/000010604016000022/wdc-040116xexhibit1011.htm" TargetMode="External"/><Relationship Id="rId80" Type="http://schemas.openxmlformats.org/officeDocument/2006/relationships/hyperlink" Target="http://www.sec.gov/Archives/edgar/data/106040/000119312512449441/d419625dex105.htm" TargetMode="External"/><Relationship Id="rId81" Type="http://schemas.openxmlformats.org/officeDocument/2006/relationships/hyperlink" Target="http://www.sec.gov/Archives/edgar/data/106040/000010604018000010/wdc-2018q2ex102.htm" TargetMode="External"/><Relationship Id="rId82" Type="http://schemas.openxmlformats.org/officeDocument/2006/relationships/hyperlink" Target="http://www.sec.gov/Archives/edgar/data/106040/000010604015000010/wdc7315ex1018.htm" TargetMode="External"/><Relationship Id="rId83" Type="http://schemas.openxmlformats.org/officeDocument/2006/relationships/hyperlink" Target="http://www.sec.gov/Archives/edgar/data/106040/000119312515368501/d53714dex42.htm" TargetMode="External"/><Relationship Id="rId84" Type="http://schemas.openxmlformats.org/officeDocument/2006/relationships/hyperlink" Target="http://www.sec.gov/Archives/edgar/data/106040/000119312516593317/d194750dex42.htm" TargetMode="External"/><Relationship Id="rId85" Type="http://schemas.openxmlformats.org/officeDocument/2006/relationships/hyperlink" Target="http://www.sec.gov/Archives/edgar/data/106040/000119312512449441/d419625dex104.htm" TargetMode="External"/><Relationship Id="rId86" Type="http://schemas.openxmlformats.org/officeDocument/2006/relationships/hyperlink" Target="http://www.sec.gov/Archives/edgar/data/106040/000119312515366646/d55959dex102.htm" TargetMode="External"/><Relationship Id="rId87" Type="http://schemas.openxmlformats.org/officeDocument/2006/relationships/hyperlink" Target="http://www.sec.gov/Archives/edgar/data/106040/000010604017000007/wdc-2017q2ex103executivese.htm" TargetMode="External"/><Relationship Id="rId88" Type="http://schemas.openxmlformats.org/officeDocument/2006/relationships/hyperlink" Target="http://www.sec.gov/Archives/edgar/data/106040/000089256902002190/a85682exv10w4.txt" TargetMode="External"/><Relationship Id="rId90" Type="http://schemas.openxmlformats.org/officeDocument/2006/relationships/hyperlink" Target="http://www.sec.gov/Archives/edgar/data/106040/000089256902002190/a85682exv10w5.txt" TargetMode="External"/><Relationship Id="rId93" Type="http://schemas.openxmlformats.org/officeDocument/2006/relationships/hyperlink" Target="http://www.sec.gov/Archives/edgar/data/106040/000010604016000022/wdc-040116xexhibit104.htm" TargetMode="External"/><Relationship Id="rId95" Type="http://schemas.openxmlformats.org/officeDocument/2006/relationships/hyperlink" Target="http://www.sec.gov/Archives/edgar/data/106040/000119312516684785/d366731dex101.htm" TargetMode="External"/><Relationship Id="rId96" Type="http://schemas.openxmlformats.org/officeDocument/2006/relationships/hyperlink" Target="http://www.sec.gov/Archives/edgar/data/106040/000119312516717057/d174359dex101.htm" TargetMode="External"/><Relationship Id="rId98" Type="http://schemas.openxmlformats.org/officeDocument/2006/relationships/hyperlink" Target="http://www.sec.gov/Archives/edgar/data/106040/000119312517081848/d315314dex101.htm" TargetMode="External"/><Relationship Id="rId99" Type="http://schemas.openxmlformats.org/officeDocument/2006/relationships/hyperlink" Target="http://www.sec.gov/Archives/edgar/data/106040/000119312517093192/d335503dex101.htm" TargetMode="External"/><Relationship Id="rId101" Type="http://schemas.openxmlformats.org/officeDocument/2006/relationships/hyperlink" Target="http://www.sec.gov/Archives/edgar/data/106040/000119312517337353/d490541dex101.htm" TargetMode="External"/><Relationship Id="rId102" Type="http://schemas.openxmlformats.org/officeDocument/2006/relationships/hyperlink" Target="http://www.sec.gov/Archives/edgar/data/106040/000119312517355698/d498466dex101.htm" TargetMode="External"/><Relationship Id="rId104" Type="http://schemas.openxmlformats.org/officeDocument/2006/relationships/hyperlink" Target="http://www.sec.gov/Archives/edgar/data/106040/000119312518061179/d482474dex101.htm" TargetMode="External"/><Relationship Id="rId105" Type="http://schemas.openxmlformats.org/officeDocument/2006/relationships/hyperlink" Target="http://www.sec.gov/Archives/edgar/data/106040/000119312518164083/d542924dex101.htm" TargetMode="External"/><Relationship Id="rId107" Type="http://schemas.openxmlformats.org/officeDocument/2006/relationships/hyperlink" Target="http://www.sec.gov/Archives/edgar/data/106040/000119312516570122/d189018dex102.htm" TargetMode="External"/><Relationship Id="rId108" Type="http://schemas.openxmlformats.org/officeDocument/2006/relationships/hyperlink" Target="http://www.sec.gov/Archives/edgar/data/106040/000119312516588382/d154176dex102.htm" TargetMode="External"/><Relationship Id="rId110" Type="http://schemas.openxmlformats.org/officeDocument/2006/relationships/hyperlink" Target="http://www.sec.gov/Archives/edgar/data/1000180/000095013406020940/f24678exv10w1.htm" TargetMode="External"/><Relationship Id="rId111" Type="http://schemas.openxmlformats.org/officeDocument/2006/relationships/hyperlink" Target="http://www.sec.gov/Archives/edgar/data/1000180/000095013406020940/f24678exv10w2.htm" TargetMode="External"/><Relationship Id="rId113" Type="http://schemas.openxmlformats.org/officeDocument/2006/relationships/hyperlink" Target="http://www.sec.gov/Archives/edgar/data/1000180/000100018009000020/ex10_1.htm" TargetMode="External"/><Relationship Id="rId114" Type="http://schemas.openxmlformats.org/officeDocument/2006/relationships/hyperlink" Target="http://www.sec.gov/Archives/edgar/data/1000180/000100018016000068/sndkex-1037xnewy2facilitya.htm" TargetMode="External"/><Relationship Id="rId116" Type="http://schemas.openxmlformats.org/officeDocument/2006/relationships/hyperlink" Target="http://www.sec.gov/Archives/edgar/data/106040/000010604018000010/wdc-2018q2ex106.htm" TargetMode="External"/><Relationship Id="rId118" Type="http://schemas.openxmlformats.org/officeDocument/2006/relationships/hyperlink" Target="http://www.sec.gov/Archives/edgar/data/106040/000010604018000010/wdc-2018q2ex107.htm" TargetMode="External"/><Relationship Id="rId119" Type="http://schemas.openxmlformats.org/officeDocument/2006/relationships/hyperlink" Target="http://www.sec.gov/Archives/edgar/data/106040/000010604018000010/wdc-2018q2ex108.htm" TargetMode="External"/><Relationship Id="rId122" Type="http://schemas.openxmlformats.org/officeDocument/2006/relationships/hyperlink" Target="http://www.sec.gov/Archives/edgar/data/106040/000010604018000010/wdc-2018q2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2019-12-28T19:41:33Z</dcterms:created>
  <dcterms:modified xsi:type="dcterms:W3CDTF">2019-12-28T19:41:33Z</dcterms:modified>
</cp:coreProperties>
</file>