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December 29, 2017</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175260</wp:posOffset>
            </wp:positionV>
            <wp:extent cx="296735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tcPr>
          <w:p>
            <w:pPr>
              <w:jc w:val="center"/>
              <w:ind w:right="4149"/>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tcPr>
          <w:p>
            <w:pPr>
              <w:jc w:val="center"/>
              <w:ind w:right="4149"/>
              <w:spacing w:after="0"/>
              <w:rPr>
                <w:sz w:val="20"/>
                <w:szCs w:val="20"/>
                <w:color w:val="auto"/>
              </w:rPr>
            </w:pPr>
            <w:r>
              <w:rPr>
                <w:rFonts w:ascii="Arial" w:cs="Arial" w:eastAsia="Arial" w:hAnsi="Arial"/>
                <w:sz w:val="14"/>
                <w:szCs w:val="14"/>
                <w:b w:val="1"/>
                <w:bCs w:val="1"/>
                <w:color w:val="auto"/>
                <w:w w:val="95"/>
              </w:rPr>
              <w:t>5601 Great Oaks Parkway</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6200" w:type="dxa"/>
            <w:vAlign w:val="bottom"/>
          </w:tcPr>
          <w:p>
            <w:pPr>
              <w:jc w:val="center"/>
              <w:ind w:right="4169"/>
              <w:spacing w:after="0"/>
              <w:rPr>
                <w:sz w:val="20"/>
                <w:szCs w:val="20"/>
                <w:color w:val="auto"/>
              </w:rPr>
            </w:pPr>
            <w:r>
              <w:rPr>
                <w:rFonts w:ascii="Arial" w:cs="Arial" w:eastAsia="Arial" w:hAnsi="Arial"/>
                <w:sz w:val="14"/>
                <w:szCs w:val="14"/>
                <w:b w:val="1"/>
                <w:bCs w:val="1"/>
                <w:color w:val="auto"/>
                <w:w w:val="92"/>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3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517" w:right="259" w:bottom="1440" w:gutter="0" w:footer="0" w:header="0"/>
        </w:sectPr>
      </w:pPr>
    </w:p>
    <w:p>
      <w:pPr>
        <w:spacing w:after="0" w:line="98" w:lineRule="exact"/>
        <w:rPr>
          <w:sz w:val="24"/>
          <w:szCs w:val="24"/>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2240" w:space="720"/>
            <w:col w:w="1420" w:space="720"/>
            <w:col w:w="1380" w:space="720"/>
            <w:col w:w="1580" w:space="720"/>
            <w:col w:w="1900"/>
          </w:cols>
          <w:pgMar w:left="240" w:top="517" w:right="259" w:bottom="1440" w:gutter="0" w:footer="0" w:header="0"/>
          <w:type w:val="continuous"/>
        </w:sectPr>
      </w:pPr>
    </w:p>
    <w:p>
      <w:pPr>
        <w:jc w:val="center"/>
        <w:ind w:right="-19"/>
        <w:spacing w:after="0"/>
        <w:rPr>
          <w:sz w:val="20"/>
          <w:szCs w:val="20"/>
          <w:color w:val="auto"/>
        </w:rPr>
      </w:pPr>
      <w:r>
        <w:rPr>
          <w:rFonts w:ascii="Arial" w:cs="Arial" w:eastAsia="Arial" w:hAnsi="Arial"/>
          <w:sz w:val="10"/>
          <w:szCs w:val="10"/>
          <w:i w:val="1"/>
          <w:iCs w:val="1"/>
          <w:color w:val="auto"/>
        </w:rPr>
        <w:t>(Do not check if a smaller reporting company)</w:t>
      </w:r>
    </w:p>
    <w:p>
      <w:pPr>
        <w:sectPr>
          <w:pgSz w:w="11900" w:h="16838" w:orient="portrait"/>
          <w:cols w:equalWidth="0" w:num="1">
            <w:col w:w="11400"/>
          </w:cols>
          <w:pgMar w:left="240" w:top="517" w:right="259" w:bottom="1440" w:gutter="0" w:footer="0" w:header="0"/>
          <w:type w:val="continuous"/>
        </w:sectPr>
      </w:pPr>
    </w:p>
    <w:p>
      <w:pPr>
        <w:spacing w:after="0" w:line="18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the close of business on January 30, 2018, 297,560,299 shares of common stock, par value $0.01 per share, were outstanding.</w:t>
      </w:r>
    </w:p>
    <w:p>
      <w:pPr>
        <w:sectPr>
          <w:pgSz w:w="11900" w:h="16838" w:orient="portrait"/>
          <w:cols w:equalWidth="0" w:num="1">
            <w:col w:w="11400"/>
          </w:cols>
          <w:pgMar w:left="240" w:top="51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December 29, 2017 and June 30, 2017</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Condensed Consolidated Statements of Operations — Three and Six Months Ended December 29, 2017 and</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30, 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1"/>
              </w:rPr>
              <w:t>Condensed Consolidated Statements of Comprehensive Loss — Three and Six Months Ended December 29, 2017</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and December 30, 2016</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Flows — Six Months Ended December 29, 2017 and December 30,</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Pr>
          <w:p>
            <w:pPr>
              <w:jc w:val="center"/>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spacing w:after="0"/>
              <w:rPr>
                <w:rFonts w:ascii="Arial" w:cs="Arial" w:eastAsia="Arial" w:hAnsi="Arial"/>
                <w:sz w:val="18"/>
                <w:szCs w:val="18"/>
                <w:color w:val="auto"/>
                <w:w w:val="89"/>
              </w:rPr>
            </w:pPr>
            <w:hyperlink w:anchor="page64">
              <w:r>
                <w:rPr>
                  <w:rFonts w:ascii="Arial" w:cs="Arial" w:eastAsia="Arial" w:hAnsi="Arial"/>
                  <w:sz w:val="18"/>
                  <w:szCs w:val="18"/>
                  <w:color w:val="auto"/>
                  <w:w w:val="89"/>
                </w:rPr>
                <w:t>63</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64</w:t>
              </w:r>
            </w:hyperlink>
          </w:p>
        </w:tc>
        <w:tc>
          <w:tcPr>
            <w:tcW w:w="0" w:type="dxa"/>
            <w:vAlign w:val="bottom"/>
          </w:tcPr>
          <w:p>
            <w:pPr>
              <w:spacing w:after="0"/>
              <w:rPr>
                <w:sz w:val="1"/>
                <w:szCs w:val="1"/>
                <w:color w:val="auto"/>
              </w:rPr>
            </w:pPr>
          </w:p>
        </w:tc>
      </w:tr>
      <w:tr>
        <w:trPr>
          <w:trHeight w:val="567"/>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6">
              <w:r>
                <w:rPr>
                  <w:rFonts w:ascii="Arial" w:cs="Arial" w:eastAsia="Arial" w:hAnsi="Arial"/>
                  <w:sz w:val="18"/>
                  <w:szCs w:val="18"/>
                  <w:color w:val="auto"/>
                  <w:w w:val="89"/>
                </w:rPr>
                <w:t>65</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66">
              <w:r>
                <w:rPr>
                  <w:rFonts w:ascii="Arial" w:cs="Arial" w:eastAsia="Arial" w:hAnsi="Arial"/>
                  <w:sz w:val="18"/>
                  <w:szCs w:val="18"/>
                  <w:color w:val="auto"/>
                  <w:w w:val="89"/>
                </w:rPr>
                <w:t>65</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Quarterly Report on Form 10-Q.</w:t>
      </w:r>
    </w:p>
    <w:p>
      <w:pPr>
        <w:spacing w:after="0" w:line="1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Western Digital, WD, SanDisk, Tegile, and Upthere are registered trademarks or trademarks of Western Digital or its affiliates in the U.S. and/or other countries. All other trademarks, registered trademarks and/or service marks, indicated or otherwise,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integration of, and anticipated benefits from, our acquisition of SanDisk Corporation;</w:t>
      </w:r>
    </w:p>
    <w:p>
      <w:pPr>
        <w:spacing w:after="0" w:line="23"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Toshiba Memory 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impact of the Tax Cuts and Jobs Act enacted on December 22, 2017 on the Company;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and anticipated benefits of the announced Refinancing Transactions (as defined below);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December 29,</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8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warranty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6, 8, 10 and 13)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297 shares and 294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15 shares and 18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6,272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6,354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2,052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2,281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485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11,113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3,054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1,845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3,230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522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29,840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1,921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250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1,191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523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194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274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4,353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11,777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12,918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2,438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18,568</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18,442</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4,410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4,506</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8,250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8,633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(1,345)</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-3528695</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-3700145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-4729480</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29,840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26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6,734</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754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w:t>
            </w:r>
          </w:p>
        </w:tc>
      </w:tr>
      <w:tr>
        <w:trPr>
          <w:trHeight w:val="459"/>
        </w:trPr>
        <w:tc>
          <w:tcPr>
            <w:tcW w:w="9960" w:type="dxa"/>
            <w:vAlign w:val="bottom"/>
            <w:gridSpan w:val="10"/>
          </w:tcPr>
          <w:p>
            <w:pPr>
              <w:ind w:left="2100"/>
              <w:spacing w:after="0"/>
              <w:rPr>
                <w:sz w:val="20"/>
                <w:szCs w:val="20"/>
                <w:color w:val="auto"/>
              </w:rPr>
            </w:pPr>
            <w:r>
              <w:rPr>
                <w:rFonts w:ascii="Arial" w:cs="Arial" w:eastAsia="Arial" w:hAnsi="Arial"/>
                <w:sz w:val="18"/>
                <w:szCs w:val="18"/>
                <w:color w:val="auto"/>
                <w:w w:val="96"/>
              </w:rPr>
              <w:t>The accompanying notes are an integral part of these Condensed Consolidated Financial Statements.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22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22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pension gain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loss on available-for-sale securities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Income tax benefit (expense) related to items of other comprehensive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tax</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26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operations: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operations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Investments in Flash Ventures</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acquired call option</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Dividends paid to shareholders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debt hedge contracts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debt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(4,114)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(8,254)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Debt issuance costs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8,151</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Accrual of cash dividend declared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The accounting policies followed by the Company are set forth in Part II, Item 8, Note 1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year ends on the Friday nearest to June 30 and typically consists of 52 weeks. Fiscal years 2018, which ends on June 29, 2018, and 2017, which ended on June 30, 2017, are both comprised of 52 weeks, with all quarters presented consisting of 13 weeks.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Recently Adopted Accounting Pronouncements</w:t>
      </w:r>
    </w:p>
    <w:p>
      <w:pPr>
        <w:spacing w:after="0" w:line="229"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In August 2016, the Financial Accounting Standards Board (“FASB”) issued Accounting Standards Update (“ASU”) No. 2016-15, “Statement of Cash Flows (Topic 230), Classification of Certain Cash Receipts and Cash Payments” (“ASU 2016-15”). ASU 2016-15 provides amendments that address eight specific cash flow classification issues for which there exists diversity in practice: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adopted ASU 2016-15 in the second quarter of 2018 on a modified retrospective basis as required by the standard. The Company’s adoption of ASU 2016-15 did not have a material effect on the Consolidated Financial Statements.</w:t>
      </w:r>
    </w:p>
    <w:p>
      <w:pPr>
        <w:spacing w:after="0" w:line="184"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(“ASU 2016-09”). ASU 2016-09 simplifies several aspects of the accounting for stock-based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Company adopted this standard in the first quarter of 2018 using the modified retrospective approach. This adoption resulted in a one-time net increase to beginning retained earnings of $70 million, consisting of a $58 million cumulative adjustment for the previously unrecognized windfall tax benefits related to previous vesting and exercises of stock-based awards, and a $19 million cumulative adjustment related to the change in accounting policy for estimated forfeitures and share cancellations, partially offset by a decrease of $7 million for the related tax impacts of change in forfeiture policy. In addition, under the new standard, the Company will prospectively reflect the tax deficiencies and benefits as an operating activity, rather than as a financing activity under the previous standard, in the Company’s Consolidated Statements of Cash Flows. For the three and six months ended December 29, 2017, the Company recognized excess tax benefits of $5 million and $27 million, respectively, as a component of its income tax expense.</w:t>
      </w:r>
    </w:p>
    <w:p>
      <w:pPr>
        <w:spacing w:after="0" w:line="17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March 2016, the FASB issued ASU No. 2016-07, “Investments- Equity Method and Joint Ventures (Topic 323): Simplifying the Transition to the Equity Method of Accounting” (“ASU 2016-07”). ASU 2016-07 eliminates the requirement to apply the equity method of accounting retrospectively when a reporting entity obtains significant influence over a previously held investment. The Company adopted this standard in the second quarter of 2018. The Company’s adoption of ASU 2016-07 did not have a material impact on its Consolidated Financial Statements.</w:t>
      </w:r>
    </w:p>
    <w:p>
      <w:pPr>
        <w:spacing w:after="0" w:line="171" w:lineRule="exact"/>
        <w:rPr>
          <w:sz w:val="20"/>
          <w:szCs w:val="20"/>
          <w:color w:val="auto"/>
        </w:rPr>
      </w:pPr>
    </w:p>
    <w:p>
      <w:pPr>
        <w:ind w:firstLine="324"/>
        <w:spacing w:after="0" w:line="220"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“Inventory (Topic 330) - Simplifying the Measurement of Inventory” (“ASU 2015</w:t>
      </w:r>
      <w:r>
        <w:rPr>
          <w:rFonts w:ascii="MS PGothic" w:cs="MS PGothic" w:eastAsia="MS PGothic" w:hAnsi="MS PGothic"/>
          <w:sz w:val="16"/>
          <w:szCs w:val="16"/>
          <w:color w:val="auto"/>
        </w:rPr>
        <w:t>‑</w:t>
      </w:r>
      <w:r>
        <w:rPr>
          <w:rFonts w:ascii="Arial" w:cs="Arial" w:eastAsia="Arial" w:hAnsi="Arial"/>
          <w:sz w:val="16"/>
          <w:szCs w:val="16"/>
          <w:color w:val="auto"/>
        </w:rPr>
        <w:t>11”), which dictates that an entity should measure inventory within the scope of this update at the lower of cost and net realizable value. Net realizable value is the estimated selling prices in the ordinary course of business, less reasonably predictable costs of completion, disposal, and transportation. The Company adopted this standard in the first quarter of 2018. The Company’s adoption of ASU 2015</w:t>
      </w:r>
      <w:r>
        <w:rPr>
          <w:rFonts w:ascii="MS PGothic" w:cs="MS PGothic" w:eastAsia="MS PGothic" w:hAnsi="MS PGothic"/>
          <w:sz w:val="16"/>
          <w:szCs w:val="16"/>
          <w:color w:val="auto"/>
        </w:rPr>
        <w:t>‑</w:t>
      </w:r>
      <w:r>
        <w:rPr>
          <w:rFonts w:ascii="Arial" w:cs="Arial" w:eastAsia="Arial" w:hAnsi="Arial"/>
          <w:sz w:val="16"/>
          <w:szCs w:val="16"/>
          <w:color w:val="auto"/>
        </w:rPr>
        <w:t>11 did not have a material impact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520" w:type="dxa"/>
            <w:vAlign w:val="bottom"/>
          </w:tcPr>
          <w:p>
            <w:pPr>
              <w:spacing w:after="0"/>
              <w:rPr>
                <w:sz w:val="20"/>
                <w:szCs w:val="20"/>
                <w:color w:val="auto"/>
              </w:rPr>
            </w:pPr>
            <w:r>
              <w:rPr>
                <w:rFonts w:ascii="Arial" w:cs="Arial" w:eastAsia="Arial" w:hAnsi="Arial"/>
                <w:sz w:val="18"/>
                <w:szCs w:val="18"/>
                <w:b w:val="1"/>
                <w:bCs w:val="1"/>
                <w:color w:val="auto"/>
              </w:rPr>
              <w:t>Supplemental Financial Statement Data</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180"/>
              <w:spacing w:after="0"/>
              <w:rPr>
                <w:sz w:val="20"/>
                <w:szCs w:val="20"/>
                <w:color w:val="auto"/>
              </w:rPr>
            </w:pPr>
            <w:r>
              <w:rPr>
                <w:rFonts w:ascii="Arial" w:cs="Arial" w:eastAsia="Arial" w:hAnsi="Arial"/>
                <w:sz w:val="18"/>
                <w:szCs w:val="18"/>
                <w:i w:val="1"/>
                <w:iCs w:val="1"/>
                <w:color w:val="auto"/>
              </w:rPr>
              <w:t>Inventories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29,</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Inventories:</w:t>
            </w:r>
          </w:p>
        </w:tc>
        <w:tc>
          <w:tcPr>
            <w:tcW w:w="7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Raw materials and component parts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Property, plant and equipment, net</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29,</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Land and buildings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Computer equipment and software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9,835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9,526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4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Goodwill</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241"/>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22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Goodwill recorded in connection with acquisitions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Balance at December 29, 2017</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15, 2017, the Company acquired substantially all the assets of Tegile Systems, Inc., a provider of flash and persistent-memory storage solutions for enterprise data center applications. On August 25, 2017, the Company acquired substantially all the assets of Upthere, Inc., a cloud services company. These acquisitions are primarily intended to help meet the evolving needs of customers, while driving long-term growth for the Company's existing data center and client solution products over the long term.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aggregate purchase price of acquisitions during the six months ended December 29, 2017 was $99 million in cash, with net assets acquired primarily consisting of developed technology and other intangibles assets, of which $61 million was allocated to goodwill. Goodwill is primarily attributable to the benefits the Company expects to derive from diversifying product offerings to its Data Center Devices and Solutions and Client Solutions end markets as well as the acquired workforce. Goodwill is expected to be deductible for tax purposes because the acquisitions were structured as asset acquisitions but accounted for as business combinations. Concurrent with these acquisitions, the Company received $36 million in proceeds on previously outstanding notes receivable due from these acquired entities.</w:t>
      </w:r>
    </w:p>
    <w:p>
      <w:pPr>
        <w:spacing w:after="0" w:line="19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During the six months ended December 29, 2017, the Company incurred $6 million of transaction expenses related to these acquisitions, which are primarily included within Selling, General and Administrative expenses in the Condensed Consolidated Statements of Operations. Revenues and earnings related to these acquisitions was not material.</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696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3,230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3,823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During the three months ended December 29, 2017, two IPR&amp;D projects reached technological feasibility totaling $616 million and commenced amortization over an estimated useful life of 4 years.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26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279</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91</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23</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long-term portion of the warranty accrual classified in Other liabilities was $110 million and $125 million as of December 29, 2017 and June 30,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income taxes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1,180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1,180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comprehensive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Actuarial Pension</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on Available</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for Sale Securities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Income tax expense related to items of other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Net current-period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 at December 29,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During the three and six months ended December 29, 2017, there were no material reclassifications out of AOCI. The following table illustrates the significant amounts of each component reclassified out of AOCI to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AOCI Component</w:t>
            </w: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December 29, 2017</w:t>
            </w:r>
          </w:p>
        </w:tc>
        <w:tc>
          <w:tcPr>
            <w:tcW w:w="120" w:type="dxa"/>
            <w:vAlign w:val="bottom"/>
          </w:tcPr>
          <w:p>
            <w:pPr>
              <w:spacing w:after="0"/>
              <w:rPr>
                <w:sz w:val="13"/>
                <w:szCs w:val="13"/>
                <w:color w:val="auto"/>
              </w:rPr>
            </w:pPr>
          </w:p>
        </w:tc>
        <w:tc>
          <w:tcPr>
            <w:tcW w:w="13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December 30, 2016</w:t>
            </w:r>
          </w:p>
        </w:tc>
        <w:tc>
          <w:tcPr>
            <w:tcW w:w="120" w:type="dxa"/>
            <w:vAlign w:val="bottom"/>
          </w:tcPr>
          <w:p>
            <w:pPr>
              <w:spacing w:after="0"/>
              <w:rPr>
                <w:sz w:val="13"/>
                <w:szCs w:val="13"/>
                <w:color w:val="auto"/>
              </w:rPr>
            </w:pPr>
          </w:p>
        </w:tc>
        <w:tc>
          <w:tcPr>
            <w:tcW w:w="18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92"/>
        </w:trPr>
        <w:tc>
          <w:tcPr>
            <w:tcW w:w="3220" w:type="dxa"/>
            <w:vAlign w:val="bottom"/>
            <w:gridSpan w:val="2"/>
            <w:vMerge w:val="continue"/>
          </w:tcPr>
          <w:p>
            <w:pPr>
              <w:spacing w:after="0"/>
              <w:rPr>
                <w:sz w:val="16"/>
                <w:szCs w:val="16"/>
                <w:color w:val="auto"/>
              </w:rPr>
            </w:pPr>
          </w:p>
        </w:tc>
        <w:tc>
          <w:tcPr>
            <w:tcW w:w="1180" w:type="dxa"/>
            <w:vAlign w:val="bottom"/>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8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Line Item</w:t>
            </w:r>
          </w:p>
        </w:tc>
        <w:tc>
          <w:tcPr>
            <w:tcW w:w="0" w:type="dxa"/>
            <w:vAlign w:val="bottom"/>
          </w:tcPr>
          <w:p>
            <w:pPr>
              <w:spacing w:after="0"/>
              <w:rPr>
                <w:sz w:val="1"/>
                <w:szCs w:val="1"/>
                <w:color w:val="auto"/>
              </w:rPr>
            </w:pPr>
          </w:p>
        </w:tc>
      </w:tr>
      <w:tr>
        <w:trPr>
          <w:trHeight w:val="190"/>
        </w:trPr>
        <w:tc>
          <w:tcPr>
            <w:tcW w:w="3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right"/>
              <w:ind w:right="282"/>
              <w:spacing w:after="0"/>
              <w:rPr>
                <w:sz w:val="20"/>
                <w:szCs w:val="20"/>
                <w:color w:val="auto"/>
              </w:rPr>
            </w:pPr>
            <w:r>
              <w:rPr>
                <w:rFonts w:ascii="Arial" w:cs="Arial" w:eastAsia="Arial" w:hAnsi="Arial"/>
                <w:sz w:val="14"/>
                <w:szCs w:val="14"/>
                <w:i w:val="1"/>
                <w:iCs w:val="1"/>
                <w:color w:val="auto"/>
                <w:w w:val="98"/>
              </w:rPr>
              <w:t>(in millions)</w:t>
            </w: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holding gain (loss) on designated</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hedging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1180" w:type="dxa"/>
            <w:vAlign w:val="bottom"/>
          </w:tcPr>
          <w:p>
            <w:pPr>
              <w:jc w:val="right"/>
              <w:ind w:right="984"/>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60" w:type="dxa"/>
            <w:vAlign w:val="bottom"/>
          </w:tcPr>
          <w:p>
            <w:pPr>
              <w:jc w:val="right"/>
              <w:ind w:right="963"/>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Research and development</w:t>
            </w:r>
          </w:p>
        </w:tc>
        <w:tc>
          <w:tcPr>
            <w:tcW w:w="0" w:type="dxa"/>
            <w:vAlign w:val="bottom"/>
          </w:tcPr>
          <w:p>
            <w:pPr>
              <w:spacing w:after="0"/>
              <w:rPr>
                <w:sz w:val="1"/>
                <w:szCs w:val="1"/>
                <w:color w:val="auto"/>
              </w:rPr>
            </w:pPr>
          </w:p>
        </w:tc>
      </w:tr>
      <w:tr>
        <w:trPr>
          <w:trHeight w:val="200"/>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Unrealized holding gain on designated</w:t>
            </w: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hedging activities</w:t>
            </w:r>
          </w:p>
        </w:tc>
        <w:tc>
          <w:tcPr>
            <w:tcW w:w="11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18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marketable securities was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marketable securities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marketable securities (included within 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marketable securities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6,472</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2017 and June 30, 2017,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29, 2017</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159"/>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3,016</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3,023</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3,024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3,159</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2,845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and six months ended December 29, 2017, the Company had no transfers of financial assets and liabilities between Level 1 and Level 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December 29, 2017 and June 30, 2017. The cost basis and fair value of the Company’s investments classified as available-for-sale securities as of December 29, 2017, by remaining contractual maturity,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94</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Company determined available-for-sale securities had no material other-than-temporary impairments in the three and six months ended December 29, 2017 or December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2018 and the fourth quarter of 2017,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29, 2017</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108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Secured Notes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Unsecured Notes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3,892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3,956</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4,130</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U.S. Term Loan B-2</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2,989</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Term Loan B-3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Euro Term Loan B-2</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1,010</w:t>
            </w: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Debt 2020</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44"/>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12,051</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12,957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13,151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14,181</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8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Euro Term Loan B-2 outstanding principal amount as of June 30, 2017 was based upon the Euro to U.S. dollar exchange rate as of that respective date.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From time to time, the Company enters into certain strategic investments for the promotion of business and strategic objectives. The Company reports these investments under the cost method of accounting as it does not have a significant influence over the operations of these investees. These investments consist of debt and equity securities of privately-held companies which do not have a readily determinable fair value and are carried at historical cost. The Company assesses these securities for indications of other-than-temporary impairments. There were no impairment charges during the three months ended December 29, 2017 and $6 million of impairment charges for the six months ended December 29, 2017, which were included in Other income (expense), net in the Condensed Consolidated Statements of Operations. As of December 29, 2017 and June 30, 2017, these investments aggregated $57 million and $91 million, respectively, and are reported under Other non-current assets in the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of December 29, 2017, the Company had outstanding foreign exchange forward contracts which were designated as either cash flow hedges or non-designated hedges. The contract maturity dates of these foreign exchange forward contracts do not exceed 12 months. In addition, the Company had outstanding interest rate swaps which were designated as cash flow hedges. The Company determined the ineffectiveness associated with its cash flow hedges to be immaterial to the Condensed Consolidated Financial Statements for the three and six months ended December 29, 2017 and December 30, 2016.</w:t>
      </w:r>
    </w:p>
    <w:p>
      <w:pPr>
        <w:spacing w:after="0" w:line="154" w:lineRule="exact"/>
        <w:rPr>
          <w:sz w:val="20"/>
          <w:szCs w:val="20"/>
          <w:color w:val="auto"/>
        </w:rPr>
      </w:pPr>
    </w:p>
    <w:p>
      <w:pPr>
        <w:jc w:val="both"/>
        <w:ind w:right="640" w:firstLine="324"/>
        <w:spacing w:after="0" w:line="264" w:lineRule="auto"/>
        <w:rPr>
          <w:sz w:val="20"/>
          <w:szCs w:val="20"/>
          <w:color w:val="auto"/>
        </w:rPr>
      </w:pPr>
      <w:r>
        <w:rPr>
          <w:rFonts w:ascii="Arial" w:cs="Arial" w:eastAsia="Arial" w:hAnsi="Arial"/>
          <w:sz w:val="18"/>
          <w:szCs w:val="18"/>
          <w:color w:val="auto"/>
        </w:rPr>
        <w:t>As of December 29, 2017, the amount of existing net gains related to cash flow hedges recorded in AOCI that are expected to be reclassified into earnings over the next twelve months was $8 million. In addition, as of December 29, 2017, the Company did not have any foreign exchange forward contracts with credit-risk-related contingent features.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change in the fair value of non-designated hedges is recognized in earnings in the period incurred and is reported as a component of Other income (expense), net. The changes in fair value on these contracts were immaterial to the Condensed Consolidated Financial Statements for the three and six months ended December 29, 2017 and December 30, 2016.</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balance sheet location of the Company’s derivative instruments were as follows:</w:t>
      </w:r>
    </w:p>
    <w:p>
      <w:pPr>
        <w:spacing w:after="0" w:line="230"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Foreign exchange forward contracts,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forward contracts, not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swaps, designated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Foreign exchange forward contracts, designated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exchange forward contracts, not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swaps, designated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29,</w:t>
            </w:r>
          </w:p>
        </w:tc>
        <w:tc>
          <w:tcPr>
            <w:tcW w:w="380" w:type="dxa"/>
            <w:vAlign w:val="bottom"/>
          </w:tcPr>
          <w:p>
            <w:pPr>
              <w:spacing w:after="0"/>
              <w:rPr>
                <w:sz w:val="14"/>
                <w:szCs w:val="14"/>
                <w:color w:val="auto"/>
              </w:rPr>
            </w:pPr>
          </w:p>
        </w:tc>
        <w:tc>
          <w:tcPr>
            <w:tcW w:w="1080" w:type="dxa"/>
            <w:vAlign w:val="bottom"/>
          </w:tcPr>
          <w:p>
            <w:pPr>
              <w:jc w:val="center"/>
              <w:ind w:right="342"/>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220" w:type="dxa"/>
            <w:vAlign w:val="bottom"/>
          </w:tcPr>
          <w:p>
            <w:pPr>
              <w:spacing w:after="0"/>
              <w:rPr>
                <w:sz w:val="21"/>
                <w:szCs w:val="21"/>
                <w:color w:val="auto"/>
              </w:rPr>
            </w:pPr>
          </w:p>
        </w:tc>
        <w:tc>
          <w:tcPr>
            <w:tcW w:w="1780" w:type="dxa"/>
            <w:vAlign w:val="bottom"/>
            <w:gridSpan w:val="3"/>
          </w:tcPr>
          <w:p>
            <w:pPr>
              <w:jc w:val="center"/>
              <w:ind w:left="803"/>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21"/>
                <w:szCs w:val="21"/>
                <w:color w:val="auto"/>
              </w:rPr>
            </w:pPr>
          </w:p>
        </w:tc>
      </w:tr>
      <w:tr>
        <w:trPr>
          <w:trHeight w:val="249"/>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96"/>
        </w:trPr>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122"/>
              <w:spacing w:after="0"/>
              <w:rPr>
                <w:sz w:val="20"/>
                <w:szCs w:val="20"/>
                <w:color w:val="auto"/>
              </w:rPr>
            </w:pPr>
            <w:r>
              <w:rPr>
                <w:rFonts w:ascii="Arial" w:cs="Arial" w:eastAsia="Arial" w:hAnsi="Arial"/>
                <w:sz w:val="14"/>
                <w:szCs w:val="14"/>
                <w:b w:val="1"/>
                <w:bCs w:val="1"/>
                <w:color w:val="auto"/>
                <w:w w:val="95"/>
              </w:rPr>
              <w:t>Derivative Liabilities</w:t>
            </w:r>
          </w:p>
        </w:tc>
      </w:tr>
      <w:tr>
        <w:trPr>
          <w:trHeight w:val="223"/>
        </w:trPr>
        <w:tc>
          <w:tcPr>
            <w:tcW w:w="220" w:type="dxa"/>
            <w:vAlign w:val="bottom"/>
          </w:tcPr>
          <w:p>
            <w:pPr>
              <w:spacing w:after="0"/>
              <w:rPr>
                <w:sz w:val="19"/>
                <w:szCs w:val="19"/>
                <w:color w:val="auto"/>
              </w:rPr>
            </w:pPr>
          </w:p>
        </w:tc>
        <w:tc>
          <w:tcPr>
            <w:tcW w:w="2860" w:type="dxa"/>
            <w:vAlign w:val="bottom"/>
            <w:gridSpan w:val="4"/>
          </w:tcPr>
          <w:p>
            <w:pPr>
              <w:jc w:val="center"/>
              <w:ind w:right="122"/>
              <w:spacing w:after="0"/>
              <w:rPr>
                <w:sz w:val="20"/>
                <w:szCs w:val="20"/>
                <w:color w:val="auto"/>
              </w:rPr>
            </w:pPr>
            <w:r>
              <w:rPr>
                <w:rFonts w:ascii="Arial" w:cs="Arial" w:eastAsia="Arial" w:hAnsi="Arial"/>
                <w:sz w:val="16"/>
                <w:szCs w:val="16"/>
                <w:b w:val="1"/>
                <w:bCs w:val="1"/>
                <w:color w:val="auto"/>
                <w:w w:val="86"/>
              </w:rPr>
              <w:t>Accrued expenses</w:t>
            </w:r>
          </w:p>
        </w:tc>
      </w:tr>
      <w:tr>
        <w:trPr>
          <w:trHeight w:val="33"/>
        </w:trPr>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6"/>
        </w:trPr>
        <w:tc>
          <w:tcPr>
            <w:tcW w:w="220" w:type="dxa"/>
            <w:vAlign w:val="bottom"/>
          </w:tcPr>
          <w:p>
            <w:pPr>
              <w:spacing w:after="0"/>
              <w:rPr>
                <w:sz w:val="12"/>
                <w:szCs w:val="12"/>
                <w:color w:val="auto"/>
              </w:rPr>
            </w:pPr>
          </w:p>
        </w:tc>
        <w:tc>
          <w:tcPr>
            <w:tcW w:w="14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December 29,</w:t>
            </w:r>
          </w:p>
        </w:tc>
        <w:tc>
          <w:tcPr>
            <w:tcW w:w="380" w:type="dxa"/>
            <w:vAlign w:val="bottom"/>
          </w:tcPr>
          <w:p>
            <w:pPr>
              <w:spacing w:after="0"/>
              <w:rPr>
                <w:sz w:val="12"/>
                <w:szCs w:val="12"/>
                <w:color w:val="auto"/>
              </w:rPr>
            </w:pPr>
          </w:p>
        </w:tc>
        <w:tc>
          <w:tcPr>
            <w:tcW w:w="1080" w:type="dxa"/>
            <w:vAlign w:val="bottom"/>
          </w:tcPr>
          <w:p>
            <w:pPr>
              <w:jc w:val="center"/>
              <w:ind w:right="342"/>
              <w:spacing w:after="0" w:line="147" w:lineRule="exact"/>
              <w:rPr>
                <w:sz w:val="20"/>
                <w:szCs w:val="20"/>
                <w:color w:val="auto"/>
              </w:rPr>
            </w:pPr>
            <w:r>
              <w:rPr>
                <w:rFonts w:ascii="Arial" w:cs="Arial" w:eastAsia="Arial" w:hAnsi="Arial"/>
                <w:sz w:val="14"/>
                <w:szCs w:val="14"/>
                <w:b w:val="1"/>
                <w:bCs w:val="1"/>
                <w:color w:val="auto"/>
                <w:w w:val="89"/>
              </w:rPr>
              <w:t>June 30,</w:t>
            </w:r>
          </w:p>
        </w:tc>
      </w:tr>
      <w:tr>
        <w:trPr>
          <w:trHeight w:val="192"/>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220" w:type="dxa"/>
            <w:vAlign w:val="bottom"/>
          </w:tcPr>
          <w:p>
            <w:pPr>
              <w:spacing w:after="0"/>
              <w:rPr>
                <w:sz w:val="21"/>
                <w:szCs w:val="21"/>
                <w:color w:val="auto"/>
              </w:rPr>
            </w:pPr>
          </w:p>
        </w:tc>
        <w:tc>
          <w:tcPr>
            <w:tcW w:w="1780" w:type="dxa"/>
            <w:vAlign w:val="bottom"/>
            <w:gridSpan w:val="3"/>
          </w:tcPr>
          <w:p>
            <w:pPr>
              <w:jc w:val="center"/>
              <w:ind w:left="803"/>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21"/>
                <w:szCs w:val="21"/>
                <w:color w:val="auto"/>
              </w:rPr>
            </w:pPr>
          </w:p>
        </w:tc>
      </w:tr>
      <w:tr>
        <w:trPr>
          <w:trHeight w:val="249"/>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29, 2017 and June 30, 2017,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Derivative Contracts on the Condensed Consolidated Statements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impact of derivative contracts designated as hedging instruments on the Condensed Consolidated Financial Statements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4"/>
              </w:rPr>
              <w:t>Amount of Gain (Loss) Recognized in AOCI</w:t>
            </w: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Amount of Gain (Loss) Recognized in AOCI</w:t>
            </w:r>
          </w:p>
        </w:tc>
      </w:tr>
      <w:tr>
        <w:trPr>
          <w:trHeight w:val="264"/>
        </w:trPr>
        <w:tc>
          <w:tcPr>
            <w:tcW w:w="5160" w:type="dxa"/>
            <w:vAlign w:val="bottom"/>
          </w:tcPr>
          <w:p>
            <w:pPr>
              <w:spacing w:after="0"/>
              <w:rPr>
                <w:sz w:val="22"/>
                <w:szCs w:val="22"/>
                <w:color w:val="auto"/>
              </w:rPr>
            </w:pPr>
          </w:p>
        </w:tc>
        <w:tc>
          <w:tcPr>
            <w:tcW w:w="2220" w:type="dxa"/>
            <w:vAlign w:val="bottom"/>
            <w:tcBorders>
              <w:bottom w:val="single" w:sz="8" w:color="auto"/>
            </w:tcBorders>
            <w:gridSpan w:val="4"/>
          </w:tcPr>
          <w:p>
            <w:pPr>
              <w:jc w:val="center"/>
              <w:ind w:left="845"/>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center"/>
              <w:ind w:right="183"/>
              <w:spacing w:after="0"/>
              <w:rPr>
                <w:sz w:val="20"/>
                <w:szCs w:val="20"/>
                <w:color w:val="auto"/>
              </w:rPr>
            </w:pPr>
            <w:r>
              <w:rPr>
                <w:rFonts w:ascii="Arial" w:cs="Arial" w:eastAsia="Arial" w:hAnsi="Arial"/>
                <w:sz w:val="14"/>
                <w:szCs w:val="14"/>
                <w:b w:val="1"/>
                <w:bCs w:val="1"/>
                <w:color w:val="auto"/>
                <w:w w:val="92"/>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5"/>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3"/>
                <w:szCs w:val="13"/>
                <w:color w:val="auto"/>
              </w:rPr>
            </w:pPr>
          </w:p>
        </w:tc>
        <w:tc>
          <w:tcPr>
            <w:tcW w:w="1260" w:type="dxa"/>
            <w:vAlign w:val="bottom"/>
          </w:tcPr>
          <w:p>
            <w:pPr>
              <w:jc w:val="center"/>
              <w:ind w:right="143"/>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4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1140" w:type="dxa"/>
            <w:vAlign w:val="bottom"/>
          </w:tcPr>
          <w:p>
            <w:pPr>
              <w:jc w:val="right"/>
              <w:ind w:right="965"/>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44"/>
        </w:trPr>
        <w:tc>
          <w:tcPr>
            <w:tcW w:w="5160" w:type="dxa"/>
            <w:vAlign w:val="bottom"/>
          </w:tcPr>
          <w:p>
            <w:pPr>
              <w:ind w:left="28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6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3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Amount of Gain (Loss) Reclassified from AOCI</w:t>
            </w:r>
          </w:p>
        </w:tc>
        <w:tc>
          <w:tcPr>
            <w:tcW w:w="3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 Gain (Loss) Reclassified from AOCI</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162"/>
              <w:spacing w:after="0"/>
              <w:rPr>
                <w:sz w:val="20"/>
                <w:szCs w:val="20"/>
                <w:color w:val="auto"/>
              </w:rPr>
            </w:pPr>
            <w:r>
              <w:rPr>
                <w:rFonts w:ascii="Arial" w:cs="Arial" w:eastAsia="Arial" w:hAnsi="Arial"/>
                <w:sz w:val="14"/>
                <w:szCs w:val="14"/>
                <w:b w:val="1"/>
                <w:bCs w:val="1"/>
                <w:color w:val="auto"/>
                <w:w w:val="93"/>
              </w:rPr>
              <w:t>into Earnings</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83"/>
              <w:spacing w:after="0"/>
              <w:rPr>
                <w:sz w:val="20"/>
                <w:szCs w:val="20"/>
                <w:color w:val="auto"/>
              </w:rPr>
            </w:pPr>
            <w:r>
              <w:rPr>
                <w:rFonts w:ascii="Arial" w:cs="Arial" w:eastAsia="Arial" w:hAnsi="Arial"/>
                <w:sz w:val="14"/>
                <w:szCs w:val="14"/>
                <w:b w:val="1"/>
                <w:bCs w:val="1"/>
                <w:color w:val="auto"/>
                <w:w w:val="93"/>
              </w:rPr>
              <w:t>into Earnings</w:t>
            </w:r>
          </w:p>
        </w:tc>
      </w:tr>
      <w:tr>
        <w:trPr>
          <w:trHeight w:val="264"/>
        </w:trPr>
        <w:tc>
          <w:tcPr>
            <w:tcW w:w="5160" w:type="dxa"/>
            <w:vAlign w:val="bottom"/>
          </w:tcPr>
          <w:p>
            <w:pPr>
              <w:spacing w:after="0"/>
              <w:rPr>
                <w:sz w:val="22"/>
                <w:szCs w:val="22"/>
                <w:color w:val="auto"/>
              </w:rPr>
            </w:pPr>
          </w:p>
        </w:tc>
        <w:tc>
          <w:tcPr>
            <w:tcW w:w="2220" w:type="dxa"/>
            <w:vAlign w:val="bottom"/>
            <w:tcBorders>
              <w:bottom w:val="single" w:sz="8" w:color="auto"/>
            </w:tcBorders>
            <w:gridSpan w:val="4"/>
          </w:tcPr>
          <w:p>
            <w:pPr>
              <w:jc w:val="center"/>
              <w:ind w:left="845"/>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center"/>
              <w:ind w:right="183"/>
              <w:spacing w:after="0"/>
              <w:rPr>
                <w:sz w:val="20"/>
                <w:szCs w:val="20"/>
                <w:color w:val="auto"/>
              </w:rPr>
            </w:pPr>
            <w:r>
              <w:rPr>
                <w:rFonts w:ascii="Arial" w:cs="Arial" w:eastAsia="Arial" w:hAnsi="Arial"/>
                <w:sz w:val="14"/>
                <w:szCs w:val="14"/>
                <w:b w:val="1"/>
                <w:bCs w:val="1"/>
                <w:color w:val="auto"/>
                <w:w w:val="92"/>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5"/>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3"/>
                <w:szCs w:val="13"/>
                <w:color w:val="auto"/>
              </w:rPr>
            </w:pPr>
          </w:p>
        </w:tc>
        <w:tc>
          <w:tcPr>
            <w:tcW w:w="1260" w:type="dxa"/>
            <w:vAlign w:val="bottom"/>
          </w:tcPr>
          <w:p>
            <w:pPr>
              <w:jc w:val="center"/>
              <w:ind w:right="143"/>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4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1140" w:type="dxa"/>
            <w:vAlign w:val="bottom"/>
          </w:tcPr>
          <w:p>
            <w:pPr>
              <w:jc w:val="right"/>
              <w:ind w:right="965"/>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42</w:t>
            </w:r>
          </w:p>
        </w:tc>
      </w:tr>
      <w:tr>
        <w:trPr>
          <w:trHeight w:val="33"/>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5"/>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42</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total net realized transaction and foreign exchange forward contract currency gains and losses were not material to the Condensed Consolidated Financial Statements for the three and six months ended December 29, 2017 and December 30,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December 29, 2017 and June 30, 2017:</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2,970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B-3 maturing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1,001</w:t>
            </w: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7.375% senior secured notes due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10.500% senior unsecured notes due 2024</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12,237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13,356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12,051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13,151</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44"/>
        </w:trPr>
        <w:tc>
          <w:tcPr>
            <w:tcW w:w="8340" w:type="dxa"/>
            <w:vAlign w:val="bottom"/>
            <w:gridSpan w:val="3"/>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11,777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12,918</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8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Euro Term Loan B-2 outstanding principal amount as of June 30, 2017 was based upon the Euro to U.S. dollar exchange rate as of that respective date.</w:t>
      </w:r>
    </w:p>
    <w:p>
      <w:pPr>
        <w:spacing w:after="0" w:line="202"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November 29, 2017, the Company entered into an amendment to the credit agreement entered into on April 29, 2016 (as amended, the “Credit Agreement”), to increase the size of its existing $1.0 billion revolving credit facility by $500 million to $1.5 billion. The term of the revolving credit facility remained unchanged and will mature on April 29, 2021. As of December 29, 2017, there were no borrowings under the revolving credit facility.</w:t>
      </w:r>
    </w:p>
    <w:p>
      <w:pPr>
        <w:spacing w:after="0" w:line="14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November 17, 2017, the Company settled in full the principal amounts of the Euro Term Loan B-2, plus accrued interest, using cash on hand. On November 8, 2017, the Company borrowed $2.96 billion under a new U.S. dollar-denominated term loan (“U.S. Term Loan B-3”) under its Credit Agreement and used the proceeds of this new loan to prepay in full the U.S. Term Loan B-2 previously outstanding under the Credit Agreement. The U.S. Term Loan B-3 has an interest rate equal to, at the Company’s option, either an adjusted LIBOR rate, subject to a 0.00% floor, plus 2.00% or a base rate plus 1.00% (3.57% as of December 29, 2017). Principal payments on U.S. Term Loan B-3 of 0.25% are due quarterly and began on December 29, 2017 with the balance due on April 29, 2023. The U.S. Term Loan B-3 issuance costs are amortized to interest expense over the term of the loan and as of December 29, 2017, issuance costs of $3 million remain unamortized. In connection with the settlements of the U.S. Term Loan B-2 and Euro Term Loan B-2, the Company recognized an aggregate loss on debt extinguishment of $2 million consisting of unamortized issuance costs.</w:t>
      </w:r>
    </w:p>
    <w:p>
      <w:pPr>
        <w:spacing w:after="0" w:line="17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Credit Agreement requires the Company to comply with certain financial covenants, such as a leverage ratio and an interest coverage ratio. As of December 29, 2017, the Company was in compliance with all financial covenants. In addition, the documents governing substantially all of the Company’s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189</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80" w:type="dxa"/>
            <w:vAlign w:val="bottom"/>
            <w:tcBorders>
              <w:bottom w:val="single" w:sz="8" w:color="CCEEFF"/>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8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Company’s business ventures with Toshiba Memory Corporation (“TMC”)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 xml:space="preserve">In connection with a settlement agreement with Toshiba, in December 2017, the Company entered into a facility agreement (“Y6 Facility Agreement”) with TMC related to the construction and operation of a new 300-millimeter wafer fabrication facility in Yokkaichi, Japan, referred to as “Fab 6”, which is primarily intended to provide cleanroom space to continue the transition of existing 2D NAND manufacturing capacity to BiCS 3D NAND manufacturing capacity. Under the Y6 Facility Agreement, the Company is committed to 50% of Fab 6’s start-up costs, as well as 50% of the joint ventures’ portion of an upcoming investment in manufacturing equipment for Fab 6. See also Note 13, </w:t>
      </w:r>
      <w:r>
        <w:rPr>
          <w:rFonts w:ascii="Arial" w:cs="Arial" w:eastAsia="Arial" w:hAnsi="Arial"/>
          <w:sz w:val="17"/>
          <w:szCs w:val="17"/>
          <w:i w:val="1"/>
          <w:iCs w:val="1"/>
          <w:color w:val="auto"/>
        </w:rPr>
        <w:t>Legal Proceedings</w:t>
      </w:r>
      <w:r>
        <w:rPr>
          <w:rFonts w:ascii="Arial" w:cs="Arial" w:eastAsia="Arial" w:hAnsi="Arial"/>
          <w:sz w:val="17"/>
          <w:szCs w:val="17"/>
          <w:color w:val="auto"/>
        </w:rPr>
        <w: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December 29, 2017 and June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During the three and six months ended December 29, 2017, the Company made net payments to Flash Ventures of $1.2 billion and $2.0 billion, respectively, for purchased flash-based memory wafers and net loans.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 net in the Condensed Consolidated Statements of Operations. There were no such impairments in the three and six months ended December 29, 2017 and December 30, 2016.</w:t>
      </w:r>
    </w:p>
    <w:p>
      <w:pPr>
        <w:spacing w:after="0" w:line="18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December 29, 2017 and June 30, 2017, the Company had accounts payable balances due to Flash Ventures of $250 million and $206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December 29, 2017,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62"/>
              <w:spacing w:after="0"/>
              <w:rPr>
                <w:sz w:val="20"/>
                <w:szCs w:val="20"/>
                <w:color w:val="auto"/>
              </w:rPr>
            </w:pPr>
            <w:r>
              <w:rPr>
                <w:rFonts w:ascii="Arial" w:cs="Arial" w:eastAsia="Arial" w:hAnsi="Arial"/>
                <w:sz w:val="14"/>
                <w:szCs w:val="14"/>
                <w:b w:val="1"/>
                <w:bCs w:val="1"/>
                <w:color w:val="auto"/>
                <w:w w:val="98"/>
              </w:rPr>
              <w:t>December 29,</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83"/>
        </w:trPr>
        <w:tc>
          <w:tcPr>
            <w:tcW w:w="9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578</w:t>
            </w:r>
          </w:p>
        </w:tc>
      </w:tr>
      <w:tr>
        <w:trPr>
          <w:trHeight w:val="33"/>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268</w:t>
            </w:r>
          </w:p>
        </w:tc>
      </w:tr>
      <w:tr>
        <w:trPr>
          <w:trHeight w:val="33"/>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3,054</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29,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0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106</w:t>
            </w:r>
          </w:p>
        </w:tc>
        <w:tc>
          <w:tcPr>
            <w:tcW w:w="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29, 2017 in U.S. dollars, based upon the Japanese yen to U.S. dollar exchange rate as of December 29,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4"/>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29, 2017, no amounts have been accrued in the Condensed Consolidated Financial Statements with respect to these indemnification agreements.</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240" w:top="125"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3"/>
                <w:szCs w:val="13"/>
                <w:color w:val="auto"/>
              </w:rPr>
            </w:pPr>
          </w:p>
        </w:tc>
        <w:tc>
          <w:tcPr>
            <w:tcW w:w="12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14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14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169</w:t>
            </w: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17"/>
        </w:trPr>
        <w:tc>
          <w:tcPr>
            <w:tcW w:w="5160" w:type="dxa"/>
            <w:vAlign w:val="bottom"/>
          </w:tcPr>
          <w:p>
            <w:pPr>
              <w:jc w:val="center"/>
              <w:ind w:right="4179"/>
              <w:spacing w:after="0"/>
              <w:rPr>
                <w:sz w:val="20"/>
                <w:szCs w:val="20"/>
                <w:color w:val="auto"/>
              </w:rPr>
            </w:pPr>
            <w:r>
              <w:rPr>
                <w:rFonts w:ascii="Arial" w:cs="Arial" w:eastAsia="Arial" w:hAnsi="Arial"/>
                <w:sz w:val="16"/>
                <w:szCs w:val="16"/>
                <w:color w:val="auto"/>
                <w:w w:val="91"/>
              </w:rPr>
              <w:t>Subtotal</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201</w:t>
            </w: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44"/>
        </w:trPr>
        <w:tc>
          <w:tcPr>
            <w:tcW w:w="5160" w:type="dxa"/>
            <w:vAlign w:val="bottom"/>
          </w:tcPr>
          <w:p>
            <w:pPr>
              <w:jc w:val="center"/>
              <w:ind w:right="4199"/>
              <w:spacing w:after="0"/>
              <w:rPr>
                <w:sz w:val="20"/>
                <w:szCs w:val="20"/>
                <w:color w:val="auto"/>
              </w:rPr>
            </w:pPr>
            <w:r>
              <w:rPr>
                <w:rFonts w:ascii="Arial" w:cs="Arial" w:eastAsia="Arial" w:hAnsi="Arial"/>
                <w:sz w:val="16"/>
                <w:szCs w:val="16"/>
                <w:color w:val="auto"/>
                <w:w w:val="89"/>
              </w:rPr>
              <w:t>Total</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3120" w:type="dxa"/>
            <w:vAlign w:val="bottom"/>
            <w:tcBorders>
              <w:bottom w:val="single" w:sz="8" w:color="auto"/>
            </w:tcBorders>
            <w:gridSpan w:val="5"/>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80" w:type="dxa"/>
            <w:vAlign w:val="bottom"/>
          </w:tcPr>
          <w:p>
            <w:pPr>
              <w:spacing w:after="0"/>
              <w:rPr>
                <w:sz w:val="13"/>
                <w:szCs w:val="13"/>
                <w:color w:val="auto"/>
              </w:rPr>
            </w:pPr>
          </w:p>
        </w:tc>
        <w:tc>
          <w:tcPr>
            <w:tcW w:w="12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00" w:type="dxa"/>
            <w:vAlign w:val="bottom"/>
          </w:tcPr>
          <w:p>
            <w:pPr>
              <w:spacing w:after="0"/>
              <w:rPr>
                <w:sz w:val="13"/>
                <w:szCs w:val="13"/>
                <w:color w:val="auto"/>
              </w:rPr>
            </w:pPr>
          </w:p>
        </w:tc>
        <w:tc>
          <w:tcPr>
            <w:tcW w:w="12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2"/>
              </w:rPr>
              <w:t>December 30,</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14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87</w:t>
            </w: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14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w:t>
            </w:r>
          </w:p>
        </w:tc>
      </w:tr>
      <w:tr>
        <w:trPr>
          <w:trHeight w:val="33"/>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jc w:val="center"/>
              <w:ind w:right="4179"/>
              <w:spacing w:after="0"/>
              <w:rPr>
                <w:sz w:val="20"/>
                <w:szCs w:val="20"/>
                <w:color w:val="auto"/>
              </w:rPr>
            </w:pPr>
            <w:r>
              <w:rPr>
                <w:rFonts w:ascii="Arial" w:cs="Arial" w:eastAsia="Arial" w:hAnsi="Arial"/>
                <w:sz w:val="16"/>
                <w:szCs w:val="16"/>
                <w:color w:val="auto"/>
                <w:w w:val="91"/>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1"/>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jc w:val="center"/>
              <w:ind w:right="4199"/>
              <w:spacing w:after="0"/>
              <w:rPr>
                <w:sz w:val="20"/>
                <w:szCs w:val="20"/>
                <w:color w:val="auto"/>
              </w:rPr>
            </w:pPr>
            <w:r>
              <w:rPr>
                <w:rFonts w:ascii="Arial" w:cs="Arial" w:eastAsia="Arial" w:hAnsi="Arial"/>
                <w:sz w:val="16"/>
                <w:szCs w:val="16"/>
                <w:color w:val="auto"/>
                <w:w w:val="89"/>
              </w:rPr>
              <w:t>Total</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 awards (“RSU”), performance-based restricted stock unit awards (“PSU”) and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December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2.1</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600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2.2</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0.6</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43.16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December 29, 2017</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60.39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December 29, 2017</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64.14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30, 2017</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84.95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47.75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December 29, 2017</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Company’s Board of Directors (the “Board”) has authorized $5.00 billion for the repurchase of the Company’s common stock. The stock repurchase program is effective until February 3, 2020. The Company did not repurchase any shares of common stock during the three months ended December 29, 2017. The remaining amount available to be purchased under the Company’s stock repurchase program as of December 29, 2017 was $2.10 billion.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w:t>
      </w:r>
    </w:p>
    <w:p>
      <w:pPr>
        <w:spacing w:after="0" w:line="170"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On November 1, 2017, the Board declared a cash dividend of $0.50 per share of the Company’s common stock. The cash dividend aggregating $149 million was paid on January 16, 2018 to the Company’s shareholders of record as of December 29, 2017. On January 27, 2018, the Board declared a cash dividend of $0.50 per share to shareholders of record as of March 30, 2018, which will be paid on April 16, 2018. The Company may modify, suspend or cancel its cash dividend policy in any manner and at any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Tax Cuts and Jobs Act (“2017 Act”) was enacted on December 22, 2017. The 2017 Act includes a broad range of tax reform proposals affecting businesses, including a reduction in the U.S. federal corporate tax rate from 35% to 21%, a one-time mandatory deemed repatriation tax on earnings of certain foreign subsidiaries that were previously tax deferred and creates new taxes on certain foreign earnings.</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the three and six months ended December 29, 2017, the Company has not finalized the accounting for the tax effects of the enactment of the 2017 Act. However, consistent with applicable SEC guidance, the Company has made a reasonable estimate of the effects on the Company’s existing deferred tax balances and the one-time mandatory deemed repatriation tax required by the 2017 Act and has recognized a provisional income tax expense of $1.66 billion for the one-time mandatory deemed repatriation tax and a provisional income tax benefit of $88 million related to the re-measurement of deferred tax assets and liabilities for the three and six months ended December 29, 2017. For other elements of tax expense noted below, or where the Company has not made an election, the Company has not been able to make a reasonable estimate and continues to account for such items based on the provisions of the tax laws that were in effect immediately prior to the 2017 Act. As the Company finalizes the accounting for the tax effects of the enactment of the 2017 Act during a one-year measurement period permitted by applicable SEC guidance, the Company expects to reflect adjustments to the recorded provisional amounts and record additional tax effects of the 2017 Act.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are expected to impact the Company is provided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provisional income tax benefit of $88 million recorded for the three and six months ended December 29, 2017 related to the re-measurement of the Company’s deferred tax balance is based on the rates at which the deferred tax assets and liabilities are expected to reverse in the current and future fiscal years, which are generally 29% and 22%, respectively. However, the Company is still analyzing certain aspects of the 2017 Act and refining the calculations, which could potentially affect the measurement of these balances or potentially give rise to new deferred tax amounts. The Company is also analyzing the impact of the 2017 Act to the existing valuation allowance assessments from both a federal and state tax perspective, which could potentially affect the realizability of the existing deferred tax assets. In calculating the provisional amount, the Company utilized an estimate of the expected reversals of certain tax assets and liabilities, which will be revised in future quarters during the one-year measurement period as additional information becomes available.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connection with the transition from a global to a territorial U.S. tax system, companies are required to pay a mandatory deemed repatriation tax. The tax is to be computed using the Company’s total foreign post-1986 earnings and profits that were previously deferred from U.S. income taxes. This tax is based on the amount of foreign earnings held in cash and other specified assets which are taxed at 15.5% and 8%, respectively, and is payable over an 8-year period. For the three and six months ended December 29, 2017, the Company recorded a provisional amount for the mandatory deemed repatriation tax liability of $1.66 billion for foreign subsidiaries and $132 million of this amount is classified as a current tax liability. The calculation of the mandatory deemed repatriation tax liability is provisional and based upon preliminary estimates of post-1986 earnings and profits. In addition, the mandatory deemed repatriation tax is based on a provisional amount of foreign earnings held in cash and other specified assets, which the Company expects will require additional clarifying guidance from U.S. Treasury. As such, the provisional amount may change during the one-year measurement period when the Company finalizes the calculation of post-1986 foreign earnings and profits and the amount of foreign earnings held in cash or other specified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Although the mandatory deemed repatriation tax has removed U.S. federal taxes on distributions to the U.S., the Company continues to evaluate the expected manner of recovery to determine whether or not to continue to assert indefinite reinvestment on a part or all the foreign undistributed earnings. This requires the Company to re-evaluate the existing short and long-term capital allocation policies in light of the 2017 Act and calculate the tax cost that is incremental to the deemed repatriation tax, (e.g. foreign withholding, state income taxes, and additional U.S. tax on currency transaction gains or losses) of repatriating cash to the U.S. While the provisional tax expense for the three and six months ended December 29, 2017 is based upon an assumption that foreign undistributed earnings are indefinitely reinvested, the Company’s plan may change upon the completion of long-term capital allocation plans in light of the 2017 Act and completion of the calculation of the incremental tax effects on the repatriation of foreign undistributed earnings. In the event the Company determines not to continue to assert the permanent reinvestment of part or all of foreign undistributed earnings, such a determination could result in the accrual and payment of additional foreign, state and local taxes.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would be the fiscal year beginning on June 30, 2018 (fiscal year 2019). The Company has not progressed sufficiently in the analysis of this provision to make an election either to account for the effects of this provision either as a component of future income tax expense in the period the tax arises or as a component of deferred taxes on the related investments. Accordingly, no deferred tax assets and liabilities have been established for timing differences between foreign U.S. GAAP income and foreign earnings and profits which would be expected to reverse under the new minimum tax in future years. Additionally, the Company has not yet completed the calculation of post-1986 foreign earnings and profits for the mandatory repatriation tax, which would be the starting point for the measurement of deferred tax assets and liabilities in order to record any provisional amounts.</w:t>
      </w:r>
    </w:p>
    <w:p>
      <w:pPr>
        <w:spacing w:after="0" w:line="182"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following table presents the Company’s income tax expense and the effective tax rate, which reflect provisional amounts related to the mandatory deemed repatriation tax and re-measurement of deferred tax assets and liabilities pursuant to the 2017 Act as discussed above: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3"/>
                <w:szCs w:val="13"/>
                <w:color w:val="auto"/>
              </w:rPr>
            </w:pPr>
          </w:p>
        </w:tc>
        <w:tc>
          <w:tcPr>
            <w:tcW w:w="12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w w:val="90"/>
              </w:rPr>
              <w:t>December 29,</w:t>
            </w:r>
          </w:p>
        </w:tc>
        <w:tc>
          <w:tcPr>
            <w:tcW w:w="260" w:type="dxa"/>
            <w:vAlign w:val="bottom"/>
          </w:tcPr>
          <w:p>
            <w:pPr>
              <w:spacing w:after="0"/>
              <w:rPr>
                <w:sz w:val="13"/>
                <w:szCs w:val="13"/>
                <w:color w:val="auto"/>
              </w:rPr>
            </w:pPr>
          </w:p>
        </w:tc>
        <w:tc>
          <w:tcPr>
            <w:tcW w:w="1300" w:type="dxa"/>
            <w:vAlign w:val="bottom"/>
          </w:tcPr>
          <w:p>
            <w:pPr>
              <w:jc w:val="right"/>
              <w:ind w:right="283"/>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2016</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774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1,484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50</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3"/>
              <w:spacing w:after="0"/>
              <w:rPr>
                <w:sz w:val="20"/>
                <w:szCs w:val="20"/>
                <w:color w:val="auto"/>
              </w:rPr>
            </w:pPr>
            <w:r>
              <w:rPr>
                <w:rFonts w:ascii="Arial" w:cs="Arial" w:eastAsia="Arial" w:hAnsi="Arial"/>
                <w:sz w:val="16"/>
                <w:szCs w:val="16"/>
                <w:color w:val="auto"/>
              </w:rPr>
              <w:t>1,597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3"/>
              <w:spacing w:after="0"/>
              <w:rPr>
                <w:sz w:val="20"/>
                <w:szCs w:val="20"/>
                <w:color w:val="auto"/>
              </w:rPr>
            </w:pPr>
            <w:r>
              <w:rPr>
                <w:rFonts w:ascii="Arial" w:cs="Arial" w:eastAsia="Arial" w:hAnsi="Arial"/>
                <w:sz w:val="16"/>
                <w:szCs w:val="16"/>
                <w:color w:val="auto"/>
              </w:rPr>
              <w:t>1,626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181</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33"/>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Under the 2017 Act, the reduction of the U.S. federal corporate tax rate from 35% to 21% is effective January 1, 2018 requiring companies to use a blended rate for its fiscal 2018 tax year by applying a pro-rated percentage of the number of days before and after the January 1, 2018 effective date. This results in the use of an estimated annual effective rate of approximately 28% for the Company’s U.S. federal corporate tax rate for fiscal year 2018. The reduction in the U.S. federal corporate tax rate from 35% to the blended tax rate of 28% for fiscal year 2018 is estimated to have reduced the Company’s income tax expense by $7 million for the three and six months ended December 29, 2017. For fiscal year 2019 and beyond, the Company will utilize the enacted U.S. federal corporate tax rate of 21%.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primary drivers for the difference between the effective tax rate for the three and six months ended December 29, 2017 and the U.S. Federal statutory rate of 28% are related to the net charge of $1.66 billion for the one-time mandatory deemed repatriation tax, offset in part by an income tax benefit related to the re-measurement of deferred taxes as required by the 2017 Act. Excluding these items, the effective tax rate for the three and six months ended December 29, 2017 would be approximately 4%. The primary drivers for the remaining difference between the effective tax rate for the three and six months ended December 29, 2017 and the U.S. Federal statutory rate of 28% are the current year generation of tax credits,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the Company to now recognize $5 million and $27 million of windfall tax benefits related to vesting and exercises of stock-based awards as a component of its income tax expense for the three and six months ended December 29, 2017, respectively. The windfall tax benefits for the three and six months ended December 30, 2016 were recorded within stockholders’ equity.</w:t>
      </w:r>
    </w:p>
    <w:p>
      <w:pPr>
        <w:spacing w:after="0" w:line="19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Income tax expense for the six months ended December 30, 2016 was attributable to discrete effects consisting of income tax expense from the integration of SanDisk Corporation (“SanDisk”) of $90 million and a valuation allowance on acquired tax attributes of $109 million, partially offset by income tax benefit from deductible debt issuance costs, debt discounts and prepayment fees from the debt extinguishment of $96 million. The primary drivers for the difference between the effective tax rate for the six months ended December 30, 2016 and the U.S. Federal statutory rate of 35% are these discrete items, the current year generation of tax credits and tax holidays in Malaysia, Philippines, Singapore and Thailand that expire at various dates during fiscal years 2018 through 2030.</w:t>
      </w:r>
    </w:p>
    <w:p>
      <w:pPr>
        <w:spacing w:after="0" w:line="19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During the six months ended December 29, 2017, the Company recorded a net increase of $7 million in its liability for unrecognized tax benefits (excluding accrued interest and penalties). As of December 29, 2017, the Company’s liability for unrecognized tax benefits (excluding accrued interest and penalties) was approximately $529 million. Accrued interest and penalties related to unrecognized tax benefits as of December 29, 2017 was approximately $94 million.</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Meetings with the IRS Appeals Office began in March 2017. The Company believes that its tax positions are properly supported and will vigorously contest the position taken by the IRS. In September 2015, the IRS commenced an examination of the Company’s fiscal years 2010 through 2012.</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29, 2017,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2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54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(loss)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2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i w:val="1"/>
                <w:iCs w:val="1"/>
                <w:color w:val="auto"/>
                <w:w w:val="98"/>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 impairment</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5160" w:type="dxa"/>
            <w:vAlign w:val="bottom"/>
          </w:tcPr>
          <w:p>
            <w:pPr>
              <w:ind w:left="380"/>
              <w:spacing w:after="0"/>
              <w:rPr>
                <w:sz w:val="20"/>
                <w:szCs w:val="20"/>
                <w:color w:val="auto"/>
              </w:rPr>
            </w:pPr>
            <w:r>
              <w:rPr>
                <w:rFonts w:ascii="Arial" w:cs="Arial" w:eastAsia="Arial" w:hAnsi="Arial"/>
                <w:sz w:val="16"/>
                <w:szCs w:val="16"/>
                <w:color w:val="auto"/>
              </w:rPr>
              <w:t>Total employee termination and other charges, and stock-based</w:t>
            </w:r>
          </w:p>
        </w:tc>
        <w:tc>
          <w:tcPr>
            <w:tcW w:w="1180" w:type="dxa"/>
            <w:vAlign w:val="bottom"/>
            <w:tcBorders>
              <w:top w:val="single" w:sz="8" w:color="auto"/>
            </w:tcBorders>
            <w:vMerge w:val="restart"/>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160" w:type="dxa"/>
            <w:vAlign w:val="bottom"/>
            <w:tcBorders>
              <w:top w:val="single" w:sz="8" w:color="auto"/>
            </w:tcBorders>
            <w:vMerge w:val="restart"/>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compensation accelerations and adjustments</w:t>
            </w:r>
          </w:p>
        </w:tc>
        <w:tc>
          <w:tcPr>
            <w:tcW w:w="11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as presented above, the Company recognized $8 million and $30 million of accelerated depreciation on facility assets in cost of revenue during the six months ended December 29, 2017 and December 30, 2016,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six months ended December 29,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December 29, 2017</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December 29, 2017</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closing of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June 2008, Convolve, Inc. (“Convolve”) filed a complaint with the U.S. District Court for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U.S. District Court for the Federal Circuit (“Federal Circuit”). In April 2015, Convolve filed a motion for reconsideration of the final judgment. In June 2017, the District Court vacated the judgment against WD and HGST with respect to infringement, willfulness, and damages and denied Convolve’s motion for reconsideration. In December 2017, WD and HGST filed an amended notice of appeal with the Federal Circuit with respect to validity. In January 2018, WD, HGST and Convolve entered into a settlement agreement resolving the litigation and agreeing to seek dismissal of all claims and actions between the parties.</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July 2010, Samsung Electronics Co., Ltd. (“Samsung”) filed an action against Panasonic Corporation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Corporation (“Toshiba”), and the complaint includes various factual allegations concerning SanDisk. As a member of SD-3C, SanDisk could be responsible for a portion of any monetary award. Other requested relief, if granted, could result in a loss of revenue to SanDisk.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 The arbitration between Samsung and Toshiba was concluded in May 2017. In October 2017, the District Court issued an order directing Samsung and Toshiba to seek clarification from the arbitration panel regarding certain aspects of its decision.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March 2011, a complaint was filed against SanDisk, SD-3C, Panasonic,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allegedly brought on behalf of a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The Company intends to defend itself vigorously in this matter.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Toshiba Matters</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December 2017, the Company entered into a Confidential Settlement and Mutual Release Agreement (the “Toshiba Settlement Agreement”) with Toshiba and TMC. Under the Toshiba Settlement Agreement, the parties agreed to withdraw and seek dismissal of the litigation and arbitration proceedings discussed below. Further information about the Toshiba Settlement Agreement is set forth below under “Settlement Agreement.”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July 2017, the Company received a petition for provisional disposition that was filed by Toshiba and TMC in the Tokyo District Court. The petition alleged that the Company engaged in acts of defamation and wrongful acquisition and use of trade secrets in violation of the Unfair Competition Prevention Act. The petition requested injunctive relief.</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August 2017, the Company received a complaint filed by Toshiba and TMC in the Tokyo District Court seeking a permanent injunction and damages of 120 billion Japanese yen. The complaint was based on the same allegations as the petition for provisional disposition.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May 2017, several of the Company’s SanDisk subsidiaries (the “SanDisk Subsidiaries”) filed a request for arbitration with the ICC International Court of Arbitration seeking an order requiring Toshiba to unwind the transfer of its interests in Flash Ventures to its affiliate, TMC, and injunctive relief preventing Toshiba from further breaching the Flash Ventures agreements in violation of the SanDisk Subsidiaries’ consent rights. In June 2017, the SanDisk Subsidiaries sought preliminary injunctive relief in the Superior Court of the State of California for the County of San Francisco in aid of that arbitration. Among other things, SanDisk asked the Superior Court to prevent Toshiba from transferring its interests in Flash Ventures until the SanDisk Subsidiaries could seek injunctive relief in the arbitration to prevent a transfer.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In July 2017, SanDisk LLC filed a request for arbitration with the ICC International Court of Arbitration against Toshiba seeking damages and injunctive relief for, among other things, blocking certain employees of SanDisk’s affiliates from accessing shared databases regarding Flash Ventures and from refusing to ship certain engineering wafers and samples to SanDisk’s affiliates in breach of the agreements governing the joint venture (the “Access Restrictions”).</w:t>
      </w:r>
    </w:p>
    <w:p>
      <w:pPr>
        <w:ind w:right="60"/>
        <w:spacing w:after="0" w:line="255" w:lineRule="auto"/>
        <w:rPr>
          <w:sz w:val="20"/>
          <w:szCs w:val="20"/>
          <w:color w:val="auto"/>
        </w:rPr>
      </w:pPr>
      <w:r>
        <w:rPr>
          <w:rFonts w:ascii="Arial" w:cs="Arial" w:eastAsia="Arial" w:hAnsi="Arial"/>
          <w:sz w:val="18"/>
          <w:szCs w:val="18"/>
          <w:color w:val="auto"/>
        </w:rPr>
        <w:t>SanDisk LLC also sought injunctive relief, a preliminary injunction and a temporary restraining order, in aid of that arbitration from the Superior Court of the State of California for the County of San Francisco. In July 2017, SanDisk LLC amended its request for arbitration to, among other things, add TMC as a defendant.</w:t>
      </w:r>
    </w:p>
    <w:p>
      <w:pPr>
        <w:spacing w:after="0" w:line="190" w:lineRule="exact"/>
        <w:rPr>
          <w:sz w:val="20"/>
          <w:szCs w:val="20"/>
          <w:color w:val="auto"/>
        </w:rPr>
      </w:pPr>
    </w:p>
    <w:p>
      <w:pPr>
        <w:ind w:right="80" w:firstLine="324"/>
        <w:spacing w:after="0" w:line="219" w:lineRule="exact"/>
        <w:rPr>
          <w:sz w:val="20"/>
          <w:szCs w:val="20"/>
          <w:color w:val="auto"/>
        </w:rPr>
      </w:pPr>
      <w:r>
        <w:rPr>
          <w:rFonts w:ascii="Arial" w:cs="Arial" w:eastAsia="Arial" w:hAnsi="Arial"/>
          <w:sz w:val="18"/>
          <w:szCs w:val="18"/>
          <w:color w:val="auto"/>
        </w:rPr>
        <w:t>In September 2017, the SanDisk Subsidiaries filed a request for arbitration with the ICC International Court of Arbitration against Toshiba in relation to Toshiba's announced decision to invest unilaterally in manufacturing equipment for the Fab 6 clean room at the joint venture operations in Yokkaichi, Japan. The SanDisk Subsidiaries sought, among other things, a permanent injunction preventing Toshiba from making unilateral investments in capacity expansions and conversions for 3</w:t>
      </w:r>
      <w:r>
        <w:rPr>
          <w:rFonts w:ascii="MS PGothic" w:cs="MS PGothic" w:eastAsia="MS PGothic" w:hAnsi="MS PGothic"/>
          <w:sz w:val="18"/>
          <w:szCs w:val="18"/>
          <w:color w:val="auto"/>
        </w:rPr>
        <w:t>‑</w:t>
      </w:r>
      <w:r>
        <w:rPr>
          <w:rFonts w:ascii="Arial" w:cs="Arial" w:eastAsia="Arial" w:hAnsi="Arial"/>
          <w:sz w:val="18"/>
          <w:szCs w:val="18"/>
          <w:color w:val="auto"/>
        </w:rPr>
        <w:t>dimensional (“3D”) NAND technology, which we refer to as BiCS 3D NAND-flash memory, including investments in manufacturing equipment for Fab 6, without first complying with its obligations with respect to giving the SanDisk Subsidiaries the opportunity to make comparable investments.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December 2017, the Company, the SanDisk Subsidiaries, Toshiba and TMC entered into the Toshiba Settlement Agreement pursuant to which the parties agreed to withdraw and seek dismissal of the proceedings above and mutually release each other from all claims relating to, among other things, (i) the transfer of Toshiba’s equity interests in Flash Ventures to TMC, (ii) the Access Restrictions, (iii) TMC’s decision to invest unilaterally in Phase I of Fab 6 and</w:t>
      </w:r>
    </w:p>
    <w:p>
      <w:pPr>
        <w:ind w:firstLine="8"/>
        <w:spacing w:after="0" w:line="252"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of TMC to K.K. Pangea (“Pangea”), which will be owned, as of the closing of the sale, by certain members of a consortium of investors led by Bain Capital (as defined below). In addition, the Company agreed to consent to the transfer of Toshiba’s interests in Flash Ventures to TMC, the assignment of all agreements relating to Flash Ventures by Toshiba to TMC and the sale of TMC to Pangea. Toshiba and TMC have also agreed to end the Access Restrictions. For a period of three years following the closing of the sale of TMC to Pangea, the Company’s consent shall be required for any issuance or transfer of equity securities, voting rights or control in TMC by TMC, Toshiba, Bain Capital or their respective affiliates to certain restricted parties, subject to certain limited exceptions. Pursuant to the Toshiba Settlement Agreement, the Company and the SanDisk Subsidiaries also entered into certain other agreements with TMC related to the operation of Flash Ventures, including an agreement regarding the construction and operation of Fab 6 and the extension of the term of Flash Alliance.</w:t>
      </w:r>
    </w:p>
    <w:p>
      <w:pPr>
        <w:spacing w:after="0" w:line="19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December 2017, the Company and the SanDisk Subsidiaries also entered into a Confidential Settlement Agreement and Mutual Release with Bain Capital Private Equity, L.P., BCPE Pangea Cayman, L.P., BCPE Pangea Cayman2, Ltd., Bain Capital Fund XII, L.P., Bain Capital Asia Fund III, L.P. and Pangea (together, “Bain Capital”) on terms substantially similar to the terms of the Toshiba Settlement Agreement, subject to certain transfer restrictions on Bain Capital.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which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 The Company intends to defend itself vigorously in this matter.</w:t>
      </w:r>
    </w:p>
    <w:p>
      <w:pPr>
        <w:spacing w:after="0" w:line="172"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has recorded an accrual for German copyright levies in an amount that is not material to the Company’s financial position, results of operations or cash flows; however, it is reasonably possible that the Company could incur losses totaling up to $177 million, inclusive of amounts accrued, if it does not prevail in this matter.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10.500% senior unsecured notes due 2024 (“Unsecured Notes”) are fully and unconditionally guaranteed, jointly and severally, on a senior unsecured basis, subject to certain customary guarantor release conditions, by the WD Guarantors (or the “Guarantor Subsidiaries”). The guarantee by a Guarantor Subsidiary will be released in the event of (i) the designation of a Guarantor Subsidiary as an unrestricted subsidiary under the indenture governing the Unsecured Notes, (ii) the release of a Guarantor Subsidiary from its guarantee of indebtedness under the Credit Agreement or other indebtedness that would have required the Guarantor Subsidiary to guarantee the Unsecured Notes, (iii) the sale, issuance or other disposition of capital stock of a Guarantor Subsidiary such that it is no longer a restricted subsidiary under the indenture governing the Unsecured Notes, (iv) the sale of all or substantially all of a Guarantor Subsidiary’s assets, (v) the Company’s exercise of its defeasance options under the indenture governing the Unsecured Notes,</w:t>
      </w:r>
    </w:p>
    <w:p>
      <w:pPr>
        <w:spacing w:after="0" w:line="3" w:lineRule="exact"/>
        <w:rPr>
          <w:sz w:val="20"/>
          <w:szCs w:val="20"/>
          <w:color w:val="auto"/>
        </w:rPr>
      </w:pPr>
    </w:p>
    <w:p>
      <w:pPr>
        <w:ind w:right="380" w:firstLine="8"/>
        <w:spacing w:after="0" w:line="273" w:lineRule="auto"/>
        <w:tabs>
          <w:tab w:leader="none" w:pos="30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dissolution or liquidation of a Guarantor Subsidiary or (vii) the sale of all the equity interest in a Guarantor Subsidiary. The Company’s other domestic subsidiaries and its foreign subsidiaries (collectively, the “Non-Guarantor Subsidiaries”) do not guarantee the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6,272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11,113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(37,344)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24,174</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27,794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29,840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5,529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2,438</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12,902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8,438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18,568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11,272</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24,174</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27,794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26,808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(48,936)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29,840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6,734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available-for-sale securities</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January 2018, the Company announced its planned issuance of $2.30 billion aggregate principal amount of 4.750% senior unsecured notes due 2026 (the “2026 Notes”) and $1.00 billion aggregate principal amount of 1.5% convertible senior notes due 2024 (the “2024 Convertible Notes”). The 2024 Convertible Notes will be convertible into cash, shares of the Company’s common stock or a combination thereof, at an initial conversion price of approximately $121.91 per share. The issuance of the 2026 Notes and 2024 Convertible Notes is subject to customary closing conditions.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January 29, 2018, the Company commenced a cash tender offer with respect to any and all of its outstanding $3.35 billion aggregate principal amount of 10.500% senior unsecured notes due 2024 (the “2024 Unsecured Notes”). The consideration offered for the 2024 Unsecured Notes is a total consideration of $1,167.25 per $1,000 principal amount, which includes the tender offer consideration of $1,137.25 and an early tender premium of $30.00. On January 30, 2018, the Company delivered a notice of conditional redemption with respect to the 2024 Unsecured Notes, with a March 1, 2018 redemption date. The redemption of the 2024 Unsecured Notes is conditioned upon the issuance of the 2026 Notes. On January 30, 2018, the Company also delivered a notice of conditional redemption with respect to its outstanding $1.88 billion aggregate principal amount of 7.375% senior secured notes due 2023 (the “2023 Secured Notes”), with a March 1, 2018 redemption date. The redemption of the 2023 Secured Notes is conditioned upon the issuance of the 2024 Convertible Notes and/or an increase in the Company’s Term Loan A credit facility that collectively generates proceeds in excess of $2 billion.</w:t>
      </w:r>
    </w:p>
    <w:p>
      <w:pPr>
        <w:spacing w:after="0" w:line="16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Since December 29, 2017, the Company also resumed its stock repurchase program and has repurchased approximately $151 million of its common stock in privately negotiated transactions, at a purchase price per share equal to $87.08 per share, with available cash on hand.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30, 2017. See also “Forward-Looking Statements” immediately prior to Part I, Item 1 in this Quarterly Report on Form 10-Q.</w:t>
      </w:r>
    </w:p>
    <w:p>
      <w:pPr>
        <w:spacing w:after="0" w:line="2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fiscal year ends on the Friday nearest to June 30 and typically consists of 52 weeks. Fiscal years 2018, which ends on June 29, 2018, and 2017, which ended on June 30, 2017, are both comprised 52 weeks, with all quarters presented consisting of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Refinancing Transactions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January 2018, we announced our planned issuance of $2.30 billion aggregate principal amount of 4.750% senior unsecured notes due 2026 (the “2026 Notes”) and $1.00 billion aggregate principal amount of 1.5% convertible senior notes due 2024 (the “2024 Convertible Notes”). We intend to use the net proceeds of these offerings, together with available cash on hand and, with respect to the 2024 Convertible Notes, approximately $1 billion of proceeds from an anticipated increase in the size of our existing Term Loan A (the “TLA Increase”), to fund a cash tender offer and/or redemption of all of our currently outstanding 10.500% senior unsecured notes due 2024 (the “2024 unsecured notes”) and the redemption of all of our currently outstanding 7.375% senior secured notes due 2023 (the “2023 secured notes”). The offering of the 2026 Notes and 2024 Convertible Notes, the TLA Increase, the tender offer and/or redemption of the 2024 unsecured notes and the redemption of the 2023 secured notes are collectively referred to as the “Refinancing Transactions”.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Refinancing Transactions are expected to be completed in the third quarter of fiscal year 2018, subject to customary closing conditions.</w:t>
      </w:r>
    </w:p>
    <w:p>
      <w:pPr>
        <w:spacing w:after="0" w:line="23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connection with the Refinancing Transactions, we have announced that we intend to repurchase up to $500 million of our common stock in privately negotiated or open market transactions. Since December 29, 2017, we have repurchased approximately $151 million of our common stock in privately negotiated transactions, at a purchase price per share equal to $87.08 per share, with available cash on hand.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125"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Reform</w:t>
      </w:r>
    </w:p>
    <w:p>
      <w:pPr>
        <w:spacing w:after="0" w:line="22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 xml:space="preserve">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new taxes on certain foreign earnings. As a result of the 2017 Act, we have made a reasonable estimate of the effects on the Company’s existing deferred tax balances and the one-time mandatory deemed repatriation tax required by the 2017 Act and have recognized a provisional income tax expense of $1.66 billion for the one-time mandatory deemed repatriation tax and a provisional income tax benefit of $88 million related to the re-measurement of deferred tax assets and liabilities for the three and six months ended December 29, 2017. For additional information regarding the 2017 Act, see Part I, Item 1, Note 10,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See also the discussion in “Results of Operations-Income Tax Expense” and “Liquidity and Capital Resources” below for information regarding the impact of the 2017 Act on the Company’s financial condition, results of operations and cash flows.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Ventures with TMC</w:t>
      </w:r>
    </w:p>
    <w:p>
      <w:pPr>
        <w:spacing w:after="0" w:line="225"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Through our strategic partnership with Toshiba Memory Corporation (“TMC”), which consists of three separate legal entities: Flash Partners Ltd., Flash Alliance Ltd. and Flash Forward Ltd., collectively referred to as “Flash Ventures”, we and TMC currently operate three business ventures in 300-millimeter NAND-flash manufacturing facilities in Yokkaichi, Japan, which provide us leading-edge, cost-competitive NAND wafers for our end products.</w:t>
      </w:r>
    </w:p>
    <w:p>
      <w:pPr>
        <w:spacing w:after="0" w:line="14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In September 2017, Toshiba Corporation (“Toshiba”), of which TMC is a wholly owned subsidiary, announced it had entered into a definitive agreement to sell TMC, including its interest in Flash Ventures, to a consortium led by SK Hynix Inc. and Bain Capital Private Equity, L.P., BCPE Pangea Cayman, L.P., BCPE Pangea Cayman2, Ltd., Bain Capital Fund XII, L.P., Bain Capital Asia Fund III, L.P. and Pangea (together, “Bain Capital”), that includes other competitors, as well as key customers. We previously asserted our consent rights under the terms of the Flash Ventures agreements with respect to the transactions involving, among other things, the transfer by Toshiba of its interests in Flash Ventures to TMC, and the proposed sale of TMC to a consortium of investors led by Bain Capital. In December 2017, we entered into a Confidential Settlement and Mutual Release Agreement (the “Toshiba Settlement Agreement”) with Toshiba and TMC pursuant to which the parties agreed to withdraw and seek dismissal of the litigation and arbitration proceedings related to the transfer of Toshiba’s interests in Flash Ventures and related matters. In addition to the settlement with Toshiba and TMC, we also entered into a settlement agreement with Bain Capital and certain other agreements with TMC related to the operation of Flash Ventures. See Part I, Item 1, Note 13,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 of the Notes to Condensed Consolidated Financial Statements included in this Quarterly Report on Form 10-Q for a further discussion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litigation and arbitration proceedings between the parties and the Toshiba Settlement Agreement.</w:t>
      </w:r>
    </w:p>
    <w:p>
      <w:pPr>
        <w:spacing w:after="0" w:line="173" w:lineRule="exact"/>
        <w:rPr>
          <w:sz w:val="20"/>
          <w:szCs w:val="20"/>
          <w:color w:val="auto"/>
        </w:rPr>
      </w:pPr>
    </w:p>
    <w:p>
      <w:pPr>
        <w:ind w:right="180" w:firstLine="324"/>
        <w:spacing w:after="0" w:line="223" w:lineRule="exact"/>
        <w:rPr>
          <w:sz w:val="20"/>
          <w:szCs w:val="20"/>
          <w:color w:val="auto"/>
        </w:rPr>
      </w:pPr>
      <w:r>
        <w:rPr>
          <w:rFonts w:ascii="Arial" w:cs="Arial" w:eastAsia="Arial" w:hAnsi="Arial"/>
          <w:sz w:val="18"/>
          <w:szCs w:val="18"/>
          <w:color w:val="auto"/>
        </w:rPr>
        <w:t xml:space="preserve">See Part I, Item 1, Note 8,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additional information on Flash Ventures.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Y6 Facility Agreement</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connection with the Toshiba Settlement Agreement, in December 2017, we entered into a facility agreement (the “Y6 Facility Agreement”) with TMC regarding the construction and operation of a new 300-millimeter wafer fabrication facility in Yokkaichi, Japan, referred to as “Fab 6”. The primary purpose of Fab 6, which is located adjacent to the fabrication facilities in Yokkaichi currently utilized by Flash Ventures, is to provide cleanroom space to continue the transition of the parties’ existing 2D NAND manufacturing capacity to BiCS 3D NAND manufacturing capacity. The Y6 Facility Agreement establishes terms for the manufacture of NAND in Fab 6 and amends the existing agreements governing Flash Ventures to provide for their use of Fab 6. We have agreed to fund 50% of Fab 6’s start-up costs, as well as 50% of Flash Ventures’ portion of an upcoming investment in manufacturing equipment for Fab 6. The Company’s share of the initial commitment is expected to be approximately $950 million, mostly for equipment investments and some start-up costs to be incurred primarily through calendar 2018.</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Extension of Joint Venture Agreements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connection with the Toshiba Settlement Agreement, in December 2017, we also entered into agreements with TMC to extend the term of Flash Alliance Ltd. to December 31, 2029 and the term of Flash Forward Ltd. to December 31, 2027. The term of Flash Partners Ltd. was previously extended to December 31, 2029.</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Facilities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second quarter ended December 29, 2017, we settled certain debt facilities, entered into new debt facilities at lower rates and increased our revolving credit facility. The financing arrangement activities were as follows:</w:t>
      </w:r>
    </w:p>
    <w:p>
      <w:pPr>
        <w:spacing w:after="0" w:line="170"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settled our existing U.S dollar-denominated term B-2 loans (“U.S. Term Loan B-2”) with the proceeds of a new issuance of a $2.96 billion U.S. dollar-denominated term loan (“U.S. Term Loan B-3”) at an interest rate lower than our U.S. Term Loan B-2 tranche.</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made a voluntary prepayment of the full principal amounts of our Euro-denominated term B-2 loans (“Euro Term Loan B-2”) using cash on hand.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increased the size of our existing $1 billion revolving credit facility by $500 million to $1.5 billion. The terms of our revolving credit facility remained unchanged.</w:t>
      </w:r>
    </w:p>
    <w:p>
      <w:pPr>
        <w:spacing w:after="0" w:line="170" w:lineRule="exact"/>
        <w:rPr>
          <w:sz w:val="20"/>
          <w:szCs w:val="20"/>
          <w:color w:val="auto"/>
        </w:rPr>
      </w:pPr>
    </w:p>
    <w:p>
      <w:pPr>
        <w:ind w:right="12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debt facilities, see Part I, Item 1,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December 29, 2017</w:t>
            </w:r>
          </w:p>
        </w:tc>
        <w:tc>
          <w:tcPr>
            <w:tcW w:w="2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rPr>
              <w:t>December 30, 2016</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gridSpan w:val="3"/>
          </w:tcPr>
          <w:p>
            <w:pPr>
              <w:jc w:val="right"/>
              <w:ind w:right="439"/>
              <w:spacing w:after="0"/>
              <w:rPr>
                <w:sz w:val="20"/>
                <w:szCs w:val="20"/>
                <w:color w:val="auto"/>
              </w:rPr>
            </w:pPr>
            <w:r>
              <w:rPr>
                <w:rFonts w:ascii="Arial" w:cs="Arial" w:eastAsia="Arial" w:hAnsi="Arial"/>
                <w:sz w:val="14"/>
                <w:szCs w:val="14"/>
                <w:i w:val="1"/>
                <w:iCs w:val="1"/>
                <w:color w:val="auto"/>
                <w:w w:val="95"/>
              </w:rPr>
              <w:t>(in millions, except percentages)</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5,336</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3,323</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62.3</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3,355</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68.6</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2,013</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1,533</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31.4</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480</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31.3</w:t>
            </w:r>
          </w:p>
        </w:tc>
      </w:tr>
      <w:tr>
        <w:trPr>
          <w:trHeight w:val="20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12.0</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381</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7.3</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6.4</w:t>
            </w: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0.9</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6.7</w:t>
            </w: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1,058</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19.8</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988</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20.2</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70</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7.1</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17.9</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11.1</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410</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75.2</w:t>
            </w:r>
          </w:p>
        </w:tc>
      </w:tr>
      <w:tr>
        <w:trPr>
          <w:trHeight w:val="22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0.1</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180.0</w:t>
            </w: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(4.2)</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(3.9)</w:t>
            </w: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(0.5)</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(108.3)</w:t>
            </w: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(3.4)</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(4.6)</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(19.2)</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6.6</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453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141.1</w:t>
            </w: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29.9</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1.8</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1,511</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1,757.0</w:t>
            </w: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4.8</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(1,058)</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(450.2)</w:t>
            </w:r>
          </w:p>
        </w:tc>
      </w:tr>
      <w:tr>
        <w:trPr>
          <w:trHeight w:val="20"/>
        </w:trPr>
        <w:tc>
          <w:tcPr>
            <w:tcW w:w="1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left="2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left="2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60" w:type="dxa"/>
            <w:vAlign w:val="bottom"/>
            <w:gridSpan w:val="4"/>
          </w:tcPr>
          <w:p>
            <w:pPr>
              <w:jc w:val="center"/>
              <w:ind w:right="159"/>
              <w:spacing w:after="0"/>
              <w:rPr>
                <w:sz w:val="20"/>
                <w:szCs w:val="20"/>
                <w:color w:val="auto"/>
              </w:rPr>
            </w:pPr>
            <w:r>
              <w:rPr>
                <w:rFonts w:ascii="Arial" w:cs="Arial" w:eastAsia="Arial" w:hAnsi="Arial"/>
                <w:sz w:val="14"/>
                <w:szCs w:val="14"/>
                <w:i w:val="1"/>
                <w:iCs w:val="1"/>
                <w:color w:val="auto"/>
                <w:w w:val="92"/>
              </w:rPr>
              <w:t>(in millions, except percentages)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100.0 %</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915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6,591</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62.7</w:t>
            </w: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6,734</w:t>
            </w:r>
          </w:p>
        </w:tc>
        <w:tc>
          <w:tcPr>
            <w:tcW w:w="52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70.1</w:t>
            </w:r>
          </w:p>
        </w:tc>
        <w:tc>
          <w:tcPr>
            <w:tcW w:w="20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(143)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3,926</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37.3</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1,058</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1,221</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745</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52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2,066</w:t>
            </w:r>
          </w:p>
        </w:tc>
        <w:tc>
          <w:tcPr>
            <w:tcW w:w="48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19.6</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2,091</w:t>
            </w:r>
          </w:p>
        </w:tc>
        <w:tc>
          <w:tcPr>
            <w:tcW w:w="52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1,860</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17.7</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w:t>
            </w: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8.1</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1,083</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24"/>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w:t>
            </w:r>
          </w:p>
        </w:tc>
        <w:tc>
          <w:tcPr>
            <w:tcW w:w="480" w:type="dxa"/>
            <w:vAlign w:val="bottom"/>
          </w:tcPr>
          <w:p>
            <w:pPr>
              <w:spacing w:after="0"/>
              <w:rPr>
                <w:sz w:val="20"/>
                <w:szCs w:val="20"/>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(441)</w:t>
            </w:r>
          </w:p>
        </w:tc>
        <w:tc>
          <w:tcPr>
            <w:tcW w:w="520" w:type="dxa"/>
            <w:vAlign w:val="bottom"/>
          </w:tcPr>
          <w:p>
            <w:pPr>
              <w:spacing w:after="0"/>
              <w:rPr>
                <w:sz w:val="20"/>
                <w:szCs w:val="20"/>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292</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48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(3.6)</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52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351</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1,484</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14.1</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0.5</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1,434</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2,868.0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1,626</w:t>
            </w:r>
          </w:p>
        </w:tc>
        <w:tc>
          <w:tcPr>
            <w:tcW w:w="48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52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1,445</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798.3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sets forth, for the periods presented, summary information regarding net revenues by geography and end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6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3"/>
              </w:rPr>
              <w:t>December 29, 2017</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30, 2016</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3"/>
              </w:rPr>
              <w:t>December 29, 2017</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December 30, 2016</w:t>
            </w:r>
          </w:p>
        </w:tc>
      </w:tr>
      <w:tr>
        <w:trPr>
          <w:trHeight w:val="190"/>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201"/>
              <w:spacing w:after="0"/>
              <w:rPr>
                <w:sz w:val="20"/>
                <w:szCs w:val="20"/>
                <w:color w:val="auto"/>
              </w:rPr>
            </w:pPr>
            <w:r>
              <w:rPr>
                <w:rFonts w:ascii="Arial" w:cs="Arial" w:eastAsia="Arial" w:hAnsi="Arial"/>
                <w:sz w:val="14"/>
                <w:szCs w:val="14"/>
                <w:i w:val="1"/>
                <w:iCs w:val="1"/>
                <w:color w:val="auto"/>
                <w:w w:val="95"/>
              </w:rPr>
              <w:t>(in millions, except exabytes and percentages)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5,336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10,517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9,602</w:t>
            </w:r>
          </w:p>
        </w:tc>
      </w:tr>
      <w:tr>
        <w:trPr>
          <w:trHeight w:val="297"/>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Revenues by Geography (%)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56</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16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7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 xml:space="preserve">Revenues by End Market (%) </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Data Center Devices &amp; Solutions</w:t>
            </w: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29</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97"/>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Exabytes Shipped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w:t>
            </w:r>
          </w:p>
        </w:tc>
      </w:tr>
      <w:tr>
        <w:trPr>
          <w:trHeight w:val="135"/>
        </w:trPr>
        <w:tc>
          <w:tcPr>
            <w:tcW w:w="162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r>
    </w:tbl>
    <w:p>
      <w:pPr>
        <w:spacing w:after="0" w:line="5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Percentages for the prior year have been revised to conform to the current year presentation.</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revenue for the three and six months ended December 29, 2017 increased $448 million, or 9.2%, and $915 million, or 9.5%, respectively, as compared to the same periods in prior year. The increase in net revenue for the three and six months ended December 29, 2017, compared to the same periods in the prior year, primarily reflects a favorable flash memory demand environment and growth of our diversified product portfolio. For the three and six months ended December 29, 2017, Client Devices revenue increased 9.5% and 11.1%, respectively, year-over-year, primarily driven by growth in mobility, client solid state drives (“SSD”) and surveillance products. Our revenue for Data Center Devices and Solutions for the three and six months ended December 29, 2017 increased 2.9% and 1.6%, respectively, year-over-year, driven primarily by a significant increase in sales from our capacity enterprise hard disk drives (“HDD”), partially offset by an expected decline in sales from our performance enterprise HDDs. Client Solutions revenue for the three and six months ended December 29, 2017 increased 16.6% and 16.5%, respectively, year-over-year, primarily as a result of the strength and reach of our valuable global retail brands.</w:t>
      </w:r>
    </w:p>
    <w:p>
      <w:pPr>
        <w:spacing w:after="0" w:line="19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top 10 customers accounted for 42% and 41% of our net revenue for the three and six months ended December 29, 2017, respectively, and 43% and 42% of our net revenue for the three and six months ended December 30, 2016, respectively. For the three and six months ended December 29, 2017 and December 30, 2016, no single customer accounted for 10% or more of our net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six months ended December 29, 2017, these programs represented 12% and 13% of gross revenues, respectively. For each of the three and six months ended December 30, 2016, these programs represented 13%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Gross profit for the three and six months ended December 29, 2017 increased $480 million, or 31.3%, and $1.058 billion, or 36.9%, respectively, as compared to the same period in the prior year. The increase in gross profit for the three and six months ended December 29, 2017 reflects the increase in revenue discussed above and improvements in our gross margin. The increase in gross margin for the three and six months ended December 29, 2017 was primarily due to a favorable demand environment for flash-based products, improvements in our production costs from technology transitions and a higher mix of flash-based product revenue. Gross profit was negatively impacted by amortization expense on acquired intangible assets, stock-based compensation, charges related to the implementation of cost-saving initiatives and other charges, which aggregated $293 million, or 5.5%, of revenue, for the three months ended December 29, 2017, and $259 million, or 5.3%, of revenue, for the three months ended December 30, 2016.</w:t>
      </w:r>
    </w:p>
    <w:p>
      <w:pPr>
        <w:spacing w:after="0" w:line="16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Gross profit was negatively impacted by amortization expense on acquired intangible assets, stock-based compensation, charges related to the implementation of cost-saving initiatives and other charges, which aggregated $572 million, or 5.4%, of revenue, for the six months ended December 29, 2017, and $523 million, or 5.4%, of revenue, for the six months ended December 30, 2016.</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increase in research and development (“R&amp;D”) expense for the three months ended December 29, 2017 of $44 million, or 7.5%, from the same period in the prior year, was primarily due to on-going investments in future capabilities and operating expenses of recent acquisitions. The three months ended December 29, 2017 also included aggregate charges of $48 million related to stock-based compensation expenses, charges related to the implementation of cost-saving initiatives, acquisition-related charges and other charges, compared to $49 million for the three months ended December 30, 2016 related to such charges.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R&amp;D expense for the six months ended December 29, 2017 remained relatively consistent with the same period in the prior year. This was primarily due to an increase in on-going investments in future capabilities and operating expenses of recent acquisitions, offset by variable compensation. The six months ended December 29, 2017 also included aggregate charges of $95 million related to stock-based compensation expenses, charges related to the implementation of cost-saving initiatives, acquisition-related charges and other charges, compared to $102 million for the six months ended December 30, 2016 related to such charges.</w:t>
      </w:r>
    </w:p>
    <w:p>
      <w:pPr>
        <w:spacing w:after="0" w:line="188"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Selling, general and administrative (“SG&amp;A”) expense for the three months ended December 29, 2017 increased $23 million, or 6.4%, from the same period in the prior year, primarily due to operating expenses of recent acquisitions and an increase in legal expenses. Both the three months ended December 29, 2017 and December 30, 2016 also included aggregate charges of $97 million related to stock-based compensation expenses, amortization expense on acquired intangible assets, charges related to the implementation of cost-saving initiatives, acquisition-related charges and other discrete charges.</w:t>
      </w:r>
    </w:p>
    <w:p>
      <w:pPr>
        <w:spacing w:after="0" w:line="15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SG&amp;A expense for the six months ended December 29, 2017 remained relatively consistent from the same period in the prior year. This was primarily due to an increase in operating expenses of recent acquisitions and legal expenses, offset by lower variable compensation. The six months ended December 29, 2017 also included aggregate charges of $187 million related to stock-based compensation expenses, amortization expense on acquired intangible assets, charges related to the implementation of cost-saving initiatives, acquisition-related charges and other charges, compared to $216 million for the six months ended December 30, 2016 related to such charges.</w:t>
      </w:r>
    </w:p>
    <w:p>
      <w:pPr>
        <w:spacing w:after="0" w:line="188" w:lineRule="exact"/>
        <w:rPr>
          <w:sz w:val="20"/>
          <w:szCs w:val="20"/>
          <w:color w:val="auto"/>
        </w:rPr>
      </w:pPr>
    </w:p>
    <w:p>
      <w:pPr>
        <w:ind w:right="20" w:firstLine="324"/>
        <w:spacing w:after="0" w:line="220" w:lineRule="exact"/>
        <w:rPr>
          <w:sz w:val="20"/>
          <w:szCs w:val="20"/>
          <w:color w:val="auto"/>
        </w:rPr>
      </w:pPr>
      <w:r>
        <w:rPr>
          <w:rFonts w:ascii="Arial" w:cs="Arial" w:eastAsia="Arial" w:hAnsi="Arial"/>
          <w:sz w:val="18"/>
          <w:szCs w:val="18"/>
          <w:color w:val="auto"/>
        </w:rPr>
        <w:t xml:space="preserve">Employee termination and other charges for the three and six months ended December 29, 2017 primarily related to further actions associated with the integration and business realignment of substantial portions of our business. For additional information regarding employee termination, asset impairment and other charges, see Part I, Item 1, Note 12,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Total interest and other income (expense), net for the three months ended December 29, 2017 decreased $43 million from the same period in the prior year, primarily due to higher foreign exchange losses and other charges of $26 million in the prior year, lower interest expense of $8 million resulting from reductions in the principal amount of debt and higher interest income of $9 million related to increased investments.</w:t>
      </w:r>
    </w:p>
    <w:p>
      <w:pPr>
        <w:spacing w:after="0" w:line="166"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Total interest and other income (expense), net for the six months ended December 29, 2017 decreased $351 million from the same period in the prior year, primarily due to the loss on extinguishment of debt of $292 million recognized in the prior year, lower interest expense of $39 million resulting from reductions in the principal amount of debt and higher interest income of $20 million related to increased investments.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90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3"/>
              </w:rPr>
              <w:t>December 29, 2017</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30, 2016</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3"/>
              </w:rPr>
              <w:t>December 29, 2017</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December 30, 2016</w:t>
            </w:r>
          </w:p>
        </w:tc>
      </w:t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603"/>
              <w:spacing w:after="0"/>
              <w:rPr>
                <w:sz w:val="20"/>
                <w:szCs w:val="20"/>
                <w:color w:val="auto"/>
              </w:rPr>
            </w:pPr>
            <w:r>
              <w:rPr>
                <w:rFonts w:ascii="Arial" w:cs="Arial" w:eastAsia="Arial" w:hAnsi="Arial"/>
                <w:sz w:val="14"/>
                <w:szCs w:val="14"/>
                <w:i w:val="1"/>
                <w:iCs w:val="1"/>
                <w:color w:val="auto"/>
              </w:rPr>
              <w:t>(in millions, except percentages)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774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1,484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1,597</w:t>
            </w:r>
          </w:p>
        </w:tc>
        <w:tc>
          <w:tcPr>
            <w:tcW w:w="180" w:type="dxa"/>
            <w:vAlign w:val="bottom"/>
          </w:tcPr>
          <w:p>
            <w:pPr>
              <w:spacing w:after="0"/>
              <w:rPr>
                <w:sz w:val="20"/>
                <w:szCs w:val="20"/>
                <w:color w:val="auto"/>
              </w:rPr>
            </w:pPr>
          </w:p>
        </w:tc>
        <w:tc>
          <w:tcPr>
            <w:tcW w:w="1380" w:type="dxa"/>
            <w:vAlign w:val="bottom"/>
          </w:tcPr>
          <w:p>
            <w:pPr>
              <w:jc w:val="right"/>
              <w:ind w:right="83"/>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1,626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181</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33"/>
        </w:trPr>
        <w:tc>
          <w:tcPr>
            <w:tcW w:w="5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Under the 2017 Act, the U.S. federal corporate tax rate is reduced from 35% to 21% and is effective January 1, 2018 resulting in the use of an estimated annual effective rate of approximately 28% for our U.S. federal corporate tax rate for fiscal year 2018. The reduction in the U.S. federal corporate tax rate from 35% to the blended tax rate of 28% for fiscal year 2018 is estimated to have reduced our income tax expense by $7 million for the three and six months ended December 29, 2017. For fiscal year 2019 and beyond, we will utilize the enacted U.S. federal corporate tax rate of 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324"/>
        <w:spacing w:after="0" w:line="218" w:lineRule="exact"/>
        <w:rPr>
          <w:sz w:val="20"/>
          <w:szCs w:val="20"/>
          <w:color w:val="auto"/>
        </w:rPr>
      </w:pPr>
      <w:r>
        <w:rPr>
          <w:rFonts w:ascii="Arial" w:cs="Arial" w:eastAsia="Arial" w:hAnsi="Arial"/>
          <w:sz w:val="17"/>
          <w:szCs w:val="17"/>
          <w:color w:val="auto"/>
        </w:rPr>
        <w:t xml:space="preserve">Consistent with applicable Securities and Exchange Commission (“SEC”) guidance, we made a reasonable estimate of the effects on our existing deferred tax balances and the one-time mandatory deemed repatriation tax required by the 2017 Act and have recognized a provisional income tax expense of $1.66 billion for the one-time mandatory deemed repatriation tax and a provisional income tax benefit of $88 million related to the re-measurement of deferred tax assets and liabilities for the three and six months ended December 29, 2017. Both items are included as a component of income tax expense from continuing operations in the Condensed Consolidated Statements of Operations. For other elements of tax expense noted in Part I, Item 1, Note 10,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 Expense</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or where we have not made an</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we have not been able to make a reasonable estimate and continue to account for such items based on the provisions of the tax laws that were in effect immediately prior to the 2017 Act. As we finalize the accounting for the tax effects of the enactment of the 2017 Act during a one-year measurement period permitted by applicable SEC guidance, we expect to reflect adjustments to the recorded provisional amounts and record additional tax effects of the 2017 Act.</w:t>
      </w:r>
    </w:p>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primary drivers for the difference between the effective tax rate for the three and six months ended December 29, 2017 and the U.S. Federal statutory rate of 28% are related to the net charge of $1.66 billion for the one-time mandatory deemed repatriation tax, offset in part by an income tax benefit related to the re-measurement of deferred taxes as required by the 2017 Act. Excluding these items, the effective tax rate for the three and six months ended December 29, 2017 would be approximately 4%. The primary drivers for the remaining difference between the effective tax rate for the three and six months ended December 29, 2017 and the U.S. Federal statutory rate of 28% are the current year generation of tax credits,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us to now recognize $5 million and $27 million of windfall tax benefits related to vesting and exercises of stock-based awards as a component of our income tax expense for the three and six months ended December 29, 2017, respectively. The windfall tax benefits for the three and six months ended December 30, 2016 were recorded within stockholders’ equity.</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Income tax expense for the six months ended December 30, 2016 was attributable to discrete effects consisting of income tax expense from the integration of SanDisk Corporation (“SanDisk”) of $90 million and a valuation allowance on acquired tax attributes of $109 million, partially offset by income tax benefit from deductible debt issuance costs, debt discounts and prepayment fees from the debt extinguishment of $96 million. The primary drivers for the difference between the effective tax rate for the six months ended December 30, 2016 and the U.S. Federal statutory rate of 35% are these discrete items, the current year generation of tax credits and tax holidays in Malaysia, Philippines, Singapore and Thailand that expire at various dates during fiscal years 2018 through 2030.</w:t>
      </w:r>
    </w:p>
    <w:p>
      <w:pPr>
        <w:spacing w:after="0" w:line="1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2017 Act is expected to have an unfavorable impact on our effective tax rate for fiscal year 2018 due to the mandatory deemed repatriation tax offset in part by the re-measurement of deferred taxes and the reduction in the corporate tax rate. In future years, certain additional provisions of the 2017 Act, such as a minimum tax on foreign earnings, will also apply to us and, as a result, we generally expect our effective tax rate to increase from the rate expected for fiscal year 2018 (excluding the mandatory deemed repatriation tax and the re-measurement of deferred taxes). Our estimate of the effective tax rate increase is subject to our assertion as to whether foreign undistributed earnings are indefinitely reinvested and to other calculations and elections during the measurement period. Our total tax expense in future fiscal years will also vary as a result of discrete items such as excess tax benefits or deficiencies.</w:t>
      </w:r>
    </w:p>
    <w:p>
      <w:pPr>
        <w:spacing w:after="0" w:line="165" w:lineRule="exact"/>
        <w:rPr>
          <w:sz w:val="20"/>
          <w:szCs w:val="20"/>
          <w:color w:val="auto"/>
        </w:rPr>
      </w:pPr>
    </w:p>
    <w:p>
      <w:pPr>
        <w:ind w:right="78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 Item 1, Note 10,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29, 2017</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December 30, 2016</w:t>
            </w:r>
          </w:p>
        </w:tc>
      </w:tr>
      <w:tr>
        <w:trPr>
          <w:trHeight w:val="250"/>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1100"/>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2,315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1,500</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(4,386)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(3,211)</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21" w:lineRule="exact"/>
        <w:rPr>
          <w:sz w:val="20"/>
          <w:szCs w:val="20"/>
          <w:color w:val="auto"/>
        </w:rPr>
      </w:pPr>
      <w:r>
        <w:rPr>
          <w:rFonts w:ascii="Arial" w:cs="Arial" w:eastAsia="Arial" w:hAnsi="Arial"/>
          <w:sz w:val="17"/>
          <w:szCs w:val="17"/>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2"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During 2018, we expect cash used for purchases of property, plant and equipment and net activity in notes receivable and equity investments relating to Flash Ventures to be approximately $1.50 billion to $1.90 billion. The total expected cash to be used could vary depending on the timing and completion of various capital projects and the availability, timing and terms of related financing. As described above, we also expect that if the Refinancing Transactions and share repurchase are completed, our total debt outstanding will decrease by approximately $1.00 billion and our available cash on hand will decrease by approximately $2.40 billion compared to December 29, 2017. See above in “Key Developments - Refinancing Transactions” for additional information</w:t>
      </w:r>
    </w:p>
    <w:p>
      <w:pPr>
        <w:spacing w:after="0" w:line="158"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 xml:space="preserve">Pursuant to the 2017 Act, we are required to pay a one-time deemed repatriation tax related to the undistributed earnings of our foreign subsidiaries. For the three and six months ended December 29, 2017, we recorded a provisional amount for the mandatory deemed repatriation tax liability of $1.66 billion, which is payable over an 8-year period as further discussed below under “Short and Long-term Liquidity-Contractual Obligations and Commitments.” The provisional amount included in the Condensed Consolidated Financial Statements of Operations may change when we finalize the calculation of our post-1986 foreign earnings and profits that were previously deferred from U.S. income taxes and the amount of foreign earnings held in cash or other specified assets. For additional information regarding our total tax liability for the mandatory repatriation tax, see Part I, Item 1, Note 10,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 total of $4.90 billion and $4.99 billion of our cash and cash equivalents was held outside of the U.S. as of December 29, 2017 and June 30, 2017, respectively. Although the mandatory deemed repatriation tax has removed U.S. federal taxes on distributions to the U.S., we continue to evaluate the expected manner of recovery to determine whether or not to assert indefinite reinvestment on a part or all the foreign undistributed earnings. This requires us to re-evaluate the existing short and long-term capital allocation policies in light of the 2017 Act and calculate the tax cost, that is incremental to the U.S. deemed repatriation tax, (e.g. foreign withholding, state income taxes, and additional U.S. tax on currency transaction gains or losses) of repatriating cash to the U.S. While the current tax expense is based upon an assumption that foreign undistributed earnings are indefinitely reinvested, our plan may change upon the completion of long-term capital allocation plans in light of the 2017 Act and completion of the calculation of the incremental tax effects on the repatriation of foreign undistributed earnings. In the event we determine not to continue to assert the permanent reinvestment of part or all of our foreign undistributed earnings such a determination could result in the accrual and payment of additional foreign, state and local taxes.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Cash flow from operating activities primarily consists of net income, adjusted for non-cash charges, plus or minus changes in other operating assets and liabilities. This represents our principal source of cash. Net cash provided by changes in other operating assets and liabilities was $1.27 billion for the six months ended December 29, 2017, as compared to net cash used for changes in other operating assets and liabilities of $37 million for the six months ended December 30,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Changes in our other operating assets and liabilities is largely affected by our working capital requirements which is dependent on the effective management of our cash conversion cycle. Our cash conversion cycle measures how quickly we can convert our products into cash through sales. The cash conversion cycles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29, 2017</w:t>
            </w: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December 30, 2016</w:t>
            </w:r>
          </w:p>
        </w:tc>
      </w:tr>
      <w:tr>
        <w:trPr>
          <w:trHeight w:val="250"/>
        </w:trPr>
        <w:tc>
          <w:tcPr>
            <w:tcW w:w="8340" w:type="dxa"/>
            <w:vAlign w:val="bottom"/>
          </w:tcPr>
          <w:p>
            <w:pPr>
              <w:spacing w:after="0"/>
              <w:rPr>
                <w:sz w:val="21"/>
                <w:szCs w:val="21"/>
                <w:color w:val="auto"/>
              </w:rPr>
            </w:pPr>
          </w:p>
        </w:tc>
        <w:tc>
          <w:tcPr>
            <w:tcW w:w="3080" w:type="dxa"/>
            <w:vAlign w:val="bottom"/>
            <w:gridSpan w:val="3"/>
          </w:tcPr>
          <w:p>
            <w:pPr>
              <w:jc w:val="right"/>
              <w:ind w:right="1201"/>
              <w:spacing w:after="0"/>
              <w:rPr>
                <w:sz w:val="20"/>
                <w:szCs w:val="20"/>
                <w:color w:val="auto"/>
              </w:rPr>
            </w:pPr>
            <w:r>
              <w:rPr>
                <w:rFonts w:ascii="Arial" w:cs="Arial" w:eastAsia="Arial" w:hAnsi="Arial"/>
                <w:sz w:val="14"/>
                <w:szCs w:val="14"/>
                <w:i w:val="1"/>
                <w:iCs w:val="1"/>
                <w:color w:val="auto"/>
              </w:rPr>
              <w:t>(in days)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jc w:val="both"/>
        <w:ind w:right="520" w:firstLine="324"/>
        <w:spacing w:after="0" w:line="286" w:lineRule="auto"/>
        <w:rPr>
          <w:sz w:val="20"/>
          <w:szCs w:val="20"/>
          <w:color w:val="auto"/>
        </w:rPr>
      </w:pPr>
      <w:r>
        <w:rPr>
          <w:rFonts w:ascii="Arial" w:cs="Arial" w:eastAsia="Arial" w:hAnsi="Arial"/>
          <w:sz w:val="17"/>
          <w:szCs w:val="17"/>
          <w:color w:val="auto"/>
        </w:rPr>
        <w:t>For the six months ended December 29, 2017, DSO decreased by 3 days over the prior year, primarily reflecting routine variations in the timing of customer receipts. DIO increased by 6 days over the prior year, primarily reflecting short-term build-up of inventory to support expected demand. DPO primarily reflects routine variations in timing of purchases and payments and remained consistent over the prior year.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for the six months ended December 29, 2017 primarily consisted of $416 million of capital expenditures, a net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$509 million increase in notes receivable issuances to Flash Ventures, and $99 million for acquisitions. Net cash used in investing activities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30, 2016 primarily consisted of $330 million of capital expenditures and a $70 million net increase in notes receivable issuances to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Flash Ventures.</w:t>
      </w:r>
    </w:p>
    <w:p>
      <w:pPr>
        <w:spacing w:after="0" w:line="21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financing activities for the six months ended December 29, 2017 primarily consisted of $4.11 billion in debt repayments and</w:t>
      </w:r>
    </w:p>
    <w:p>
      <w:pPr>
        <w:spacing w:after="0" w:line="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$295 million to pay dividends on our common stock, partially offset by proceeds of $2.96 billion from debt issuances, a net $32 million in employee stock plans, and $28 million from the settlement of debt hedge contracts. Net cash used in financing activities for the six months ended December 30, 2016 consisted of $8.25 billion to repay debt, and $284 million to pay dividends on our common stock, partially offset by $3.99 billion of proceeds from debt, net of issuance costs, $61 million of proceeds from call options, and a net $106 million provided by employee stock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8"/>
          <w:szCs w:val="18"/>
          <w:color w:val="auto"/>
        </w:rPr>
        <w:t xml:space="preserve">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8,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December 29,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(2019-</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6 months of 2018)</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2022)</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7,698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jc w:val="both"/>
        <w:ind w:right="520" w:firstLine="324"/>
        <w:spacing w:after="0" w:line="221" w:lineRule="exact"/>
        <w:rPr>
          <w:sz w:val="20"/>
          <w:szCs w:val="20"/>
          <w:color w:val="auto"/>
        </w:rPr>
      </w:pPr>
      <w:r>
        <w:rPr>
          <w:rFonts w:ascii="Arial" w:cs="Arial" w:eastAsia="Arial" w:hAnsi="Arial"/>
          <w:sz w:val="17"/>
          <w:szCs w:val="17"/>
          <w:color w:val="auto"/>
        </w:rPr>
        <w:t xml:space="preserve">See Part I, Item 1,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information regarding our indebtedness, including information about new borrowings and repayments, increased availability under our revolving credit facility and the principal repayment terms, interest rates, covenants and other key terms of our outstanding indebtedness.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420" w:firstLine="324"/>
        <w:spacing w:after="0" w:line="220" w:lineRule="exact"/>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 Item 1,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60" w:firstLine="324"/>
        <w:spacing w:after="0" w:line="218" w:lineRule="exact"/>
        <w:rPr>
          <w:sz w:val="20"/>
          <w:szCs w:val="20"/>
          <w:color w:val="auto"/>
        </w:rPr>
      </w:pPr>
      <w:r>
        <w:rPr>
          <w:rFonts w:ascii="Arial" w:cs="Arial" w:eastAsia="Arial" w:hAnsi="Arial"/>
          <w:sz w:val="16"/>
          <w:szCs w:val="16"/>
          <w:color w:val="auto"/>
        </w:rPr>
        <w:t xml:space="preserve">Flash Ventures sells and leases back from a consortium of financial institutions a portion of its tools and has entered into equipment lease agreements of which we guarantee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December 29, 2017, we were in compliance with all covenants under these Japanese lease facilities. See Part I, Item 1, Note 8,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information regarding Flash Ventures.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5,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Repatriation Tax</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is a summary of our estimated provisional mandatory deemed repatriation tax obligations which are payable in the following fiscal years ending (in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2020</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2, 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1, 2022</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June 28, 2024</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27, 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r>
      <w:tr>
        <w:trPr>
          <w:trHeight w:val="237"/>
        </w:trPr>
        <w:tc>
          <w:tcPr>
            <w:tcW w:w="9920" w:type="dxa"/>
            <w:vAlign w:val="bottom"/>
          </w:tcPr>
          <w:p>
            <w:pPr>
              <w:ind w:left="20"/>
              <w:spacing w:after="0"/>
              <w:rPr>
                <w:sz w:val="20"/>
                <w:szCs w:val="20"/>
                <w:color w:val="auto"/>
              </w:rPr>
            </w:pPr>
            <w:r>
              <w:rPr>
                <w:rFonts w:ascii="Arial" w:cs="Arial" w:eastAsia="Arial" w:hAnsi="Arial"/>
                <w:sz w:val="16"/>
                <w:szCs w:val="16"/>
                <w:color w:val="auto"/>
              </w:rPr>
              <w:t>July 3, 2026</w:t>
            </w:r>
          </w:p>
        </w:tc>
        <w:tc>
          <w:tcPr>
            <w:tcW w:w="5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414</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1,657</w:t>
            </w: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The 2017 Act allows for the provisional mandatory deemed repatriation tax of $1.66 billion to be payable over an 8-year period without interest. The payments are due with 8% of the tax to be paid in each of the first five years, 15% in the 6th year, 20% in the 7th year, and 25% in the 8th year. For additional information regarding our provisional estimate of the total tax liability for the mandatory repatriation tax, see Part I, Item 1, Note 10,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ind w:right="40" w:firstLine="324"/>
        <w:spacing w:after="0" w:line="291" w:lineRule="auto"/>
        <w:rPr>
          <w:sz w:val="20"/>
          <w:szCs w:val="20"/>
          <w:color w:val="auto"/>
        </w:rPr>
      </w:pPr>
      <w:r>
        <w:rPr>
          <w:rFonts w:ascii="Arial" w:cs="Arial" w:eastAsia="Arial" w:hAnsi="Arial"/>
          <w:sz w:val="16"/>
          <w:szCs w:val="16"/>
          <w:color w:val="auto"/>
        </w:rPr>
        <w:t>As of December 29, 2017, the liability for unrecognized tax benefits (excluding accrued interest and penalties) was approximately $529 million. Accrued interest and penalties related to unrecognized tax benefits as of December 29, 2017 was approximately $94 million. Of these amounts, approximately</w:t>
      </w:r>
    </w:p>
    <w:p>
      <w:pPr>
        <w:ind w:right="160"/>
        <w:spacing w:after="0" w:line="216" w:lineRule="exact"/>
        <w:rPr>
          <w:sz w:val="20"/>
          <w:szCs w:val="20"/>
          <w:color w:val="auto"/>
        </w:rPr>
      </w:pPr>
      <w:r>
        <w:rPr>
          <w:rFonts w:ascii="Arial" w:cs="Arial" w:eastAsia="Arial" w:hAnsi="Arial"/>
          <w:sz w:val="18"/>
          <w:szCs w:val="18"/>
          <w:color w:val="auto"/>
        </w:rPr>
        <w:t xml:space="preserve">$502 million could result in potential cash payments. We are not able to provide a reasonable estimate of the timing of future tax payments related to these obligations. For additional information regarding our total tax liability for unrecognized tax benefits, see Part I, Item 1, Note 10,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Since the first quarter of 2013, we have issued a quarterly cash dividend. On November 1, 2017, we declared a cash dividend of $0.50 per share of our common stock to our shareholders of record as of December 29, 2017. The cash dividend of $149 million was paid on January 16, 2018.</w:t>
      </w:r>
    </w:p>
    <w:p>
      <w:pPr>
        <w:spacing w:after="0" w:line="12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January 27, 2018, we declared a cash dividend of $0.50 per share of our common stock to our shareholders of record as of March 30, 2018, which will be paid on April 16, 2018. We may modify, suspend, or cancel our cash dividend policy in any manner and at any time.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August 2017, the Financial Accounting Standards Board ("FASB") issued Accounting Standards Update (“ASU”) No. 2017-12, “Derivatives and Hedging (Topic 815): Targeted Improvements to Accounting for Hedging Activities (“ASU 2017-12”). ASU 2017-12 </w:t>
      </w:r>
      <w:r>
        <w:rPr>
          <w:rFonts w:ascii="Arial" w:cs="Arial" w:eastAsia="Arial" w:hAnsi="Arial"/>
          <w:sz w:val="18"/>
          <w:szCs w:val="18"/>
          <w:color w:val="252525"/>
        </w:rPr>
        <w:t>simplifies hedge accounting through</w:t>
      </w:r>
      <w:r>
        <w:rPr>
          <w:rFonts w:ascii="Arial" w:cs="Arial" w:eastAsia="Arial" w:hAnsi="Arial"/>
          <w:sz w:val="18"/>
          <w:szCs w:val="18"/>
          <w:color w:val="auto"/>
        </w:rPr>
        <w:t xml:space="preserve"> </w:t>
      </w:r>
      <w:r>
        <w:rPr>
          <w:rFonts w:ascii="Arial" w:cs="Arial" w:eastAsia="Arial" w:hAnsi="Arial"/>
          <w:sz w:val="18"/>
          <w:szCs w:val="18"/>
          <w:color w:val="252525"/>
        </w:rPr>
        <w:t xml:space="preserve">changes to both designation and measurement requirements. For hedges that qualify as highly effective, the new standard eliminates the requirement to separately measure and record hedge ineffectiveness, resulting in better alignment between the presentation of the effects of the hedging instrument and the hedged item in the financial statements. </w:t>
      </w:r>
      <w:r>
        <w:rPr>
          <w:rFonts w:ascii="Arial" w:cs="Arial" w:eastAsia="Arial" w:hAnsi="Arial"/>
          <w:sz w:val="18"/>
          <w:szCs w:val="18"/>
          <w:color w:val="000000"/>
        </w:rPr>
        <w:t>ASU 2017-12</w:t>
      </w:r>
      <w:r>
        <w:rPr>
          <w:rFonts w:ascii="Arial" w:cs="Arial" w:eastAsia="Arial" w:hAnsi="Arial"/>
          <w:sz w:val="18"/>
          <w:szCs w:val="18"/>
          <w:color w:val="252525"/>
        </w:rPr>
        <w:t xml:space="preserve"> is effective for fiscal years beginning after December 15, 2018, including interim periods within those fiscal years. Early adoption is permitted in any interim period after issuance of the update. </w:t>
      </w:r>
      <w:r>
        <w:rPr>
          <w:rFonts w:ascii="Arial" w:cs="Arial" w:eastAsia="Arial" w:hAnsi="Arial"/>
          <w:sz w:val="18"/>
          <w:szCs w:val="18"/>
          <w:color w:val="000000"/>
        </w:rPr>
        <w:t>We are currently evaluating the impact this update will have on our</w:t>
      </w:r>
      <w:r>
        <w:rPr>
          <w:rFonts w:ascii="Arial" w:cs="Arial" w:eastAsia="Arial" w:hAnsi="Arial"/>
          <w:sz w:val="18"/>
          <w:szCs w:val="18"/>
          <w:color w:val="252525"/>
        </w:rPr>
        <w:t xml:space="preserve"> </w:t>
      </w:r>
      <w:r>
        <w:rPr>
          <w:rFonts w:ascii="Arial" w:cs="Arial" w:eastAsia="Arial" w:hAnsi="Arial"/>
          <w:sz w:val="18"/>
          <w:szCs w:val="18"/>
          <w:color w:val="000000"/>
        </w:rPr>
        <w:t>Consolidated Financial Statements.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This ASU is effective prospectively for annual periods beginning after December 15, 2017, which for us is the first quarter of 2019. Early adoption is permitted within the first interim period. The adoption of this standard is not expected to have a material impact on our Consolidated Financial Statements.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2017-07”).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new standard is effective for fiscal years beginning after December 15, 2017, which for us is the first quarter of 2019. Early adoption is permitted within the first interim period. We are currently evaluating the impact ASU 2017-07 will have on our Consolidated Financial Statements.</w:t>
      </w:r>
    </w:p>
    <w:p>
      <w:pPr>
        <w:spacing w:after="0" w:line="19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February 2017, the FASB issued ASU No. 2017-05, “Other Income-Gains and Losses from the Derecognition of Nonfinancial Assets (Subtopic 610-20): Clarifying the Scope of Asset Derecognition Guidance and Accounting for Partial Sales of Nonfinancial Assets” (“ASU 2017-05”). ASU 2017-05 clarifies the scope and application of Accounting Standards Codification (“ASC”) 610-20 on the sale or transfer of nonfinancial assets, including real estate, and in substance nonfinancial assets to noncustomers, including partial sales. An entity should identify each distinct nonfinancial asset or in substance nonfinancial asset promised to a counterparty and derecognize each asset when a counterparty obtains control of the related asset. The ASU also clarifies that an in substance nonfinancial asset is an asset or group of assets for which substantially all of the fair value consists of nonfinancial assets and the group or subsidiary is not a business. In addition, the amendment requires an entity to derecognize a distinct nonfinancial asset or in substance nonfinancial asset in a partial sale transaction when the entity does not retain a controlling financial interest in the legal entity that holds the asset and an entity transfers control of the asset. Once control is transferred, any non-controlling interest received is required to be measured at fair value. The effective date of the new standard is aligned with the requirements in the new revenue standard ASU No. 2014-09, which for us is the first quarter of 2019. The Company is in the process of evaluating the impact that adoption of this guidance may have on our Consolidated Financial Statements.</w:t>
      </w:r>
    </w:p>
    <w:p>
      <w:pPr>
        <w:spacing w:after="0" w:line="17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(“ASU 2017-04”). ASU 2017-04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The new standard is effective for goodwill impairment tests in fiscal years beginning after December 15, 2019, which for us is the first quarter of 2021. Early adoption is permitted for goodwill impairment tests performed after January 1, 2017. The adoption of this standard is not expected to have a material impact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new standard is effective for fiscal years beginning after December 15, 2017, which for us is the first quarter of 2019. The new standard must be applied prospectively to transactions occurring within the period of adoption. The adoption of this standard is not expected to have a material impact on our Consolidated Financial Statements.</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October 2016, the FASB issued ASU No. 2016-16, “Income Taxes (Topic 740): Intra-Entity Transfers of Assets Other Than Inventory” (“ASU 2016-16”). ASU 2016-16 removes the prohibition in the FASB Accounting Standards Codification (“ASC”) Topic 740 against the immediate recognition of the current and deferred income tax effects of intra-entity transfers of assets other than inventory. The new standard is intended to reduce the complexity of accounting principles generally accepted in the United States (“U.S. GAAP”) and diversity in practice related to the tax consequences of certain types of intra-entity asset transfers, particularly those involving IP. The new standard is effective for fiscal years beginning after December 15, 2017, which for us is the first quarter of 2019. Early adoption is permitted. We are currently evaluating the impact ASU 2016-16 will have on our Consolidated Financial Statements.</w:t>
      </w:r>
    </w:p>
    <w:p>
      <w:pPr>
        <w:spacing w:after="0" w:line="18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us is the first quarter of 2021. We are currently evaluating the impact this update will have on our Consolidated Financial Statements.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w:t>
      </w:r>
      <w:r>
        <w:rPr>
          <w:rFonts w:ascii="Arial" w:cs="Arial" w:eastAsia="Arial" w:hAnsi="Arial"/>
          <w:sz w:val="17"/>
          <w:szCs w:val="17"/>
          <w:color w:val="auto"/>
        </w:rPr>
        <w:t>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Currently, lessees and lessors must apply a modified retrospective transition approach for leases existing at, or entered into after, the beginning of the earliest comparative period presented in the financial statements. However, the FASB issued a proposal pending resolution that would allow entities to apply the provisions of ASC 842 at the effective date without adjusting comparative periods. The amendments are effective for interim and annual reporting periods beginning after December 15, 2018, with early adoption permitted. We are also in the process of identifying changes to our processes, internal controls and systems configurations that would result from the new lease standard. Our implementation efforts are progressing as planned. We expect to adopt this standard in the first quarter of 2020. We continue to evaluate the impact ASU 2016-02 will have on our Consolidated Financial Statements.</w:t>
      </w:r>
    </w:p>
    <w:p>
      <w:pPr>
        <w:spacing w:after="0" w:line="18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including the requirement to measure certain equity investments at fair value with changes in fair value recognized in net income.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We are currently evaluating the impact ASU 2016-01 will have on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(Topic 606)” (“ASC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standard is effective beginning the first quarter of fiscal 2019, with early adoption permitted. The standard may be applied retrospectively to all prior periods presented (“full retrospective method”), or retrospectively with the cumulative effect of initially applying the guidance recognized at the date of initial application (“modified retrospective method”). Based on our preliminary plan, we intend to adopt the new standard beginning with the first quarter of 2019 using the modified retrospective method; however, we continue to assess this in connection with our entire project plan.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the implementation of the new standard to impact the recognition of our revenue as follows:</w:t>
      </w:r>
    </w:p>
    <w:p>
      <w:pPr>
        <w:spacing w:after="0" w:line="225" w:lineRule="exact"/>
        <w:rPr>
          <w:sz w:val="20"/>
          <w:szCs w:val="20"/>
          <w:color w:val="auto"/>
        </w:rPr>
      </w:pPr>
    </w:p>
    <w:p>
      <w:pPr>
        <w:ind w:left="660" w:right="3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17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 which we do not expect to be material.</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software and IP licenses, we are still assessing the impact and timing to revenue from the implementation of the new standard. However, we do not currently expect the new standard to have a material impact on our revenue for these types of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revenue disclosures are expected to expand and may require judgment in certain areas.</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As we are completing our assessment, we are also identifying and preparing to implement changes to our processes, internal controls and systems configurations from the implementation of the new revenue standard. We do not currently expect any significant changes to our other accounting policies from the adoption of the new revenue standard. Our implementation efforts are progressing as planned.</w:t>
      </w:r>
    </w:p>
    <w:p>
      <w:pPr>
        <w:spacing w:after="0" w:line="181" w:lineRule="exact"/>
        <w:rPr>
          <w:sz w:val="20"/>
          <w:szCs w:val="20"/>
          <w:color w:val="auto"/>
        </w:rPr>
      </w:pPr>
    </w:p>
    <w:p>
      <w:pPr>
        <w:jc w:val="both"/>
        <w:ind w:right="120" w:firstLine="324"/>
        <w:spacing w:after="0" w:line="221" w:lineRule="exact"/>
        <w:rPr>
          <w:sz w:val="20"/>
          <w:szCs w:val="20"/>
          <w:color w:val="auto"/>
        </w:rPr>
      </w:pPr>
      <w:r>
        <w:rPr>
          <w:rFonts w:ascii="Arial" w:cs="Arial" w:eastAsia="Arial" w:hAnsi="Arial"/>
          <w:sz w:val="18"/>
          <w:szCs w:val="18"/>
          <w:color w:val="auto"/>
        </w:rPr>
        <w:t xml:space="preserve">For a description of recently adopted accounting pronouncements, including the respective dates of adoption and effects on our results of operations and financial condition, see Part I, Item 1, Note 2,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1" w:lineRule="exact"/>
        <w:rPr>
          <w:sz w:val="20"/>
          <w:szCs w:val="20"/>
          <w:color w:val="auto"/>
        </w:rPr>
      </w:pPr>
    </w:p>
    <w:p>
      <w:pPr>
        <w:ind w:right="100" w:firstLine="324"/>
        <w:spacing w:after="0" w:line="221"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our fiscal year ended June 30, 2017.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 for a discussion of our critical accounting policies and estimates.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December 29, 2017,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would be largely offset in other income (expense) by corresponding changes in the fair values of the foreign currency denominated monetary assets and liabilities.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Mark to Market</w:t>
            </w:r>
          </w:p>
        </w:tc>
        <w:tc>
          <w:tcPr>
            <w:tcW w:w="0" w:type="dxa"/>
            <w:vAlign w:val="bottom"/>
          </w:tcPr>
          <w:p>
            <w:pPr>
              <w:spacing w:after="0"/>
              <w:rPr>
                <w:sz w:val="1"/>
                <w:szCs w:val="1"/>
                <w:color w:val="auto"/>
              </w:rPr>
            </w:pPr>
          </w:p>
        </w:tc>
      </w:tr>
      <w:tr>
        <w:trPr>
          <w:trHeight w:val="149"/>
        </w:trPr>
        <w:tc>
          <w:tcPr>
            <w:tcW w:w="6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Designated Hedges (cash flow hedges)</w:t>
            </w:r>
          </w:p>
        </w:tc>
        <w:tc>
          <w:tcPr>
            <w:tcW w:w="160" w:type="dxa"/>
            <w:vAlign w:val="bottom"/>
          </w:tcPr>
          <w:p>
            <w:pPr>
              <w:spacing w:after="0"/>
              <w:rPr>
                <w:sz w:val="12"/>
                <w:szCs w:val="12"/>
                <w:color w:val="auto"/>
              </w:rPr>
            </w:pPr>
          </w:p>
        </w:tc>
        <w:tc>
          <w:tcPr>
            <w:tcW w:w="13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Contract Amount</w:t>
            </w:r>
          </w:p>
        </w:tc>
        <w:tc>
          <w:tcPr>
            <w:tcW w:w="1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Unrealized Gain</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20" w:type="dxa"/>
            <w:vAlign w:val="bottom"/>
            <w:gridSpan w:val="6"/>
          </w:tcPr>
          <w:p>
            <w:pPr>
              <w:jc w:val="center"/>
              <w:ind w:right="120"/>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426</w:t>
            </w:r>
          </w:p>
        </w:tc>
        <w:tc>
          <w:tcPr>
            <w:tcW w:w="17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111.39</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Malaysian ringgit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96</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4.17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7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51.18</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Singapore dollar</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17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32.77</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Total 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690</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Non-Designated Hedges</w:t>
            </w:r>
          </w:p>
        </w:tc>
        <w:tc>
          <w:tcPr>
            <w:tcW w:w="160" w:type="dxa"/>
            <w:vAlign w:val="bottom"/>
          </w:tcPr>
          <w:p>
            <w:pPr>
              <w:spacing w:after="0"/>
              <w:rPr>
                <w:sz w:val="24"/>
                <w:szCs w:val="24"/>
                <w:color w:val="auto"/>
              </w:rPr>
            </w:pPr>
          </w:p>
        </w:tc>
        <w:tc>
          <w:tcPr>
            <w:tcW w:w="13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6"/>
              </w:rPr>
              <w:t>Contract Amount</w:t>
            </w:r>
          </w:p>
        </w:tc>
        <w:tc>
          <w:tcPr>
            <w:tcW w:w="1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20" w:type="dxa"/>
            <w:vAlign w:val="bottom"/>
            <w:gridSpan w:val="6"/>
          </w:tcPr>
          <w:p>
            <w:pPr>
              <w:ind w:left="680"/>
              <w:spacing w:after="0"/>
              <w:rPr>
                <w:sz w:val="20"/>
                <w:szCs w:val="20"/>
                <w:color w:val="auto"/>
              </w:rPr>
            </w:pPr>
            <w:r>
              <w:rPr>
                <w:rFonts w:ascii="Arial" w:cs="Arial" w:eastAsia="Arial" w:hAnsi="Arial"/>
                <w:sz w:val="14"/>
                <w:szCs w:val="14"/>
                <w:i w:val="1"/>
                <w:iCs w:val="1"/>
                <w:color w:val="auto"/>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British pound sterling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0.74</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0.84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1,273</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112.11</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Malaysian ringgit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78</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50.19</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Singapore dollar</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280</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32.63</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Total non-designated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1,884</w:t>
            </w:r>
          </w:p>
        </w:tc>
        <w:tc>
          <w:tcPr>
            <w:tcW w:w="17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three and six months ended December 29, 2017 and December 30, 2016, total net realized transaction and foreign exchange contract currency gains and losses were not material to our Condensed Consolidated Financial Statements.</w:t>
      </w:r>
    </w:p>
    <w:p>
      <w:pPr>
        <w:spacing w:after="0" w:line="170"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Borrowings under our Term Loan A and our revolving credit facility bear interest at a rate per annum, at our option, of either an adjusted London Interbank Offered Rate (“LIBOR”) (subject to a 0.0% floor) plus an applicable margin of 1.75% or at a base rate plus an applicable margin of 0.75% (3.32% as of December 29, 2017). The applicable margin for the borrowings under our Term Loan A and our revolving credit facility will range, depending on our leverage, from 1.50% to 2.25% for LIBOR loans and from 0.50% to 1.25% for base rate loans.</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Borrowings under the U.S. Term Loan B-3 tranche bear interest at a rate per annum, at our option, of an adjusted LIBOR, subject to a 0.00% floor, plus 2.00% or a base rate plus 1.00% (3.57% as of December 29, 2017).</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generally held a balance of fixed and variable rate debt. At December 29, 2017, 57% of the par value of our debt was at variable rates. To balance the portfolio, we entered into a pay-fixed interest rate swap on $1.00 billion notional amount, which effectively converts a portion of our term loan to fixed rates through May 2020. As of December 29, 2017, we had $6.98 billion of variable rate debt. After giving effect to the $1.00 billion of interest rate swaps, we effectively had $5.98 billion of long-term debt subject to variations in interest rates and a one percent increase in the variable rate of interest, subject to each loan’s specific floor, would increase annual interest expense by $60 million.</w:t>
      </w:r>
    </w:p>
    <w:p>
      <w:pPr>
        <w:spacing w:after="0" w:line="173" w:lineRule="exact"/>
        <w:rPr>
          <w:sz w:val="20"/>
          <w:szCs w:val="20"/>
          <w:color w:val="auto"/>
        </w:rPr>
      </w:pPr>
    </w:p>
    <w:p>
      <w:pPr>
        <w:ind w:right="40" w:firstLine="324"/>
        <w:spacing w:after="0" w:line="221" w:lineRule="exact"/>
        <w:rPr>
          <w:sz w:val="20"/>
          <w:szCs w:val="20"/>
          <w:color w:val="auto"/>
        </w:rPr>
      </w:pPr>
      <w:r>
        <w:rPr>
          <w:rFonts w:ascii="Arial" w:cs="Arial" w:eastAsia="Arial" w:hAnsi="Arial"/>
          <w:sz w:val="18"/>
          <w:szCs w:val="18"/>
          <w:color w:val="auto"/>
        </w:rPr>
        <w:t xml:space="preserve">For additional information regarding our term loans and our interest rate swaps, see Part I, Item 1,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the Condensed Consolidated Financial Statements included in this quarterly report on Form 10-Q and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to the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required by Rule 13a-15(b) promulgated by the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has materially affected, or is reasonably likely to materially affect, our internal control over financial reporting.</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 processes. The gradual implementation is expected to occur in phases over the next several years. We have completed the implementation of certain processes, including the consolidation process,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5" w:right="2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risks and uncertainties discussed below update and supersede the risks and uncertainties previously disclosed in Part II, Item 1A of our Quarterly Report on Form 10-Q for the quarterly period ended September 29, 2017. Other than the changes to the risk factors below titled, </w:t>
      </w:r>
      <w:r>
        <w:rPr>
          <w:rFonts w:ascii="Arial" w:cs="Arial" w:eastAsia="Arial" w:hAnsi="Arial"/>
          <w:sz w:val="16"/>
          <w:szCs w:val="16"/>
          <w:i w:val="1"/>
          <w:iCs w:val="1"/>
          <w:color w:val="auto"/>
        </w:rPr>
        <w:t>“We rely substantially on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ventures with Toshiba’s wholly owned subsidiary, Toshiba Memory Corporation (“TMC”), for the supply of NAND-flash memory and the development of NAND-flash technology, which subjects us to risks and uncertainties that could harm our business, financial condition and operating results,” “If we are unable to successfully integrate the systems and operations of HGST, our business and financial condition may be adversely affected,” and “Changes in tax laws could increase our worldwide tax rate and materially affect our financial position and results of operations,” </w:t>
      </w:r>
      <w:r>
        <w:rPr>
          <w:rFonts w:ascii="Arial" w:cs="Arial" w:eastAsia="Arial" w:hAnsi="Arial"/>
          <w:sz w:val="16"/>
          <w:szCs w:val="16"/>
          <w:color w:val="auto"/>
        </w:rPr>
        <w:t>we do not believe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changes constitute material changes to the risk factors previously disclosed in such prior Quarterly Report on Form 10-Q.</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2016 referendum by British voters to exit the European Union, commonly referred to as “Brexit,” and changes to policies, rules and regulations which may be proposed or implemented by the U.S. President and his administration. Some of the risks and uncertainties we face as a result of these conditions include the following:</w:t>
      </w:r>
    </w:p>
    <w:p>
      <w:pPr>
        <w:spacing w:after="0" w:line="189" w:lineRule="exact"/>
        <w:rPr>
          <w:sz w:val="20"/>
          <w:szCs w:val="20"/>
          <w:color w:val="auto"/>
        </w:rPr>
      </w:pPr>
    </w:p>
    <w:p>
      <w:pPr>
        <w:ind w:left="660" w:hanging="328"/>
        <w:spacing w:after="0" w:line="29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64" w:lineRule="exact"/>
        <w:rPr>
          <w:rFonts w:ascii="Arial" w:cs="Arial" w:eastAsia="Arial" w:hAnsi="Arial"/>
          <w:sz w:val="16"/>
          <w:szCs w:val="16"/>
          <w:color w:val="auto"/>
        </w:rPr>
      </w:pPr>
    </w:p>
    <w:p>
      <w:pPr>
        <w:ind w:left="660" w:right="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seek to mitigate our credit risk from time to time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178" w:lineRule="exact"/>
        <w:rPr>
          <w:rFonts w:ascii="Arial" w:cs="Arial" w:eastAsia="Arial" w:hAnsi="Arial"/>
          <w:sz w:val="17"/>
          <w:szCs w:val="17"/>
          <w:color w:val="auto"/>
        </w:rPr>
      </w:pPr>
    </w:p>
    <w:p>
      <w:pPr>
        <w:ind w:left="660" w:right="14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93" w:lineRule="exact"/>
        <w:rPr>
          <w:sz w:val="20"/>
          <w:szCs w:val="20"/>
          <w:color w:val="auto"/>
        </w:rPr>
      </w:pPr>
    </w:p>
    <w:p>
      <w:pPr>
        <w:ind w:right="520" w:firstLine="162"/>
        <w:spacing w:after="0" w:line="264" w:lineRule="auto"/>
        <w:rPr>
          <w:sz w:val="20"/>
          <w:szCs w:val="20"/>
          <w:color w:val="auto"/>
        </w:rPr>
      </w:pPr>
      <w:r>
        <w:rPr>
          <w:rFonts w:ascii="Arial" w:cs="Arial" w:eastAsia="Arial" w:hAnsi="Arial"/>
          <w:sz w:val="18"/>
          <w:szCs w:val="18"/>
          <w:b w:val="1"/>
          <w:bCs w:val="1"/>
          <w:i w:val="1"/>
          <w:iCs w:val="1"/>
          <w:color w:val="auto"/>
        </w:rPr>
        <w:t>We rely substantially on our business ventures with Toshiba’s wholly owned subsidiary, Toshiba Memory Corporation (“TMC”), for the supply of NAND-flash memory and the development of NAND-flash technology, which subjects us to risks and uncertainties that could harm our business, financial condition and operating results.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dependent on our ventures with Toshiba’s wholly owned subsidiary, TMC, to develop and manufacture NAND-flash memory products for our NAND-flash memory supply, and therefore our business, financial condition and operating results, and our ability to realize the anticipated benefits from our acquisition of SanDisk Corporation (“SanDisk”) in May 2016, pursuant to an Agreement and Plan of Merger (the “Merger”), is dependent on the continued success of Flash Ventures.</w:t>
      </w:r>
    </w:p>
    <w:p>
      <w:pPr>
        <w:spacing w:after="0" w:line="18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majority of our NAND-flash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we partner with TMC on the development of NAND-flash technology, including the next technology transitions of NAND-flash, as well as other non-volatile memory technology in support of Flash Ventures.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These ventures are subject to various risks that could harm the value of our investments, our revenue and costs, our future rate of spending, our technology plans and our future growth opportunities. 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NAND-flash products outside of the Flash Ventures. The integration of SanDisk into our organization could complicate the process of reaching agreement with TMC in a timely and favorable manner. We may not always agree with TMC on our joint R&amp;D roadmap or expansions or conversions of production capacity. In addition, Toshiba’s financial position or TMC’s shift in strategic priorities could adversely impact our business.</w:t>
      </w:r>
    </w:p>
    <w:p>
      <w:pPr>
        <w:spacing w:after="0" w:line="16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In March 2017, Toshiba announced significant losses related to its U.S. nuclear business and, in connection with its fiscal year 2016 financial statements, Toshiba advised that there were material events and conditions that raise substantial doubt about its ability to continue as a going concern. Subsequently, in September 2017, Toshiba announced it had entered into a definitive agreement to sell TMC, including its interests in Flash Ventures, to a consortium led by SK Hynix Inc. and Bain Capital (the “Bain Consortium”) that includes other competitors, as well as key customers. We previously asserted our consent rights under the terms of the Flash Ventures agreements with respect to the transactions involving, among other things, the transfer by Toshiba of its interests in Flash Ventures to TMC and the proposed sale of TMC to the Bain Consortium. In December 2017, in connection with a global settlement agreement with Toshiba and TMC, we consented to the transfer of Toshiba’s interests in Flash Ventures to TMC and the sale of TMC to the Bain Consortium. If the Bain Consortium or another third party acquires any of Toshiba’s interests in Flash Ventures, it could lead to delays in decision-making, disputes, or changes in strategic direction that could adversely impact Flash Ventures and/or adversely affect our business prospects, results of operations and financial condition. The purchaser might not have the same interest that we do in protecting and growing Flash Ventures’ business and might have conflicts of interest between itself and Flash Ventures or us. To the extent Toshiba retains its interests in TMC, a failure by Toshiba to stabilize its financial condition could cause TMC to become unable to, or otherwise fail to, timely fund investments in Flash Ventures or our joint development efforts or fulfill its payment obligations to suppliers, which could harm Flash Ventures’ operations, our joint technology roadmap and supplier relationships. Reduced investment in manufacturing capacity or research and development, or other misalignment between us and Toshiba, TMC or a third party acquirer of TMC on strategic direction, could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175"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Flash Ventures requires significant investments by both TMC and us for technology transitions, including the transition to 3D NAND, and capacity expansions. Lease financings guaranteed by or on behalf of both TMC and us are not currently available to Flash Ventures on favorable terms and we are pursuing alternative forms of financing to fund our share of investments, which might not continue to be accessible. To the extent that lease financings for Flash Ventures are not available on favorable terms or at all, more cash would be required to fund investments. If TMC does not or we do not provide sufficient resources, or have adequate access to credit, to timely fund investments in Flash Ventures, our investments could be delayed or reduced.</w:t>
      </w:r>
    </w:p>
    <w:p>
      <w:pPr>
        <w:spacing w:after="0" w:line="15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announced by Toshiba, TMC plans to construct a new wafer fabrication facility in Iwate, Japan to provide additional cleanroom space for the manufacture of 3D NAND, with site preparation scheduled to begin in February 2018. Although we intend to enter into agreements with TMC in due course to participate in the new Iwate facility, there is no certainty as to when, and on what terms, we will do so. If we are unable to extend our partnership with TMC to the Iwate facility on favorable terms, our future supply of captive NAND-flash memory could be adversely impacted, which could adversely affect our long-term business and financial results.</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monitoring and evaluating other potential impacts of Toshiba’s planned sale of TMC and financial condition on Flash Ventures and, in turn, on our own memory business and financial condition. These factors could adversely affect the value of our investments in Flash Ventures and our business prospects,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b w:val="1"/>
          <w:bCs w:val="1"/>
          <w:i w:val="1"/>
          <w:iCs w:val="1"/>
          <w:color w:val="auto"/>
        </w:rPr>
        <w:t>Integrating SanDisk’s operations with ours may be more difficult, costly or time consuming than expected and the anticipated benefits, synergies and cost savings of the Merger may not be realized.</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success of our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9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coordinating and integrating independent R&amp;D and engineering teams across technologies and product platforms to enhance product development while reducing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transitioning to 3D NAND and future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obligations that we have to counterparties of SanDisk that arose as a result of the change in control of SanDisk;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25"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81"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December 29, 2017, our total indebtedness was $12.24 billion in aggregate principal, and we had $1.5 billion of additional borrowing availability under our revolving credit facility. On January 29, 2018, we announced the Refinancing Transactions, which remain subject to market and other conditions. After giving effect to the Refinancing Transactions, as of December 29, 2017 our total indebtedness would have been $11.3 billion in aggregate principal and we would have had $1.5 billion of additional borrowing availability under our revolving credit facility.</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125"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including through the Refinancing Transactions, may also require us to expense previous debt issuance costs or to incur new debt issuance costs.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NAND-flash memory is influenced by, among other factors, the balance between supply and demand, including the effects of new fab capacity in the industry, macroeconomic factors, business conditions, technology transitions, conversion of industry DRAM capacity to NAND, conversion of 2D NAND capacity to 3D NAND or other actions taken by us or our competitors. The price of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Additionally, some of our competitors may be able to use their broader portfolio of products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75"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significant sales seasonality and cyclicality, which could cause our operating results to fluctuate.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b w:val="1"/>
          <w:bCs w:val="1"/>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7" w:lineRule="exact"/>
        <w:rPr>
          <w:sz w:val="20"/>
          <w:szCs w:val="20"/>
          <w:color w:val="auto"/>
        </w:rPr>
      </w:pPr>
    </w:p>
    <w:p>
      <w:pPr>
        <w:ind w:left="660" w:right="4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19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77" w:lineRule="exact"/>
        <w:rPr>
          <w:rFonts w:ascii="Arial" w:cs="Arial" w:eastAsia="Arial" w:hAnsi="Arial"/>
          <w:sz w:val="17"/>
          <w:szCs w:val="17"/>
          <w:color w:val="auto"/>
        </w:rPr>
      </w:pPr>
    </w:p>
    <w:p>
      <w:pPr>
        <w:ind w:left="660" w:right="20" w:hanging="328"/>
        <w:spacing w:after="0" w:line="29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66"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(commonly referred to as “IoT”) or big data, could harm our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Deterioration in the PC market may continue or accelerate, which could cause our operating results to suffer.</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15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our product brands,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69"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 months ended December 29, 2017, 41.2%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HDDs, SSDs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TMC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178"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develop NAND-flash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78"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or future competitors may gain a technology advantage or develop an advantageous cost structure that we cannot match.</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Consolidation within the data storage industry could provide competitive advantages to our competitors.</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data storage industry as a whole has experienced consolidation over the past several years through acquisitions, mergers and decisions by industry players to exit the industry. Further consolidation across the industry, including by our competitors who are vertically integrated with NAND-flash memory, may enhance their capacity, abilities and resources and lower their cost structure, causing us to be at a competitive disadvantage.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Some of our competitors with diversified business units outside of storage products, may, over extended periods of time, sell storage products at prices that we cannot profitably match.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qualify our products and achieve design wins with our customers, it may have a significant adverse impact on our sales and margins.</w:t>
      </w:r>
    </w:p>
    <w:p>
      <w:pPr>
        <w:spacing w:after="0" w:line="24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169"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NAND-flash memory development and manufacturing. Please see the risk factor entitled “</w:t>
      </w:r>
      <w:r>
        <w:rPr>
          <w:rFonts w:ascii="Arial" w:cs="Arial" w:eastAsia="Arial" w:hAnsi="Arial"/>
          <w:sz w:val="16"/>
          <w:szCs w:val="16"/>
          <w:i w:val="1"/>
          <w:iCs w:val="1"/>
          <w:color w:val="auto"/>
        </w:rPr>
        <w:t>Because we are dependent on a limited number of qualified suppliers for 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the risks associated with our 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67" w:lineRule="exact"/>
        <w:rPr>
          <w:sz w:val="20"/>
          <w:szCs w:val="20"/>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Some of our suppliers may be competitors in other areas of our business, which could lead to difficulties in price negotiations or meeting our supply requirements. Any disruption in our supply chain could reduce our revenue and adversely impact our financial results.</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67"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Many of our products require preamps, controllers and firmware. We rely on a limited number of third-party vendors to develop or supply preamps and controllers for many of our products. Any delays or cost increases in developing or sourcing preamps, controllers or firmware, or incompatibility or quality issues relating to the controllers or firmware in our products, could harm our financial results as well as business relationships with our customers.</w:t>
      </w:r>
    </w:p>
    <w:p>
      <w:pPr>
        <w:spacing w:after="0" w:line="147"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178"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In addition to an external supply base, we also rely on an internal supply chain of heads, media and media substrate, and we rely on our business ventures with TMC for the supply of NAND-flash memory. Please see the risk factors entitled, “</w:t>
      </w:r>
      <w:r>
        <w:rPr>
          <w:rFonts w:ascii="Arial" w:cs="Arial" w:eastAsia="Arial" w:hAnsi="Arial"/>
          <w:sz w:val="17"/>
          <w:szCs w:val="17"/>
          <w:i w:val="1"/>
          <w:iCs w:val="1"/>
          <w:color w:val="auto"/>
        </w:rPr>
        <w:t>The substitution or replacement of our technologies and products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 technologies could make our products obsolete and harm our operating results,” “If we do not properly manage technology transitions, our competitiveness and operating results may be negatively affected,” “We rely substantially on our business ventures with Toshiba’s wholly owned subsidiary, Toshiba Memory Corporation (“TMC”), for the supply of NAND-flash memory and the development of NAND-flash technology, which subjects us to risks and uncertainties that could harm our business, financial condition and operating results” </w:t>
      </w:r>
      <w:r>
        <w:rPr>
          <w:rFonts w:ascii="Arial" w:cs="Arial" w:eastAsia="Arial" w:hAnsi="Arial"/>
          <w:sz w:val="17"/>
          <w:szCs w:val="17"/>
          <w:color w:val="auto"/>
        </w:rPr>
        <w:t>and</w:t>
      </w:r>
      <w:r>
        <w:rPr>
          <w:rFonts w:ascii="Arial" w:cs="Arial" w:eastAsia="Arial" w:hAnsi="Arial"/>
          <w:sz w:val="17"/>
          <w:szCs w:val="17"/>
          <w:i w:val="1"/>
          <w:iCs w:val="1"/>
          <w:color w:val="auto"/>
        </w:rPr>
        <w:t xml:space="preserve"> “Our strategic relationships subject us to risks that could adversely affect our business, financial condition and results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for a review of some of the risks related to these supplies.</w:t>
      </w:r>
    </w:p>
    <w:p>
      <w:pPr>
        <w:spacing w:after="0" w:line="211"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may negatively impact our operating results.</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NAND-flash memory,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6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b w:val="1"/>
          <w:bCs w:val="1"/>
          <w:i w:val="1"/>
          <w:iCs w:val="1"/>
          <w:color w:val="auto"/>
        </w:rPr>
        <w:t>Contractual commitments with component suppliers may result in us paying increased charges and cash advances for such components or may cause us to have inadequate or excess component inventory.</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NAND-flash memory producers or may not fall commensurate with declines in the price of NAND-flash memory, which would harm revenues, our gross margin and operating results.</w:t>
      </w:r>
    </w:p>
    <w:p>
      <w:pPr>
        <w:spacing w:after="0" w:line="178"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w:t>
      </w:r>
    </w:p>
    <w:p>
      <w:pPr>
        <w:ind w:right="300"/>
        <w:spacing w:after="0" w:line="253" w:lineRule="auto"/>
        <w:rPr>
          <w:sz w:val="20"/>
          <w:szCs w:val="20"/>
          <w:color w:val="auto"/>
        </w:rPr>
      </w:pPr>
      <w:r>
        <w:rPr>
          <w:rFonts w:ascii="Arial" w:cs="Arial" w:eastAsia="Arial" w:hAnsi="Arial"/>
          <w:sz w:val="18"/>
          <w:szCs w:val="18"/>
          <w:color w:val="auto"/>
        </w:rPr>
        <w:t>2D NAND to 3D NAND, could reduce the competitiveness and future revenue and profitability of our 2D NAND and 3D NAND-flash technologies. For additional technology transition risks related to 3D NAND, see “</w:t>
      </w:r>
      <w:r>
        <w:rPr>
          <w:rFonts w:ascii="Arial" w:cs="Arial" w:eastAsia="Arial" w:hAnsi="Arial"/>
          <w:sz w:val="18"/>
          <w:szCs w:val="18"/>
          <w:i w:val="1"/>
          <w:iCs w:val="1"/>
          <w:color w:val="auto"/>
        </w:rPr>
        <w:t>We rely substantially on our business ventures with Toshiba’s wholly owned subsidiary,</w:t>
      </w:r>
      <w:r>
        <w:rPr>
          <w:rFonts w:ascii="Arial" w:cs="Arial" w:eastAsia="Arial" w:hAnsi="Arial"/>
          <w:sz w:val="18"/>
          <w:szCs w:val="18"/>
          <w:color w:val="auto"/>
        </w:rPr>
        <w:t xml:space="preserve"> </w:t>
      </w:r>
      <w:r>
        <w:rPr>
          <w:rFonts w:ascii="Arial" w:cs="Arial" w:eastAsia="Arial" w:hAnsi="Arial"/>
          <w:sz w:val="18"/>
          <w:szCs w:val="18"/>
          <w:i w:val="1"/>
          <w:iCs w:val="1"/>
          <w:color w:val="auto"/>
        </w:rPr>
        <w:t>Toshiba Memory Corporation (“TMC”), for the supply of NAND-flash memory and the development of NAND-flash technology, which subjects us to risks and uncertainties that could harm our business, financial condition and operating results</w:t>
      </w:r>
      <w:r>
        <w:rPr>
          <w:rFonts w:ascii="Arial" w:cs="Arial" w:eastAsia="Arial" w:hAnsi="Arial"/>
          <w:sz w:val="18"/>
          <w:szCs w:val="18"/>
          <w:color w:val="auto"/>
        </w:rPr>
        <w:t>” 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w:t>
      </w:r>
    </w:p>
    <w:p>
      <w:pPr>
        <w:spacing w:after="0" w:line="19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our gross margin and operating results.</w:t>
      </w:r>
    </w:p>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product life cycles could adversely affect our financial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(“RAM”), resistive random-access memory (“ReRAM”) and phase change,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7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The difficulty of introducing hard drives with higher levels of areal density and the challenges of reducing other costs may impact our ability to achieve historical levels of cost reduction.</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225"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In particular, as part of our growth strategy, we have made significant investments in active archive systems, which are designed to enable organizations to rapidly access massive long-term data stores. We expect to continue to make significant investments in active archive systems. Our active archive systems may fail to gain market acceptance, or the market for active archive systems may not grow as we anticipate.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Additionally, we have announced our intention to transition future core, processor and controller development to the RISC-V architecture, which is an open source, data-centric compute architecture. There is no guarantee that this transition will be successful or that the expected benefits of such transition will be realized.</w:t>
      </w:r>
    </w:p>
    <w:p>
      <w:pPr>
        <w:spacing w:after="0" w:line="18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restrictions or higher tariffs and fees;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5" w:right="2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import and export restrictions and license and certification requirements, including on encryption technology, and complex customs regulations;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which may be proposed or implemented by the U.S. President and his administration.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Sudden disruptions to the availability of air transportation, or ocean or land freight lanes, could have an impact on our operations.</w:t>
      </w:r>
    </w:p>
    <w:p>
      <w:pPr>
        <w:spacing w:after="0" w:line="23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are unable to successfully integrate the systems and operations of HGST, our business and financial condition may be adversely affected.</w:t>
      </w:r>
    </w:p>
    <w:p>
      <w:pPr>
        <w:spacing w:after="0" w:line="2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In October 2015, MOFCOM announced that it had made a decision allowing us to integrate substantial portions of our HGST and WD subsidiaries, provided that we were obligated to continue offering both HGST and WD product brands and maintaining separate sales teams to separately offer products under the WD and HGST brands for two years from the date of the decision. As of December 29, 2017, the integration of the substantial portions of our HGST and WD subsidiaries that we were permitted to integrate as a result of MOFCOM’s 2015 decision (including corporate functions, R&amp;D, recording heads and magnetic media operations, engineering and manufacturing), were largely completed. However, certain financial and operational systems have not yet been integrated. The MOFCOM restrictions related to our HGST and WD product brands and sales teams expired in October 2017, which enabled us to begin integrating our sales teams and brands. While we combine our HGST and WD product brands and sales teams and integrate certain financial and operating systems, we will continue to incur additional costs. These additional costs, along with any delay in the integration process or higher than expected integration costs or other integration issues, could adversely affect our business and financial condition.</w:t>
      </w:r>
    </w:p>
    <w:p>
      <w:pPr>
        <w:spacing w:after="0" w:line="173"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10, </w:t>
      </w:r>
      <w:r>
        <w:rPr>
          <w:rFonts w:ascii="Arial" w:cs="Arial" w:eastAsia="Arial" w:hAnsi="Arial"/>
          <w:sz w:val="16"/>
          <w:szCs w:val="16"/>
          <w:i w:val="1"/>
          <w:iCs w:val="1"/>
          <w:color w:val="auto"/>
        </w:rPr>
        <w:t>Income Tax Expense (Benefit)</w:t>
      </w:r>
      <w:r>
        <w:rPr>
          <w:rFonts w:ascii="Arial" w:cs="Arial" w:eastAsia="Arial" w:hAnsi="Arial"/>
          <w:sz w:val="16"/>
          <w:szCs w:val="16"/>
          <w:color w:val="auto"/>
        </w:rPr>
        <w:t>, of the Notes to Condensed Consolidated Financial Statements included in this Quarterly Report on</w:t>
      </w:r>
    </w:p>
    <w:p>
      <w:pPr>
        <w:spacing w:after="0" w:line="2"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impacts our effective tax rate for fiscal year 2018 as a result of the deemed repatriation tax, and may impact several other elements of our operating model. In future years, certain additional provisions of the 2017 Act, such as a minimum tax on foreign earnings, will also apply to the Company and, as a result, the Company generally expects its effective tax rate to increase from the rate expected for fiscal year 2018 (excluding the mandatory deemed repatriation tax and the re-measurement of deferred taxes). Taxes due over a period of time as a result of the new tax law could be accelerated upon certain triggering events, including failure to pay such taxes when due. The new law makes broad and complex changes to the U.S. tax code and we expect to see future regulatory, administrative or legislative guidance. We are analyzing the 2017 Act to determine the full impact of the new tax law, and to the extent any future guidance differs from our preliminary interpretation of the law, it could have a material effect on our financial position and results of operations.</w:t>
      </w:r>
    </w:p>
    <w:p>
      <w:pPr>
        <w:spacing w:after="0" w:line="16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88"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(“EICC”), could cause an increase in our operating costs.</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EICC,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Conflict minerals regulations may cause us to incur additional expenses and could limit the supply and increase the cost of certain components and metals contained in our products.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As a result of these rules, we report annually regarding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22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most of which we and Toshiba each guarantee half of the total outstanding obligations and some of which we guarantee in full for our share of the Flash Ventures investment. As of December 29, 2017, the portion of outstanding Flash Ventures’ lease obligations covered by our guarantees totaled approximately $941 million, based upon the Japanese yen to U.S. dollar exchange rate at December 29, 2017.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could cause the market price for our common stock to decline.</w:t>
      </w:r>
    </w:p>
    <w:p>
      <w:pPr>
        <w:spacing w:after="0" w:line="24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NAND-flash memory from Flash Ventures and our investment in Flash Ventures are denominated in Japanese yen. If the Japanese yen appreciates against the U.S. dollar, our cost of purchasing NAND-flash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125"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NAND-flash memory, new technologies and technology transitions;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internal controls are found to be ineffective, our stock price may be adversely affected.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most recent evaluation resulted in our conclusion that as of June 30, 2017,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60" w:firstLine="8"/>
        <w:spacing w:after="0" w:line="281"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200" w:firstLine="8"/>
        <w:spacing w:after="0" w:line="261"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95" w:lineRule="exact"/>
        <w:rPr>
          <w:sz w:val="20"/>
          <w:szCs w:val="20"/>
          <w:color w:val="auto"/>
        </w:rPr>
      </w:pPr>
    </w:p>
    <w:p>
      <w:pPr>
        <w:ind w:left="48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9" w:lineRule="exact"/>
        <w:rPr>
          <w:sz w:val="20"/>
          <w:szCs w:val="20"/>
          <w:color w:val="auto"/>
        </w:rPr>
      </w:pPr>
    </w:p>
    <w:p>
      <w:pPr>
        <w:ind w:right="560"/>
        <w:spacing w:after="0" w:line="308" w:lineRule="auto"/>
        <w:rPr>
          <w:sz w:val="20"/>
          <w:szCs w:val="20"/>
          <w:color w:val="auto"/>
        </w:rPr>
      </w:pPr>
      <w:r>
        <w:rPr>
          <w:rFonts w:ascii="Arial" w:cs="Arial" w:eastAsia="Arial" w:hAnsi="Arial"/>
          <w:sz w:val="16"/>
          <w:szCs w:val="16"/>
          <w:color w:val="auto"/>
        </w:rPr>
        <w:t>Amended and Restated Certificate of Incorporation of Western Digital Corporation, as amended to date (Filed as Exhibit 3.1 to the Company’s Quarterly Report on Form 10-Q (File No. 1-08703) with the Securities and Exchange Commission on February 8, 2006)</w:t>
      </w:r>
    </w:p>
    <w:p>
      <w:pPr>
        <w:spacing w:after="0" w:line="1"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740" w:type="dxa"/>
            <w:vAlign w:val="bottom"/>
            <w:gridSpan w:val="5"/>
            <w:shd w:val="clear" w:color="auto" w:fill="CCEEFF"/>
          </w:tcPr>
          <w:p>
            <w:pPr>
              <w:jc w:val="center"/>
              <w:ind w:left="310"/>
              <w:spacing w:after="0" w:line="204"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4" w:lineRule="exact"/>
              <w:rPr>
                <w:sz w:val="20"/>
                <w:szCs w:val="20"/>
                <w:color w:val="auto"/>
              </w:rPr>
            </w:pPr>
            <w:r>
              <w:rPr>
                <w:rFonts w:ascii="Arial" w:cs="Arial" w:eastAsia="Arial" w:hAnsi="Arial"/>
                <w:sz w:val="18"/>
                <w:szCs w:val="18"/>
                <w:color w:val="auto"/>
                <w:w w:val="92"/>
              </w:rPr>
              <w:t>Amended and Restated By-Laws of Western Digital Corporation, as amended effective as of February 2, 2017 (Filed as Exhibit 3.2 to the</w:t>
            </w:r>
          </w:p>
        </w:tc>
      </w:tr>
      <w:tr>
        <w:trPr>
          <w:trHeight w:val="244"/>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7, 2017)</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3"/>
              </w:rPr>
              <w:t>Western Digital Corporation 2017 Performance Incentive Plan (Filed as Exhibit 10.1 to the Company’s Current Report on Form 8-K (File</w:t>
            </w: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No. 1-08703) with the Securities and Exchange Commission on November 3, 2017)*</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1080" w:type="dxa"/>
            <w:vAlign w:val="bottom"/>
            <w:gridSpan w:val="7"/>
            <w:shd w:val="clear" w:color="auto" w:fill="CCEEFF"/>
          </w:tcPr>
          <w:p>
            <w:pPr>
              <w:jc w:val="center"/>
              <w:spacing w:after="0" w:line="202" w:lineRule="exact"/>
              <w:rPr>
                <w:rFonts w:ascii="Arial" w:cs="Arial" w:eastAsia="Arial" w:hAnsi="Arial"/>
                <w:sz w:val="18"/>
                <w:szCs w:val="18"/>
                <w:color w:val="0000FF"/>
                <w:w w:val="87"/>
              </w:rPr>
            </w:pPr>
            <w:hyperlink w:anchor="page97">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1.1</w:t>
              </w:r>
            </w:hyperlink>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3"/>
              </w:rPr>
              <w:t>Form of Notice of Grant of Stock Option and Option Agreement – Executives, under the Western Digital Corporation 2017 Performance</w:t>
            </w:r>
          </w:p>
        </w:tc>
      </w:tr>
      <w:tr>
        <w:trPr>
          <w:trHeight w:val="244"/>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Incentive Plan†*</w:t>
            </w:r>
          </w:p>
        </w:tc>
      </w:tr>
      <w:tr>
        <w:trPr>
          <w:trHeight w:val="203"/>
        </w:trPr>
        <w:tc>
          <w:tcPr>
            <w:tcW w:w="1080" w:type="dxa"/>
            <w:vAlign w:val="bottom"/>
            <w:gridSpan w:val="7"/>
          </w:tcPr>
          <w:p>
            <w:pPr>
              <w:jc w:val="center"/>
              <w:spacing w:after="0" w:line="202" w:lineRule="exact"/>
              <w:rPr>
                <w:rFonts w:ascii="Arial" w:cs="Arial" w:eastAsia="Arial" w:hAnsi="Arial"/>
                <w:sz w:val="18"/>
                <w:szCs w:val="18"/>
                <w:color w:val="0000FF"/>
                <w:w w:val="87"/>
              </w:rPr>
            </w:pPr>
            <w:hyperlink w:anchor="page107">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1.2</w:t>
              </w:r>
            </w:hyperlink>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rPr>
              <w:t>Form of Notice of Grant of Stock Option and Option Agreement – Non-Executives, under the Western Digital Corporation 2017</w:t>
            </w:r>
          </w:p>
        </w:tc>
      </w:tr>
      <w:tr>
        <w:trPr>
          <w:trHeight w:val="237"/>
        </w:trPr>
        <w:tc>
          <w:tcPr>
            <w:tcW w:w="36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Performance Incentive Plan†*</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1080" w:type="dxa"/>
            <w:vAlign w:val="bottom"/>
            <w:gridSpan w:val="7"/>
            <w:shd w:val="clear" w:color="auto" w:fill="CCEEFF"/>
          </w:tcPr>
          <w:p>
            <w:pPr>
              <w:jc w:val="center"/>
              <w:spacing w:after="0" w:line="202" w:lineRule="exact"/>
              <w:rPr>
                <w:rFonts w:ascii="Arial" w:cs="Arial" w:eastAsia="Arial" w:hAnsi="Arial"/>
                <w:sz w:val="18"/>
                <w:szCs w:val="18"/>
                <w:color w:val="0000FF"/>
                <w:w w:val="87"/>
              </w:rPr>
            </w:pPr>
            <w:hyperlink w:anchor="page115">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1.3</w:t>
              </w:r>
            </w:hyperlink>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6"/>
              </w:rPr>
              <w:t>Form of Notice of Grant of Stock Units and Stock Unit Award Agreement – Executives, under the Western Digital Corporation 2017</w:t>
            </w:r>
          </w:p>
        </w:tc>
      </w:tr>
      <w:tr>
        <w:trPr>
          <w:trHeight w:val="244"/>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Performance Incentive Plan†*</w:t>
            </w:r>
          </w:p>
        </w:tc>
      </w:tr>
      <w:tr>
        <w:trPr>
          <w:trHeight w:val="203"/>
        </w:trPr>
        <w:tc>
          <w:tcPr>
            <w:tcW w:w="1080" w:type="dxa"/>
            <w:vAlign w:val="bottom"/>
            <w:gridSpan w:val="7"/>
          </w:tcPr>
          <w:p>
            <w:pPr>
              <w:jc w:val="center"/>
              <w:spacing w:after="0" w:line="202" w:lineRule="exact"/>
              <w:rPr>
                <w:rFonts w:ascii="Arial" w:cs="Arial" w:eastAsia="Arial" w:hAnsi="Arial"/>
                <w:sz w:val="18"/>
                <w:szCs w:val="18"/>
                <w:color w:val="0000FF"/>
                <w:w w:val="87"/>
              </w:rPr>
            </w:pPr>
            <w:hyperlink w:anchor="page123">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1.4</w:t>
              </w:r>
            </w:hyperlink>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6"/>
              </w:rPr>
              <w:t>Form of Notice of Grant of Stock Units and Stock Unit Award Agreement, under the Western Digital Corporation 2017 Performance</w:t>
            </w:r>
          </w:p>
        </w:tc>
      </w:tr>
      <w:tr>
        <w:trPr>
          <w:trHeight w:val="237"/>
        </w:trPr>
        <w:tc>
          <w:tcPr>
            <w:tcW w:w="36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Incentive Plan†*</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1080" w:type="dxa"/>
            <w:vAlign w:val="bottom"/>
            <w:gridSpan w:val="7"/>
            <w:shd w:val="clear" w:color="auto" w:fill="CCEEFF"/>
          </w:tcPr>
          <w:p>
            <w:pPr>
              <w:jc w:val="center"/>
              <w:spacing w:after="0" w:line="202" w:lineRule="exact"/>
              <w:rPr>
                <w:rFonts w:ascii="Arial" w:cs="Arial" w:eastAsia="Arial" w:hAnsi="Arial"/>
                <w:sz w:val="18"/>
                <w:szCs w:val="18"/>
                <w:color w:val="0000FF"/>
                <w:w w:val="87"/>
              </w:rPr>
            </w:pPr>
            <w:hyperlink w:anchor="page129">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1.5</w:t>
              </w:r>
            </w:hyperlink>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5"/>
              </w:rPr>
              <w:t>Form of Notice of Grant of Performance Stock Units and Performance Stock Unit Award Agreement – Executives, under the Western</w:t>
            </w:r>
          </w:p>
        </w:tc>
      </w:tr>
      <w:tr>
        <w:trPr>
          <w:trHeight w:val="244"/>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Digital Corporation 2017 Performance Incentive Plan†*</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2"/>
              </w:rPr>
              <w:t>Western Digital Corporation 2017 Performance Incentive Plan Non-Employee Director Restricted Stock Unit Grant Program, as amended</w:t>
            </w: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November 1, 2017†*</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w:anchor="page1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Western Digital Corporation Summary of Compensation Arrangements for Named Executive Officers and Directors†*</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300" w:type="dxa"/>
            <w:vAlign w:val="bottom"/>
            <w:tcBorders>
              <w:top w:val="single" w:sz="8" w:color="CCEEFF"/>
            </w:tcBorders>
            <w:shd w:val="clear" w:color="auto" w:fill="CCEEFF"/>
          </w:tcPr>
          <w:p>
            <w:pPr>
              <w:spacing w:after="0"/>
              <w:rPr>
                <w:sz w:val="4"/>
                <w:szCs w:val="4"/>
                <w:color w:val="auto"/>
              </w:rPr>
            </w:pP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5"/>
              </w:rPr>
              <w:t>Amendment No. 5, dated as of November 8, 2017, to the Loan Agreement dated as of April 29, 2016, by and among Western Digital</w:t>
            </w:r>
          </w:p>
        </w:tc>
      </w:tr>
      <w:tr>
        <w:trPr>
          <w:trHeight w:val="222"/>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w w:val="91"/>
              </w:rPr>
              <w:t>Corporation, JPMorgan Chase Bank, N.A., as administrative agent and collateral agent, the lenders party thereto and the other loan parties</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w w:val="98"/>
              </w:rPr>
              <w:t>thereto (Filed as Exhibit 10.1 to the Company’s Current Report on Form 8-K (File No. 1-08703) with the Securities and Exchange</w:t>
            </w:r>
          </w:p>
        </w:tc>
      </w:tr>
      <w:tr>
        <w:trPr>
          <w:trHeight w:val="230"/>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Commission on November 8, 2017)</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Amendment No. 6, dated as of November 29, 2017, to the Loan Agreement dated as of April 29, 2016, by and among Western Digital</w:t>
            </w:r>
          </w:p>
        </w:tc>
      </w:tr>
      <w:tr>
        <w:trPr>
          <w:trHeight w:val="222"/>
        </w:trPr>
        <w:tc>
          <w:tcPr>
            <w:tcW w:w="3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Corporation, JPMorgan Chase Bank, N.A., as administrative agent and collateral agent, the lenders party thereto and the other loan parties</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thereto (Filed as Exhibit 10.1 to the Company’s Current Report on Form 8-K (File No. 1-08703) with the Securities and Exchange</w:t>
            </w: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Commission on November 29, 2017)</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14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2"/>
              </w:rPr>
              <w:t>FAL Commitment and Extension Agreement, dated as of December 12, 2017, by and among Western Digital Corporation, SanDisk LLC,</w:t>
            </w: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SanDisk (Ireland) Limited and Toshiba Memory Corporation†#</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w:anchor="page1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Y6 Facility Agreement, dated as of December 12, 2017, by and among Western Digital Corporation, SanDisk LLC, SanDisk (Cayman)</w:t>
            </w:r>
          </w:p>
        </w:tc>
      </w:tr>
      <w:tr>
        <w:trPr>
          <w:trHeight w:val="222"/>
        </w:trPr>
        <w:tc>
          <w:tcPr>
            <w:tcW w:w="3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Limited, SanDisk (Ireland) Limited, SanDisk Flash B.V., Flash Partners, Ltd., Flash Alliance, Ltd., Flash Forward, Ltd. and Toshiba</w:t>
            </w: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Memory Corporation†#</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19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4"/>
              </w:rPr>
              <w:t>Confidential Settlement and Mutual Release Agreement, dated as of December 12, 2017, by and among Western Digital Corporation,</w:t>
            </w:r>
          </w:p>
        </w:tc>
      </w:tr>
      <w:tr>
        <w:trPr>
          <w:trHeight w:val="222"/>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w w:val="95"/>
              </w:rPr>
              <w:t>SanDisk LLC, SanDisk (Cayman) Limited, SanDisk (Ireland) Limited, SanDisk Flash B.V., Toshiba Corporation and Toshiba Memory</w:t>
            </w:r>
          </w:p>
        </w:tc>
      </w:tr>
      <w:tr>
        <w:trPr>
          <w:trHeight w:val="230"/>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Corporation†#</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w:anchor="page22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Confidential Settlement and Mutual Release Agreement, dated as of December 12, 2017, by and among Western Digital Corporation,</w:t>
            </w:r>
          </w:p>
        </w:tc>
      </w:tr>
      <w:tr>
        <w:trPr>
          <w:trHeight w:val="222"/>
        </w:trPr>
        <w:tc>
          <w:tcPr>
            <w:tcW w:w="3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SanDisk LLC, SanDisk (Cayman) Limited, SanDisk (Ireland) Limited, SanDisk Flash B.V., Bain Capital Private Equity, L.P., BCPE</w:t>
            </w: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Pangea Cayman, L.P., BCPE Pangea Cayman2, Ltd., Bain Capital Fund XII, L.P., Bain Capital Asia Fund III, L.P. and K.K. Pangea†#</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246">
              <w:r>
                <w:rPr>
                  <w:rFonts w:ascii="Arial" w:cs="Arial" w:eastAsia="Arial" w:hAnsi="Arial"/>
                  <w:sz w:val="18"/>
                  <w:szCs w:val="18"/>
                  <w:color w:val="0000FF"/>
                  <w:w w:val="91"/>
                </w:rPr>
                <w:t>12.</w:t>
              </w:r>
              <w:r>
                <w:rPr>
                  <w:rFonts w:ascii="Arial" w:cs="Arial" w:eastAsia="Arial" w:hAnsi="Arial"/>
                  <w:sz w:val="18"/>
                  <w:szCs w:val="18"/>
                  <w:u w:val="single" w:color="auto"/>
                  <w:color w:val="0000FF"/>
                  <w:w w:val="91"/>
                </w:rPr>
                <w:t>1</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rPr>
              <w:t>Statement of Computation of Ratio of Earnings to Fixed Charges†</w:t>
            </w:r>
          </w:p>
        </w:tc>
      </w:tr>
      <w:tr>
        <w:trPr>
          <w:trHeight w:val="48"/>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w:anchor="page24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300" w:type="dxa"/>
            <w:vAlign w:val="bottom"/>
            <w:tcBorders>
              <w:top w:val="single" w:sz="8" w:color="CCEEFF"/>
            </w:tcBorders>
            <w:shd w:val="clear" w:color="auto" w:fill="CCEEFF"/>
          </w:tcPr>
          <w:p>
            <w:pPr>
              <w:spacing w:after="0"/>
              <w:rPr>
                <w:sz w:val="4"/>
                <w:szCs w:val="4"/>
                <w:color w:val="auto"/>
              </w:rPr>
            </w:pP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24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03"/>
        </w:trPr>
        <w:tc>
          <w:tcPr>
            <w:tcW w:w="800" w:type="dxa"/>
            <w:vAlign w:val="bottom"/>
            <w:gridSpan w:val="6"/>
            <w:shd w:val="clear" w:color="auto" w:fill="CCEEFF"/>
          </w:tcPr>
          <w:p>
            <w:pPr>
              <w:jc w:val="center"/>
              <w:ind w:left="270"/>
              <w:spacing w:after="0" w:line="202" w:lineRule="exact"/>
              <w:rPr>
                <w:rFonts w:ascii="Arial" w:cs="Arial" w:eastAsia="Arial" w:hAnsi="Arial"/>
                <w:sz w:val="18"/>
                <w:szCs w:val="18"/>
                <w:color w:val="0000FF"/>
                <w:w w:val="91"/>
              </w:rPr>
            </w:pPr>
            <w:hyperlink w:anchor="page24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280" w:type="dxa"/>
            <w:vAlign w:val="bottom"/>
            <w:shd w:val="clear" w:color="auto" w:fill="CCEEFF"/>
          </w:tcPr>
          <w:p>
            <w:pPr>
              <w:spacing w:after="0"/>
              <w:rPr>
                <w:sz w:val="17"/>
                <w:szCs w:val="17"/>
                <w:color w:val="auto"/>
              </w:rPr>
            </w:pPr>
          </w:p>
        </w:tc>
        <w:tc>
          <w:tcPr>
            <w:tcW w:w="10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44"/>
        </w:trPr>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2002**</w:t>
            </w:r>
          </w:p>
        </w:tc>
      </w:tr>
      <w:tr>
        <w:trPr>
          <w:trHeight w:val="203"/>
        </w:trPr>
        <w:tc>
          <w:tcPr>
            <w:tcW w:w="800" w:type="dxa"/>
            <w:vAlign w:val="bottom"/>
            <w:gridSpan w:val="6"/>
          </w:tcPr>
          <w:p>
            <w:pPr>
              <w:jc w:val="center"/>
              <w:ind w:left="270"/>
              <w:spacing w:after="0" w:line="202" w:lineRule="exact"/>
              <w:rPr>
                <w:rFonts w:ascii="Arial" w:cs="Arial" w:eastAsia="Arial" w:hAnsi="Arial"/>
                <w:sz w:val="18"/>
                <w:szCs w:val="18"/>
                <w:color w:val="0000FF"/>
                <w:w w:val="91"/>
              </w:rPr>
            </w:pPr>
            <w:hyperlink w:anchor="page25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280" w:type="dxa"/>
            <w:vAlign w:val="bottom"/>
          </w:tcPr>
          <w:p>
            <w:pPr>
              <w:spacing w:after="0"/>
              <w:rPr>
                <w:sz w:val="17"/>
                <w:szCs w:val="17"/>
                <w:color w:val="auto"/>
              </w:rPr>
            </w:pPr>
          </w:p>
        </w:tc>
        <w:tc>
          <w:tcPr>
            <w:tcW w:w="10300" w:type="dxa"/>
            <w:vAlign w:val="bottom"/>
          </w:tcPr>
          <w:p>
            <w:pPr>
              <w:ind w:left="20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ind w:left="200"/>
              <w:spacing w:after="0"/>
              <w:rPr>
                <w:sz w:val="20"/>
                <w:szCs w:val="20"/>
                <w:color w:val="auto"/>
              </w:rPr>
            </w:pPr>
            <w:r>
              <w:rPr>
                <w:rFonts w:ascii="Arial" w:cs="Arial" w:eastAsia="Arial" w:hAnsi="Arial"/>
                <w:sz w:val="18"/>
                <w:szCs w:val="18"/>
                <w:color w:val="auto"/>
              </w:rPr>
              <w:t>of 2002**</w:t>
            </w:r>
          </w:p>
        </w:tc>
      </w:tr>
      <w:tr>
        <w:trPr>
          <w:trHeight w:val="27"/>
        </w:trPr>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43"/>
        </w:trPr>
        <w:tc>
          <w:tcPr>
            <w:tcW w:w="108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101.INS</w:t>
            </w:r>
          </w:p>
        </w:tc>
        <w:tc>
          <w:tcPr>
            <w:tcW w:w="10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r>
      <w:tr>
        <w:trPr>
          <w:trHeight w:val="27"/>
        </w:trPr>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125" w:right="2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Arial" w:cs="Arial" w:eastAsia="Arial" w:hAnsi="Arial"/>
                <w:sz w:val="18"/>
                <w:szCs w:val="18"/>
                <w:color w:val="0000EE"/>
                <w:w w:val="90"/>
              </w:rPr>
              <w:t>Table of Contents</w:t>
            </w:r>
          </w:p>
        </w:tc>
        <w:tc>
          <w:tcPr>
            <w:tcW w:w="10100" w:type="dxa"/>
            <w:vAlign w:val="bottom"/>
          </w:tcPr>
          <w:p>
            <w:pPr>
              <w:spacing w:after="0"/>
              <w:rPr>
                <w:sz w:val="17"/>
                <w:szCs w:val="17"/>
                <w:color w:val="auto"/>
              </w:rPr>
            </w:pPr>
          </w:p>
        </w:tc>
      </w:tr>
      <w:tr>
        <w:trPr>
          <w:trHeight w:val="642"/>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ind w:left="2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101.CAL</w:t>
            </w:r>
          </w:p>
        </w:tc>
        <w:tc>
          <w:tcPr>
            <w:tcW w:w="10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20" w:type="dxa"/>
            <w:vAlign w:val="bottom"/>
          </w:tcPr>
          <w:p>
            <w:pPr>
              <w:spacing w:after="0"/>
              <w:rPr>
                <w:sz w:val="21"/>
                <w:szCs w:val="21"/>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101.PRE</w:t>
            </w:r>
          </w:p>
        </w:tc>
        <w:tc>
          <w:tcPr>
            <w:tcW w:w="10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20" w:type="dxa"/>
            <w:vAlign w:val="bottom"/>
          </w:tcPr>
          <w:p>
            <w:pPr>
              <w:spacing w:after="0"/>
              <w:rPr>
                <w:sz w:val="21"/>
                <w:szCs w:val="21"/>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20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50" w:lineRule="auto"/>
        <w:tabs>
          <w:tab w:leader="none" w:pos="1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28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1" w:lineRule="exact"/>
        <w:rPr>
          <w:sz w:val="20"/>
          <w:szCs w:val="20"/>
          <w:color w:val="auto"/>
        </w:rPr>
      </w:pPr>
    </w:p>
    <w:p>
      <w:pPr>
        <w:jc w:val="both"/>
        <w:ind w:right="680" w:firstLine="8"/>
        <w:spacing w:after="0" w:line="323" w:lineRule="auto"/>
        <w:tabs>
          <w:tab w:leader="none" w:pos="13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42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signed on its behalf by the undersigned, thereunto duly authorized.</w:t>
      </w: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08" w:right="2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10.1.1</w:t>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Western Digital Corporation</w:t>
      </w:r>
    </w:p>
    <w:p>
      <w:pPr>
        <w:ind w:left="7000"/>
        <w:spacing w:after="0" w:line="226" w:lineRule="auto"/>
        <w:rPr>
          <w:sz w:val="20"/>
          <w:szCs w:val="20"/>
          <w:color w:val="auto"/>
        </w:rPr>
      </w:pPr>
      <w:r>
        <w:rPr>
          <w:rFonts w:ascii="Arial" w:cs="Arial" w:eastAsia="Arial" w:hAnsi="Arial"/>
          <w:sz w:val="14"/>
          <w:szCs w:val="14"/>
          <w:color w:val="auto"/>
        </w:rPr>
        <w:t>ID: 33-0956711</w:t>
      </w:r>
    </w:p>
    <w:p>
      <w:pPr>
        <w:ind w:left="7000"/>
        <w:spacing w:after="0" w:line="222" w:lineRule="auto"/>
        <w:rPr>
          <w:sz w:val="20"/>
          <w:szCs w:val="20"/>
          <w:color w:val="auto"/>
        </w:rPr>
      </w:pPr>
      <w:r>
        <w:rPr>
          <w:rFonts w:ascii="Arial" w:cs="Arial" w:eastAsia="Arial" w:hAnsi="Arial"/>
          <w:sz w:val="14"/>
          <w:szCs w:val="14"/>
          <w:color w:val="auto"/>
        </w:rPr>
        <w:t>3355 Michelson Drive, Suite 100</w:t>
      </w:r>
    </w:p>
    <w:p>
      <w:pPr>
        <w:ind w:left="7000"/>
        <w:spacing w:after="0"/>
        <w:rPr>
          <w:sz w:val="20"/>
          <w:szCs w:val="20"/>
          <w:color w:val="auto"/>
        </w:rPr>
      </w:pPr>
      <w:r>
        <w:rPr>
          <w:rFonts w:ascii="Arial" w:cs="Arial" w:eastAsia="Arial" w:hAnsi="Arial"/>
          <w:sz w:val="14"/>
          <w:szCs w:val="14"/>
          <w:color w:val="auto"/>
        </w:rPr>
        <w:t>Irvine, CA 92612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3515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Grant of Stock Option and Option Agreement – Executives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No.: #######</w:t>
      </w:r>
    </w:p>
    <w:p>
      <w:pPr>
        <w:spacing w:after="0" w:line="48" w:lineRule="exact"/>
        <w:rPr>
          <w:sz w:val="20"/>
          <w:szCs w:val="20"/>
          <w:color w:val="auto"/>
        </w:rPr>
      </w:pPr>
    </w:p>
    <w:p>
      <w:pPr>
        <w:sectPr>
          <w:pgSz w:w="11900" w:h="16838" w:orient="portrait"/>
          <w:cols w:equalWidth="0" w:num="2">
            <w:col w:w="5480" w:space="720"/>
            <w:col w:w="5220"/>
          </w:cols>
          <w:pgMar w:left="240" w:top="877" w:right="23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Address Line 1</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Arial" w:cs="Arial" w:eastAsia="Arial" w:hAnsi="Arial"/>
          <w:sz w:val="17"/>
          <w:szCs w:val="17"/>
          <w:b w:val="1"/>
          <w:bCs w:val="1"/>
          <w:color w:val="auto"/>
        </w:rPr>
        <w:t>Plan:</w:t>
        <w:tab/>
        <w:t>2017 Performance Incentive Plan</w:t>
      </w:r>
    </w:p>
    <w:p>
      <w:pPr>
        <w:spacing w:after="0" w:line="48" w:lineRule="exact"/>
        <w:rPr>
          <w:sz w:val="20"/>
          <w:szCs w:val="20"/>
          <w:color w:val="auto"/>
        </w:rPr>
      </w:pPr>
    </w:p>
    <w:p>
      <w:pPr>
        <w:sectPr>
          <w:pgSz w:w="11900" w:h="16838" w:orient="portrait"/>
          <w:cols w:equalWidth="0" w:num="2">
            <w:col w:w="5480" w:space="720"/>
            <w:col w:w="5220"/>
          </w:cols>
          <w:pgMar w:left="240" w:top="877"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City, State Zip</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Arial" w:cs="Arial" w:eastAsia="Arial" w:hAnsi="Arial"/>
          <w:sz w:val="17"/>
          <w:szCs w:val="17"/>
          <w:b w:val="1"/>
          <w:bCs w:val="1"/>
          <w:color w:val="auto"/>
        </w:rPr>
        <w:t>ID: ####</w:t>
      </w:r>
    </w:p>
    <w:p>
      <w:pPr>
        <w:spacing w:after="0" w:line="200" w:lineRule="exact"/>
        <w:rPr>
          <w:sz w:val="20"/>
          <w:szCs w:val="20"/>
          <w:color w:val="auto"/>
        </w:rPr>
      </w:pPr>
    </w:p>
    <w:p>
      <w:pPr>
        <w:sectPr>
          <w:pgSz w:w="11900" w:h="16838" w:orient="portrait"/>
          <w:cols w:equalWidth="0" w:num="2">
            <w:col w:w="5480" w:space="720"/>
            <w:col w:w="5220"/>
          </w:cols>
          <w:pgMar w:left="240" w:top="877" w:right="239" w:bottom="1440" w:gutter="0" w:footer="0" w:header="0"/>
          <w:type w:val="continuous"/>
        </w:sectPr>
      </w:pPr>
    </w:p>
    <w:p>
      <w:pPr>
        <w:spacing w:after="0" w:line="24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Congratulations! Effective &lt;&lt;date&gt;&gt;, you have been granted a(n) &lt;&lt;option type&gt;&gt; to buy &lt;&lt;number&gt;&gt; shares of Western Digital Corporation stock at &lt;&lt;$ option price&gt;&gt; per share. The option was granted under the 2017 Performance Incentive Plan (the “Plan”).</w:t>
      </w:r>
      <w:r>
        <w:rPr>
          <w:rFonts w:ascii="Arial" w:cs="Arial" w:eastAsia="Arial" w:hAnsi="Arial"/>
          <w:sz w:val="14"/>
          <w:szCs w:val="14"/>
          <w:color w:val="auto"/>
        </w:rPr>
        <w:t>1</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7"/>
                <w:szCs w:val="17"/>
                <w:color w:val="auto"/>
                <w:w w:val="96"/>
              </w:rPr>
              <w:t>Shares</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1</w:t>
            </w:r>
          </w:p>
        </w:tc>
        <w:tc>
          <w:tcPr>
            <w:tcW w:w="380" w:type="dxa"/>
            <w:vAlign w:val="bottom"/>
            <w:vMerge w:val="restart"/>
          </w:tcPr>
          <w:p>
            <w:pPr>
              <w:spacing w:after="0"/>
              <w:rPr>
                <w:sz w:val="16"/>
                <w:szCs w:val="16"/>
                <w:color w:val="auto"/>
              </w:rPr>
            </w:pPr>
          </w:p>
        </w:tc>
        <w:tc>
          <w:tcPr>
            <w:tcW w:w="3260" w:type="dxa"/>
            <w:vAlign w:val="bottom"/>
            <w:gridSpan w:val="5"/>
          </w:tcPr>
          <w:p>
            <w:pPr>
              <w:jc w:val="right"/>
              <w:ind w:right="9"/>
              <w:spacing w:after="0"/>
              <w:rPr>
                <w:sz w:val="20"/>
                <w:szCs w:val="20"/>
                <w:color w:val="auto"/>
              </w:rPr>
            </w:pPr>
            <w:r>
              <w:rPr>
                <w:rFonts w:ascii="Arial" w:cs="Arial" w:eastAsia="Arial" w:hAnsi="Arial"/>
                <w:sz w:val="17"/>
                <w:szCs w:val="17"/>
                <w:color w:val="auto"/>
              </w:rPr>
              <w:t>Vest Type  Full Vesting  Expiration Date</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-8255</wp:posOffset>
            </wp:positionV>
            <wp:extent cx="298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Your option is subject to the terms and conditions of this Notice, the attached Standard Terms and Conditions for Stock Options – Executives (the “Standard Terms”), and the Plan. By accepting the option, you are agreeing to the terms of the option as set forth in those documents. You should read the Plan, the Prospectus for the Plan, and the Standard Terms. The Standard Terms and the Plan are each incorporated into (made a part of) this Notice by this reference. You do not have to accept your option. If you do not agree to the terms of your option, you should promptly return this Notice to the Western Digital Corporation Stock Plans Administrator.</w:t>
      </w:r>
    </w:p>
    <w:p>
      <w:pPr>
        <w:spacing w:after="0" w:line="193" w:lineRule="exact"/>
        <w:rPr>
          <w:sz w:val="20"/>
          <w:szCs w:val="20"/>
          <w:color w:val="auto"/>
        </w:rPr>
      </w:pPr>
    </w:p>
    <w:p>
      <w:pPr>
        <w:jc w:val="both"/>
        <w:ind w:right="740"/>
        <w:spacing w:after="0" w:line="254" w:lineRule="auto"/>
        <w:rPr>
          <w:sz w:val="20"/>
          <w:szCs w:val="20"/>
          <w:color w:val="auto"/>
        </w:rPr>
      </w:pPr>
      <w:r>
        <w:rPr>
          <w:rFonts w:ascii="Arial" w:cs="Arial" w:eastAsia="Arial" w:hAnsi="Arial"/>
          <w:sz w:val="17"/>
          <w:szCs w:val="17"/>
          <w:color w:val="auto"/>
        </w:rPr>
        <w:t>A copy of the Plan, the Prospectus for the Plan, and the Standard Terms have been provided to you. If you need another copy of any of these documents, or if you would like to confirm that you have the most recent version, you may obtain another copy in the Company Library on the E*TRADE website. These documents are also available on the Western Digital Intranet site under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520" w:hanging="332"/>
        <w:spacing w:after="0" w:line="25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number of shares subject to the option and the per-share exercise price of the option are subject to adjustment under Section 7.1 of the Plan (for example, and without limitation, in connection with stock splits).</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option is subject to early termination under Section 5 of the attached Standard Terms and Conditions for Stock Options.</w:t>
      </w:r>
    </w:p>
    <w:p>
      <w:pPr>
        <w:sectPr>
          <w:pgSz w:w="11900" w:h="16838" w:orient="portrait"/>
          <w:cols w:equalWidth="0" w:num="1">
            <w:col w:w="11420"/>
          </w:cols>
          <w:pgMar w:left="240" w:top="877" w:right="239" w:bottom="1440" w:gutter="0" w:footer="0" w:header="0"/>
          <w:type w:val="continuous"/>
        </w:sectPr>
      </w:pPr>
    </w:p>
    <w:bookmarkStart w:id="97" w:name="page98"/>
    <w:bookmarkEnd w:id="97"/>
    <w:p>
      <w:pPr>
        <w:ind w:left="660"/>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Irvine, California 92612 Telephone 949 672-7000</w:t>
      </w:r>
    </w:p>
    <w:p>
      <w:pPr>
        <w:spacing w:after="0" w:line="200" w:lineRule="exact"/>
        <w:rPr>
          <w:sz w:val="20"/>
          <w:szCs w:val="20"/>
          <w:color w:val="auto"/>
        </w:rPr>
      </w:pPr>
    </w:p>
    <w:p>
      <w:pPr>
        <w:spacing w:after="0" w:line="251" w:lineRule="exact"/>
        <w:rPr>
          <w:sz w:val="20"/>
          <w:szCs w:val="20"/>
          <w:color w:val="auto"/>
        </w:rPr>
      </w:pPr>
    </w:p>
    <w:p>
      <w:pPr>
        <w:ind w:left="4520" w:right="2040" w:hanging="1765"/>
        <w:spacing w:after="0" w:line="282" w:lineRule="auto"/>
        <w:rPr>
          <w:sz w:val="20"/>
          <w:szCs w:val="20"/>
          <w:color w:val="auto"/>
        </w:rPr>
      </w:pPr>
      <w:r>
        <w:rPr>
          <w:rFonts w:ascii="Arial" w:cs="Arial" w:eastAsia="Arial" w:hAnsi="Arial"/>
          <w:sz w:val="18"/>
          <w:szCs w:val="18"/>
          <w:b w:val="1"/>
          <w:bCs w:val="1"/>
          <w:color w:val="auto"/>
        </w:rPr>
        <w:t xml:space="preserve">STANDARD TERMS AND CONDITIONS FOR STOCK OPTIONS - EXECUTIVES </w:t>
      </w:r>
      <w:r>
        <w:rPr>
          <w:rFonts w:ascii="Arial" w:cs="Arial" w:eastAsia="Arial" w:hAnsi="Arial"/>
          <w:sz w:val="18"/>
          <w:szCs w:val="18"/>
          <w:color w:val="auto"/>
        </w:rPr>
        <w:t>2017 Performance Incentive Plan</w:t>
      </w:r>
    </w:p>
    <w:p>
      <w:pPr>
        <w:spacing w:after="0" w:line="200" w:lineRule="exact"/>
        <w:rPr>
          <w:sz w:val="20"/>
          <w:szCs w:val="20"/>
          <w:color w:val="auto"/>
        </w:rPr>
      </w:pPr>
    </w:p>
    <w:p>
      <w:pPr>
        <w:spacing w:after="0" w:line="39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Option Subject to 2017 Performance Incentive Plan.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option (the "Option") referred to in the attached Notice of Grant of Stock Option and Option Agreement (the "Notice") was issued under Western Digital Corporation's (the "Corporation's") 2017 Performance Incentive Plan (the "Plan"). The Option is subject to the terms and provisions of the Notice, these Standard Terms and Conditions for Stock Options - Executives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The holder of the Option is referred to herein as the "Participant." Capitalized terms not defined herein have the meanings set forth in the Plan.</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Unless otherwise expressly provided in other sections of these Standard Terms,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grant date of the Option.</w:t>
      </w:r>
    </w:p>
    <w:p>
      <w:pPr>
        <w:spacing w:after="0" w:line="18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Option Agreement with respect to the Option pursuant to Section 5.3 of the Plan.</w:t>
      </w:r>
    </w:p>
    <w:p>
      <w:pPr>
        <w:spacing w:after="0" w:line="23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Type of Stock Option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Notice indicates whether the Option is intended to qualify as an incentive stock option (an “ISO”) under the Internal Revenue Code of 1986, as amended (the "Code"), or is a nonqualified stock option (an option that is not an ISO). ISOs are subject to additional requirements under the Code as generally described in Section 5.1 of the Plan. If the aggregate fair market value of the shares with respect to which ISOs (whether granted under the Option or otherwise) first become exercisable by the Participant in any calendar year exceeds $100,000, as measured on the applicable option grant dates and as determined in accordance with Code Section 422 and the regulations promulgated thereunder, the limitations of Section 5.1.2 of the Plan shall apply and to such extent the Option will be rendered a nonqualified stock option.</w:t>
      </w:r>
    </w:p>
    <w:p>
      <w:pPr>
        <w:spacing w:after="0" w:line="18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Option shall vest and become exercisable in percentage installments of the aggregate number of shares subject to the Option as set forth in the Notice. Each vesting installment of the Option shall be a fixed installment covering the number of shares, and vesting on the fixed vesting date, set forth in the applicable line of the Notice under “Vesting.” In each case, the Option is subject to earlier termination in accordance with Section 5.</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Option may be exercised only to the extent it is vested and exercisable. To the extent that the Option is vested and exercisable, the Participant has the right to exercise the Option (to the extent not previously exercised), and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65" w:right="279" w:bottom="1440" w:gutter="0" w:footer="0" w:header="0"/>
        </w:sectPr>
      </w:pPr>
    </w:p>
    <w:bookmarkStart w:id="98" w:name="page99"/>
    <w:bookmarkEnd w:id="98"/>
    <w:p>
      <w:pPr>
        <w:ind w:right="140"/>
        <w:spacing w:after="0" w:line="277" w:lineRule="auto"/>
        <w:rPr>
          <w:sz w:val="20"/>
          <w:szCs w:val="20"/>
          <w:color w:val="auto"/>
        </w:rPr>
      </w:pPr>
      <w:r>
        <w:rPr>
          <w:rFonts w:ascii="Arial" w:cs="Arial" w:eastAsia="Arial" w:hAnsi="Arial"/>
          <w:sz w:val="18"/>
          <w:szCs w:val="18"/>
          <w:color w:val="auto"/>
        </w:rPr>
        <w:t>right shall continue, until the expiration or earlier termination of the Option as provided in Section 5. Fractional share interests shall be disregarded, but may be cumulated.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expressly provided in Sections 6 and 7 below, the vesting schedule requires continued employment or service through each applicable vesting date as a condition to the vesting of the applicable installment of the Option and the rights and benefits under this Option Agreement. Except as expressly provided in Sections 6 and 7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7 below or under the Plan.</w:t>
      </w:r>
    </w:p>
    <w:p>
      <w:pPr>
        <w:spacing w:after="0" w:line="18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Option</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Option shall expire and the Participant shall have no further rights with respect thereto upon the earliest to occur of (a) the termination of the Option as provided in Section 7 below, (b) the termination of the Option as provided in Section 7.2 of the Plan, or (c) the Expiration Date set forth in the Notice. The Option may not be exercised at any time after a termination or expiration of the Option.</w:t>
      </w:r>
    </w:p>
    <w:p>
      <w:pPr>
        <w:spacing w:after="0" w:line="17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Upon (or, as may be necessary to effectuate the purposes of this acceleration, immediately prior to) the occurrence of a Change in Control Event in which the Option is to terminate (i.e., the Administrator has not made a provision for the substitution, assumption, exchange or other continuation of the Option and the Option will not otherwise continue in accordance with its terms in the circumstances), the portion of the Option that is outstanding and unvested immediately prior to the Change in Control Event shall vest and become exercisable. In the event the Option is to be terminated in connection with a Change in Control Event, the Participant shall, unless the Administrator has made a provision for the settlement of the Option, be given reasonable advance notice of the impending termination and a reasonable opportunity to exercise the outstanding portion of the Option in accordance with its terms (after giving effect to the acceleration of vesting) before the termination of the Option in such circumstances (except that in no case shall more than ten (10) days’ notice of accelerated vesting and the impending termination be required and any acceleration may be made contingent upon the actual occurrence of the event).</w:t>
      </w:r>
    </w:p>
    <w:p>
      <w:pPr>
        <w:spacing w:after="0" w:line="16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Total Disability or Death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shall be exercisable by the Participant (or his or her permitted successor in interest) following the Participant's termination of employment only to the extent provided below in this Section 7. Except as provided in Section 7(f) below, the last day that the Participant is employed by the Corporation or a Subsidiary prior to a period of non-employment by any such entity is referred to as the Participant’s “Severance Date.” In each case described below, the Option shall be subject to earlier termination as contemplated by Section 5.</w:t>
      </w:r>
    </w:p>
    <w:p>
      <w:pPr>
        <w:spacing w:after="0" w:line="187" w:lineRule="exact"/>
        <w:rPr>
          <w:sz w:val="20"/>
          <w:szCs w:val="20"/>
          <w:color w:val="auto"/>
        </w:rPr>
      </w:pPr>
    </w:p>
    <w:p>
      <w:pPr>
        <w:ind w:firstLine="8"/>
        <w:spacing w:after="0" w:line="25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Generally</w:t>
      </w:r>
      <w:r>
        <w:rPr>
          <w:rFonts w:ascii="Arial" w:cs="Arial" w:eastAsia="Arial" w:hAnsi="Arial"/>
          <w:sz w:val="18"/>
          <w:szCs w:val="18"/>
          <w:color w:val="auto"/>
        </w:rPr>
        <w:t>. Except as expressly provided below in this Section 7, in the event the Participant ceases to be an employee of the Corporation or any of its Subsidiaries for any reason, the Option shall, to the extent that it is not vested and exercisable on the Participant’s Severance Date, terminate effective immediately following the Participant’s Severance Date and, to the extent that the Option is vested and exercisable by the Participant on the Participant’s Severance Date, it may be exercised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193" w:lineRule="exact"/>
        <w:rPr>
          <w:rFonts w:ascii="Arial" w:cs="Arial" w:eastAsia="Arial" w:hAnsi="Arial"/>
          <w:sz w:val="18"/>
          <w:szCs w:val="18"/>
          <w:color w:val="auto"/>
        </w:rPr>
      </w:pPr>
    </w:p>
    <w:p>
      <w:pPr>
        <w:ind w:right="60" w:firstLine="8"/>
        <w:spacing w:after="0" w:line="279" w:lineRule="auto"/>
        <w:tabs>
          <w:tab w:leader="none" w:pos="39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Total Disability</w:t>
      </w:r>
      <w:r>
        <w:rPr>
          <w:rFonts w:ascii="Arial" w:cs="Arial" w:eastAsia="Arial" w:hAnsi="Arial"/>
          <w:sz w:val="17"/>
          <w:szCs w:val="17"/>
          <w:color w:val="auto"/>
        </w:rPr>
        <w:t>. In the event that the Participant ceases to be an employee of the Corporation or any of its Subsidiaries at a time when the Participant is Totally Disabled and is not eligible to Retire, the Option shall, to the extent that it is not vested and exercisable on the Participant’s Severance Date, terminate effective immediately following the Participant’s Severance Date. In such circumstances, or in the event that the Participant incurs such a Total Disability within not more than three months of the Participant’s Severance Date if the termination of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81" w:right="239" w:bottom="1440" w:gutter="0" w:footer="0" w:header="0"/>
        </w:sectPr>
      </w:pPr>
    </w:p>
    <w:bookmarkStart w:id="99" w:name="page100"/>
    <w:bookmarkEnd w:id="99"/>
    <w:p>
      <w:pPr>
        <w:ind w:right="40"/>
        <w:spacing w:after="0" w:line="293" w:lineRule="auto"/>
        <w:rPr>
          <w:sz w:val="20"/>
          <w:szCs w:val="20"/>
          <w:color w:val="auto"/>
        </w:rPr>
      </w:pPr>
      <w:r>
        <w:rPr>
          <w:rFonts w:ascii="Arial" w:cs="Arial" w:eastAsia="Arial" w:hAnsi="Arial"/>
          <w:sz w:val="16"/>
          <w:szCs w:val="16"/>
          <w:color w:val="auto"/>
        </w:rPr>
        <w:t>Participant’s employment was for any reason other than a termination of employment by the Corporation or one of its Subsidiaries for Cause, the Option may, to the extent the Option was vested and exercisable by the Participant on the Participant’s Severance Date, be exercised by the Participant (or, if the Participant is then incapacitated, by the Participant's personal representatives, heirs, or legatees) at any time during the one-year period following the Participant’s Severance Date. The Option, to the extent exercisable for the one-year period following the Participant’s Severance Date and not exercised during such period, shall terminate at the close of business on the last day of the one-year period. For purposes of the Option, “Total Disability” (which term shall include “Totally Disabled”) means a “permanent and total disability” within the meaning of Section 22(e)(3) of the Code.</w:t>
      </w:r>
    </w:p>
    <w:p>
      <w:pPr>
        <w:spacing w:after="0" w:line="165" w:lineRule="exact"/>
        <w:rPr>
          <w:sz w:val="20"/>
          <w:szCs w:val="20"/>
          <w:color w:val="auto"/>
        </w:rPr>
      </w:pPr>
    </w:p>
    <w:p>
      <w:pPr>
        <w:ind w:firstLine="8"/>
        <w:spacing w:after="0" w:line="257"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 dies while he or she is an employee of the Corporation or any of its Subsidiaries, the Option (to the extent outstanding and not previously vested and exercisable) shall vest and become exercisable on the Participant’s Severance Date and shall continue to be exercisable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w:t>
      </w:r>
    </w:p>
    <w:p>
      <w:pPr>
        <w:spacing w:after="0" w:line="188" w:lineRule="exact"/>
        <w:rPr>
          <w:rFonts w:ascii="Arial" w:cs="Arial" w:eastAsia="Arial" w:hAnsi="Arial"/>
          <w:sz w:val="18"/>
          <w:szCs w:val="18"/>
          <w:color w:val="auto"/>
        </w:rPr>
      </w:pPr>
    </w:p>
    <w:p>
      <w:pPr>
        <w:ind w:right="20" w:firstLine="8"/>
        <w:spacing w:after="0" w:line="267" w:lineRule="auto"/>
        <w:tabs>
          <w:tab w:leader="none" w:pos="39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the Participant Retires from the Corporation or one of its Subsidiaries, the Option (to the extent outstanding and not previously vested and exercisable) shall vest and become exercisable on the Participant’s Severance Date and shall continue to be exercisable by the Participant (or if the Participant is then deceased,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 Notwithstanding the foregoing, in the event a Retired Participant provides services to a competitor of the Corporation or any of its Subsidiaries as an employee, consultant, director, officer, representative, independent contractor or otherwise, or otherwise competes with the business of the Corporation or its Subsidiaries (in each case as determined by the Administrator its sole discretion), the Option, to the extent not previously exercised, shall immediately terminate. In addition, in such event the Corporation shall have the right to recover any profits realized by such Retired Participant as a result of any exercise of the Option during the six-month period prior to the date such Retired Participant commenced providing such services to a competitor. For this purpose, the Participant shall be deemed to have “Retired” (which term shall include “Retirement,” “Retire” and “Retires”) if the Participant retires from employment with the Corporation or one of its Subsidiaries for any reason other than Cause after satisfying all of the following at the time of such retirement: (i) the Participant is at least 65 years of age, (ii) the Participant’s age plus total years of continuous service with the Corporation or any of its Subsidiaries (as determined by the Administrator in its sole discretion) totals at least 75, and (iii) the Participant has five (5) or more years of continuous service with the Corporation or any of its Subsidiaries (as determined by the Administrator in its sole discretion) ending on the date of such retirement. For purposes of calculating “age plus total years of continuous service” under clause (ii) above, fractional years shall be disregarded but may be cumulated (so that, by way of example only, a Participant who is age 65 and 6 months with 9 years and 6 months of continuous service would satisfy the requirements of clause (ii), while a Participant who is age 65 and 6 months with 9 years and 5 months of continuous service would not satisfy the requirements of clause (ii)). For purposes of calculating the Participant’s “years of continuous service” under clause (ii) or clause (iii) above,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187" w:lineRule="exact"/>
        <w:rPr>
          <w:rFonts w:ascii="Arial" w:cs="Arial" w:eastAsia="Arial" w:hAnsi="Arial"/>
          <w:sz w:val="17"/>
          <w:szCs w:val="17"/>
          <w:color w:val="auto"/>
        </w:rPr>
      </w:pPr>
    </w:p>
    <w:p>
      <w:pPr>
        <w:ind w:right="140" w:firstLine="8"/>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the foregoing provisions of this Section 7, if the Participant's employment with the Corporation or any of its Subsidiaries is terminated by the Corporation or one of its Subsidiaries for Cause, the Option (whether or not all or any portion of such Option is then vested and exercisable) shall immediately terminate effective immediately following the Participant’s Severance Date.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purposes of this Section 7 and as to any termination of employment or services that occurs prior to the occurrence of a Change in Control Event, the term “Cause” shall mean the occurrence or existence of any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8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following with respect to the Participant, as determined by the Administrator or its delegate or delegates in its or their sole discretion:</w:t>
      </w:r>
    </w:p>
    <w:p>
      <w:pPr>
        <w:spacing w:after="0" w:line="225" w:lineRule="exact"/>
        <w:rPr>
          <w:sz w:val="20"/>
          <w:szCs w:val="20"/>
          <w:color w:val="auto"/>
        </w:rPr>
      </w:pPr>
    </w:p>
    <w:p>
      <w:pPr>
        <w:ind w:left="660" w:right="340" w:firstLine="645"/>
        <w:spacing w:after="0" w:line="277" w:lineRule="auto"/>
        <w:tabs>
          <w:tab w:leader="none" w:pos="16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whether prior or subsequent to the date hereof, the Participant’s willful engaging in dishonest or fraudulent actions or omissions;</w:t>
      </w:r>
    </w:p>
    <w:p>
      <w:pPr>
        <w:spacing w:after="0" w:line="236" w:lineRule="exact"/>
        <w:rPr>
          <w:rFonts w:ascii="Arial" w:cs="Arial" w:eastAsia="Arial" w:hAnsi="Arial"/>
          <w:sz w:val="17"/>
          <w:szCs w:val="17"/>
          <w:color w:val="auto"/>
        </w:rPr>
      </w:pPr>
    </w:p>
    <w:p>
      <w:pPr>
        <w:ind w:left="1760" w:hanging="455"/>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7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negligence, insubordination, violation by the Participant of any duty (loyalty or otherwise) owed to the Corporation, one or more of its Subsidiaries, or any of their respective affiliates, or any other misconduct on the part of the Participant;</w:t>
      </w:r>
    </w:p>
    <w:p>
      <w:pPr>
        <w:spacing w:after="0" w:line="170" w:lineRule="exact"/>
        <w:rPr>
          <w:rFonts w:ascii="Arial" w:cs="Arial" w:eastAsia="Arial" w:hAnsi="Arial"/>
          <w:sz w:val="18"/>
          <w:szCs w:val="18"/>
          <w:color w:val="auto"/>
        </w:rPr>
      </w:pPr>
    </w:p>
    <w:p>
      <w:pPr>
        <w:ind w:left="660" w:right="340" w:firstLine="645"/>
        <w:spacing w:after="0" w:line="286" w:lineRule="auto"/>
        <w:tabs>
          <w:tab w:leader="none" w:pos="169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repeated non-prescription use of any controlled substance, or the repeated use of alcohol or any other non-controlled substance which in the Administrator’s (or its delegate’s or delegates’) reasonable determination interferes with the Participant’s service as an officer or employee of the Corporation, one or more of its Subsidiaries, or any of their respective affiliates;</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20" w:firstLine="645"/>
        <w:spacing w:after="0" w:line="277" w:lineRule="auto"/>
        <w:tabs>
          <w:tab w:leader="none" w:pos="17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0" w:lineRule="exact"/>
        <w:rPr>
          <w:rFonts w:ascii="Arial" w:cs="Arial" w:eastAsia="Arial" w:hAnsi="Arial"/>
          <w:sz w:val="16"/>
          <w:szCs w:val="16"/>
          <w:color w:val="auto"/>
        </w:rPr>
      </w:pPr>
    </w:p>
    <w:p>
      <w:pPr>
        <w:ind w:left="660" w:right="220" w:firstLine="645"/>
        <w:spacing w:after="0" w:line="277" w:lineRule="auto"/>
        <w:tabs>
          <w:tab w:leader="none" w:pos="17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 or</w:t>
      </w:r>
    </w:p>
    <w:p>
      <w:pPr>
        <w:spacing w:after="0" w:line="170" w:lineRule="exact"/>
        <w:rPr>
          <w:rFonts w:ascii="Arial" w:cs="Arial" w:eastAsia="Arial" w:hAnsi="Arial"/>
          <w:sz w:val="18"/>
          <w:szCs w:val="18"/>
          <w:color w:val="auto"/>
        </w:rPr>
      </w:pPr>
    </w:p>
    <w:p>
      <w:pPr>
        <w:ind w:left="660" w:right="480" w:firstLine="645"/>
        <w:spacing w:after="0" w:line="277" w:lineRule="auto"/>
        <w:tabs>
          <w:tab w:leader="none" w:pos="17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breach of any policy of, or agreement with, the Corporation, one or more of its Subsidiaries, or any of their respective affiliates applicable to the Participant or to which the Participant is otherwise bound.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purposes of this Section 7 and as to any termination of employment or services that occurs upon or after the occurrence of a Change in Control Event, the term “Cause” shall mean the occurrence or existence of any of the following with respect to the Participant, as determined by a majority of the disinterested directors of the Board:</w:t>
      </w:r>
    </w:p>
    <w:p>
      <w:pPr>
        <w:spacing w:after="0" w:line="181" w:lineRule="exact"/>
        <w:rPr>
          <w:sz w:val="20"/>
          <w:szCs w:val="20"/>
          <w:color w:val="auto"/>
        </w:rPr>
      </w:pPr>
    </w:p>
    <w:p>
      <w:pPr>
        <w:ind w:left="660" w:right="260" w:firstLine="645"/>
        <w:spacing w:after="0" w:line="277" w:lineRule="auto"/>
        <w:tabs>
          <w:tab w:leader="none" w:pos="17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660" w:firstLine="645"/>
        <w:spacing w:after="0" w:line="264" w:lineRule="auto"/>
        <w:tabs>
          <w:tab w:leader="none" w:pos="1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prior or subsequent to the date hereof, the Participant’s willful engaging in dishonest or fraudulent actions or omissions which results directly or indirectly in any demonstrable material financial or economic harm to the Corporation, one or more of its Subsidiaries, or any of their respective affiliates;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81" w:right="239" w:bottom="1440" w:gutter="0" w:footer="0" w:header="0"/>
        </w:sectPr>
      </w:pPr>
    </w:p>
    <w:bookmarkStart w:id="101" w:name="page102"/>
    <w:bookmarkEnd w:id="101"/>
    <w:p>
      <w:pPr>
        <w:ind w:left="660" w:right="240" w:firstLine="645"/>
        <w:spacing w:after="0" w:line="264" w:lineRule="auto"/>
        <w:tabs>
          <w:tab w:leader="none" w:pos="172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 provided that the Participant shall have first received written notice from the employer stating with specificity the nature of such failure or refusal and affording the Participant at least five (5) days to correct the act or omission complained of;</w:t>
      </w:r>
    </w:p>
    <w:p>
      <w:pPr>
        <w:spacing w:after="0" w:line="181" w:lineRule="exact"/>
        <w:rPr>
          <w:rFonts w:ascii="Arial" w:cs="Arial" w:eastAsia="Arial" w:hAnsi="Arial"/>
          <w:sz w:val="18"/>
          <w:szCs w:val="18"/>
          <w:color w:val="auto"/>
        </w:rPr>
      </w:pPr>
    </w:p>
    <w:p>
      <w:pPr>
        <w:jc w:val="both"/>
        <w:ind w:left="660" w:right="140" w:firstLine="645"/>
        <w:spacing w:after="0" w:line="259" w:lineRule="auto"/>
        <w:tabs>
          <w:tab w:leader="none" w:pos="17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gross negligence, insubordination, material violation by the Participant of any duty of loyalty to the Corporation, one or more of its Subsidiaries, or any of their respective affiliates, or any other material misconduct on the part of the Participant, provided that the Participant shall have first received written notice from the Corporation stating with specificity the nature of such action or violation and affording the Participant at least five (5) days to correct such action or violation;</w:t>
      </w:r>
    </w:p>
    <w:p>
      <w:pPr>
        <w:spacing w:after="0" w:line="186" w:lineRule="exact"/>
        <w:rPr>
          <w:rFonts w:ascii="Arial" w:cs="Arial" w:eastAsia="Arial" w:hAnsi="Arial"/>
          <w:sz w:val="18"/>
          <w:szCs w:val="18"/>
          <w:color w:val="auto"/>
        </w:rPr>
      </w:pPr>
    </w:p>
    <w:p>
      <w:pPr>
        <w:ind w:left="660" w:right="140" w:firstLine="645"/>
        <w:spacing w:after="0" w:line="264" w:lineRule="auto"/>
        <w:tabs>
          <w:tab w:leader="none" w:pos="171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repeated non-prescription use of any controlled substance, or the repeated use of alcohol or any other non-controlled substance which in the Board’s reasonable determination interferes with the Participant’s service as an officer or employee of the Corporation, one or more of its Subsidiaries, or any of their respective affiliates;</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60" w:firstLine="645"/>
        <w:spacing w:after="0" w:line="277" w:lineRule="auto"/>
        <w:tabs>
          <w:tab w:leader="none" w:pos="17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 or</w:t>
      </w:r>
    </w:p>
    <w:p>
      <w:pPr>
        <w:spacing w:after="0" w:line="210" w:lineRule="exact"/>
        <w:rPr>
          <w:rFonts w:ascii="Arial" w:cs="Arial" w:eastAsia="Arial" w:hAnsi="Arial"/>
          <w:sz w:val="16"/>
          <w:szCs w:val="16"/>
          <w:color w:val="auto"/>
        </w:rPr>
      </w:pPr>
    </w:p>
    <w:p>
      <w:pPr>
        <w:ind w:left="660" w:right="200" w:firstLine="645"/>
        <w:spacing w:after="0" w:line="277" w:lineRule="auto"/>
        <w:tabs>
          <w:tab w:leader="none" w:pos="17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rFonts w:ascii="Arial" w:cs="Arial" w:eastAsia="Arial" w:hAnsi="Arial"/>
          <w:sz w:val="18"/>
          <w:szCs w:val="18"/>
          <w:color w:val="auto"/>
        </w:rPr>
      </w:pPr>
    </w:p>
    <w:p>
      <w:pPr>
        <w:ind w:firstLine="8"/>
        <w:spacing w:after="0" w:line="254"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 Event</w:t>
      </w:r>
      <w:r>
        <w:rPr>
          <w:rFonts w:ascii="Arial" w:cs="Arial" w:eastAsia="Arial" w:hAnsi="Arial"/>
          <w:sz w:val="18"/>
          <w:szCs w:val="18"/>
          <w:color w:val="auto"/>
        </w:rPr>
        <w:t>. In the event the Participant ceases to be employed by the Corporation or any of its Subsidiaries as a result of either a termination of employment by the Corporation or one of its Subsidiaries without Cause or the resignation of the Participant for “Good Reason” (as defined below), in either case upon or within the one (1) year period following the occurrence of a Change in Control Event and the Participant is not eligible to Retire at the time of such termination (i.e., Section 7(d) does not apply), the Option (to the extent outstanding and not previously vested and exercisable) shall vest and become exercisable on the Participant’s Severance Date and shall continue to be exercisable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7, the term “Good Reason” shall mean any of the following without the Participant’s express written consent:</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material diminution in the Participant’s authority, duties or responsibilities in effect immediately prior to the Change in Control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right="420" w:firstLine="645"/>
        <w:spacing w:after="0" w:line="277" w:lineRule="auto"/>
        <w:tabs>
          <w:tab w:leader="none" w:pos="17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098" w:right="259" w:bottom="1440" w:gutter="0" w:footer="0" w:header="0"/>
        </w:sectPr>
      </w:pPr>
    </w:p>
    <w:bookmarkStart w:id="102" w:name="page103"/>
    <w:bookmarkEnd w:id="102"/>
    <w:p>
      <w:pPr>
        <w:ind w:left="660" w:right="320" w:firstLine="645"/>
        <w:spacing w:after="0" w:line="264" w:lineRule="auto"/>
        <w:tabs>
          <w:tab w:leader="none" w:pos="17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7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170" w:lineRule="exact"/>
        <w:rPr>
          <w:sz w:val="20"/>
          <w:szCs w:val="20"/>
          <w:color w:val="auto"/>
        </w:rPr>
      </w:pPr>
    </w:p>
    <w:p>
      <w:pPr>
        <w:ind w:left="660" w:right="220"/>
        <w:spacing w:after="0" w:line="276" w:lineRule="auto"/>
        <w:rPr>
          <w:sz w:val="20"/>
          <w:szCs w:val="20"/>
          <w:color w:val="auto"/>
        </w:rPr>
      </w:pPr>
      <w:r>
        <w:rPr>
          <w:rFonts w:ascii="Arial" w:cs="Arial" w:eastAsia="Arial" w:hAnsi="Arial"/>
          <w:sz w:val="17"/>
          <w:szCs w:val="17"/>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purposes of this Option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81" w:lineRule="exact"/>
        <w:rPr>
          <w:sz w:val="20"/>
          <w:szCs w:val="20"/>
          <w:color w:val="auto"/>
        </w:rPr>
      </w:pPr>
    </w:p>
    <w:p>
      <w:pPr>
        <w:ind w:right="20" w:firstLine="8"/>
        <w:spacing w:after="0" w:line="273" w:lineRule="auto"/>
        <w:tabs>
          <w:tab w:leader="none" w:pos="39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Continuation of Services</w:t>
      </w:r>
      <w:r>
        <w:rPr>
          <w:rFonts w:ascii="Arial" w:cs="Arial" w:eastAsia="Arial" w:hAnsi="Arial"/>
          <w:sz w:val="17"/>
          <w:szCs w:val="17"/>
          <w:color w:val="auto"/>
        </w:rPr>
        <w:t>. If the Participant’s employment with the Corporation or any of its Subsidiaries terminates (regardless of the reason) but, immediately thereafter, the Participant continues to render services to the Corporation or any of its Subsidiaries as an employee, director or consultant, such Participant’s Severance Date for purposes of the Option shall not be the date such Participant’s employment terminates, but instead shall be the last day that the Participant either is employed by or actually renders services to the Corporation or any of its Subsidiaries. As provided in Section 6.1 of the Plan, the Administrator shall be the sole judge for purposes of the Option of whether the Participant continues to render services the Corporation or its Subsidiaries and the date, if any, upon which such services shall be deemed to have terminated.</w:t>
      </w:r>
    </w:p>
    <w:p>
      <w:pPr>
        <w:spacing w:after="0" w:line="178" w:lineRule="exact"/>
        <w:rPr>
          <w:rFonts w:ascii="Arial" w:cs="Arial" w:eastAsia="Arial" w:hAnsi="Arial"/>
          <w:sz w:val="17"/>
          <w:szCs w:val="17"/>
          <w:color w:val="auto"/>
        </w:rPr>
      </w:pPr>
    </w:p>
    <w:p>
      <w:pPr>
        <w:ind w:firstLine="8"/>
        <w:spacing w:after="0" w:line="312" w:lineRule="auto"/>
        <w:tabs>
          <w:tab w:leader="none" w:pos="39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Exercise Period for ISOs</w:t>
      </w:r>
      <w:r>
        <w:rPr>
          <w:rFonts w:ascii="Arial" w:cs="Arial" w:eastAsia="Arial" w:hAnsi="Arial"/>
          <w:sz w:val="16"/>
          <w:szCs w:val="16"/>
          <w:color w:val="auto"/>
        </w:rPr>
        <w:t>. Notwithstanding any post-termination exercise period provided for herein or in the Plan, the Option will qualify as an ISO only if it is exercised within the applicable exercise periods for ISOs under, and meets all of the other requirements of, the Code. If the Option is not exercised within the applicable exercise periods for ISOs or does not meet such other requirements, the Option will be rendered a nonqualified stock option.</w:t>
      </w:r>
    </w:p>
    <w:p>
      <w:pPr>
        <w:spacing w:after="0" w:line="14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170" w:lineRule="exact"/>
        <w:rPr>
          <w:sz w:val="20"/>
          <w:szCs w:val="20"/>
          <w:color w:val="auto"/>
        </w:rPr>
      </w:pPr>
    </w:p>
    <w:p>
      <w:pPr>
        <w:ind w:left="980" w:right="500" w:hanging="297"/>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70" w:lineRule="exact"/>
        <w:rPr>
          <w:rFonts w:ascii="Arial" w:cs="Arial" w:eastAsia="Arial" w:hAnsi="Arial"/>
          <w:sz w:val="18"/>
          <w:szCs w:val="18"/>
          <w:color w:val="auto"/>
        </w:rPr>
      </w:pPr>
    </w:p>
    <w:p>
      <w:pPr>
        <w:ind w:left="980" w:hanging="297"/>
        <w:spacing w:after="0" w:line="276"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approval by the Administrator and such rules as the Administrator may adopt as to any non-cash payment) in shares of Common Stock either already owned by the Participant or otherwise deliverable hereunder in connection with such Option exercise), such shares in each case valued at their fair market value (as determined under the Plan) on the exercise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81" w:right="259" w:bottom="1440" w:gutter="0" w:footer="0" w:header="0"/>
        </w:sectPr>
      </w:pPr>
    </w:p>
    <w:bookmarkStart w:id="103" w:name="page104"/>
    <w:bookmarkEnd w:id="103"/>
    <w:p>
      <w:pPr>
        <w:ind w:left="980" w:hanging="297"/>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written statements or agreements required by the Administrator pursuant to Section 8.1 of the Plan; and</w:t>
      </w:r>
    </w:p>
    <w:p>
      <w:pPr>
        <w:spacing w:after="0" w:line="225" w:lineRule="exact"/>
        <w:rPr>
          <w:rFonts w:ascii="Arial" w:cs="Arial" w:eastAsia="Arial" w:hAnsi="Arial"/>
          <w:sz w:val="18"/>
          <w:szCs w:val="18"/>
          <w:color w:val="auto"/>
        </w:rPr>
      </w:pPr>
    </w:p>
    <w:p>
      <w:pPr>
        <w:ind w:left="980" w:hanging="297"/>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satisfaction of the tax withholding provisions of Section 8.5 of the Plan.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Administrator also may, but is not required to, authorize a non-cash payment alternative by notice and third party payment in such manner as may be authorized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Option will qualify as an ISO only if it meets all of the applicable requirements of the Code.</w:t>
      </w:r>
    </w:p>
    <w:p>
      <w:pPr>
        <w:spacing w:after="0" w:line="22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and any other rights of the Participant under this Option Agreement or the Plan are nontransferable and exercisable only by the Participant, except as set forth in Section 5.7 of the Plan. For purposes of clarity, the Administrator has not authorized any transfer exceptions as contemplated by Section 5.7.2 of the Plan.</w:t>
      </w:r>
    </w:p>
    <w:p>
      <w:pPr>
        <w:spacing w:after="0" w:line="17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Option Agreement or the Plan constitutes a continued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Neither the Participant nor any beneficiary or other person claiming under or through the Participant shall have any right, title, 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17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Any notice to be given under the terms of this Option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81" w:right="259" w:bottom="1440" w:gutter="0" w:footer="0" w:header="0"/>
        </w:sectPr>
      </w:pPr>
    </w:p>
    <w:bookmarkStart w:id="104" w:name="page105"/>
    <w:bookmarkEnd w:id="104"/>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controversy arising out of or relating to this Option Agreement (including these Standard Terms) and/or the Plan, their enforcement or interpretation, or because of an alleged breach, default, or misrepresentation in connection with any of their provisions, or any other controversy or claim arising out of or related to the Option or the Participant’s employment or service,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13).</w:t>
      </w:r>
    </w:p>
    <w:p>
      <w:pPr>
        <w:spacing w:after="0" w:line="169"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Option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13 or a court of competent jurisdiction determines that any portion of this Option Agreement (including these Standard Terms) or the Plan is in violation of any statute or public policy, then only the portions of this Option Agreement or the Plan, as applicable, which are found to violate such statute or public policy shall be stricken, and all portions of this Option Agreement and the Plan which are not found to violate any statute or public policy shall continue in full force and effect. Furthermore, it is the parties’ intent that any order striking any portion of this Option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Option Agreement (including these Standard Terms)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094" w:right="259" w:bottom="1440" w:gutter="0" w:footer="0" w:header="0"/>
        </w:sectPr>
      </w:pPr>
    </w:p>
    <w:bookmarkStart w:id="105" w:name="page106"/>
    <w:bookmarkEnd w:id="105"/>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Option Agreement are for convenience of reference only and shall not be deemed to alter or affect any provision hereof.</w:t>
      </w:r>
    </w:p>
    <w:p>
      <w:pPr>
        <w:spacing w:after="0" w:line="23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Option is subject to the forfeiture and clawback provisions of Section 8.14(a) of the Plan.</w:t>
      </w:r>
    </w:p>
    <w:p>
      <w:pPr>
        <w:spacing w:after="0" w:line="22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8.5 of the Plan, the Participant is solely responsible for any and all tax liability that may arise with respect to the Option and any shares that may be acquired upon exercise of the Option.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877" w:right="4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10.1.2</w:t>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Western Digital Corporation</w:t>
      </w:r>
    </w:p>
    <w:p>
      <w:pPr>
        <w:ind w:left="7000"/>
        <w:spacing w:after="0" w:line="226" w:lineRule="auto"/>
        <w:rPr>
          <w:sz w:val="20"/>
          <w:szCs w:val="20"/>
          <w:color w:val="auto"/>
        </w:rPr>
      </w:pPr>
      <w:r>
        <w:rPr>
          <w:rFonts w:ascii="Arial" w:cs="Arial" w:eastAsia="Arial" w:hAnsi="Arial"/>
          <w:sz w:val="14"/>
          <w:szCs w:val="14"/>
          <w:color w:val="auto"/>
        </w:rPr>
        <w:t>ID: 33-0956711</w:t>
      </w:r>
    </w:p>
    <w:p>
      <w:pPr>
        <w:ind w:left="7000"/>
        <w:spacing w:after="0" w:line="222" w:lineRule="auto"/>
        <w:rPr>
          <w:sz w:val="20"/>
          <w:szCs w:val="20"/>
          <w:color w:val="auto"/>
        </w:rPr>
      </w:pPr>
      <w:r>
        <w:rPr>
          <w:rFonts w:ascii="Arial" w:cs="Arial" w:eastAsia="Arial" w:hAnsi="Arial"/>
          <w:sz w:val="14"/>
          <w:szCs w:val="14"/>
          <w:color w:val="auto"/>
        </w:rPr>
        <w:t>3355 Michelson Drive, Suite 100</w:t>
      </w:r>
    </w:p>
    <w:p>
      <w:pPr>
        <w:ind w:left="7000"/>
        <w:spacing w:after="0"/>
        <w:rPr>
          <w:sz w:val="20"/>
          <w:szCs w:val="20"/>
          <w:color w:val="auto"/>
        </w:rPr>
      </w:pPr>
      <w:r>
        <w:rPr>
          <w:rFonts w:ascii="Arial" w:cs="Arial" w:eastAsia="Arial" w:hAnsi="Arial"/>
          <w:sz w:val="14"/>
          <w:szCs w:val="14"/>
          <w:color w:val="auto"/>
        </w:rPr>
        <w:t>Irvine, CA 92612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83515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Grant of Stock Option and Option Agreement – Non-Executives</w:t>
      </w:r>
    </w:p>
    <w:p>
      <w:pPr>
        <w:sectPr>
          <w:pgSz w:w="11900" w:h="16838" w:orient="portrait"/>
          <w:cols w:equalWidth="0" w:num="1">
            <w:col w:w="11420"/>
          </w:cols>
          <w:pgMar w:left="240" w:top="6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No.: #######</w:t>
      </w:r>
    </w:p>
    <w:p>
      <w:pPr>
        <w:spacing w:after="0" w:line="48" w:lineRule="exact"/>
        <w:rPr>
          <w:sz w:val="20"/>
          <w:szCs w:val="20"/>
          <w:color w:val="auto"/>
        </w:rPr>
      </w:pPr>
    </w:p>
    <w:p>
      <w:pPr>
        <w:sectPr>
          <w:pgSz w:w="11900" w:h="16838" w:orient="portrait"/>
          <w:cols w:equalWidth="0" w:num="2">
            <w:col w:w="5480" w:space="720"/>
            <w:col w:w="5220"/>
          </w:cols>
          <w:pgMar w:left="240" w:top="621" w:right="23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Address Line 1</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Arial" w:cs="Arial" w:eastAsia="Arial" w:hAnsi="Arial"/>
          <w:sz w:val="17"/>
          <w:szCs w:val="17"/>
          <w:b w:val="1"/>
          <w:bCs w:val="1"/>
          <w:color w:val="auto"/>
        </w:rPr>
        <w:t>Plan:</w:t>
        <w:tab/>
        <w:t>2017 Performance Incentive Plan</w:t>
      </w:r>
    </w:p>
    <w:p>
      <w:pPr>
        <w:spacing w:after="0" w:line="48" w:lineRule="exact"/>
        <w:rPr>
          <w:sz w:val="20"/>
          <w:szCs w:val="20"/>
          <w:color w:val="auto"/>
        </w:rPr>
      </w:pPr>
    </w:p>
    <w:p>
      <w:pPr>
        <w:sectPr>
          <w:pgSz w:w="11900" w:h="16838" w:orient="portrait"/>
          <w:cols w:equalWidth="0" w:num="2">
            <w:col w:w="5480" w:space="720"/>
            <w:col w:w="5220"/>
          </w:cols>
          <w:pgMar w:left="240" w:top="62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City, State Zip</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Arial" w:cs="Arial" w:eastAsia="Arial" w:hAnsi="Arial"/>
          <w:sz w:val="17"/>
          <w:szCs w:val="17"/>
          <w:b w:val="1"/>
          <w:bCs w:val="1"/>
          <w:color w:val="auto"/>
        </w:rPr>
        <w:t>ID: ####</w:t>
      </w:r>
    </w:p>
    <w:p>
      <w:pPr>
        <w:spacing w:after="0" w:line="200" w:lineRule="exact"/>
        <w:rPr>
          <w:sz w:val="20"/>
          <w:szCs w:val="20"/>
          <w:color w:val="auto"/>
        </w:rPr>
      </w:pPr>
    </w:p>
    <w:p>
      <w:pPr>
        <w:sectPr>
          <w:pgSz w:w="11900" w:h="16838" w:orient="portrait"/>
          <w:cols w:equalWidth="0" w:num="2">
            <w:col w:w="5480" w:space="720"/>
            <w:col w:w="5220"/>
          </w:cols>
          <w:pgMar w:left="240" w:top="621" w:right="239" w:bottom="1440" w:gutter="0" w:footer="0" w:header="0"/>
          <w:type w:val="continuous"/>
        </w:sectPr>
      </w:pPr>
    </w:p>
    <w:p>
      <w:pPr>
        <w:spacing w:after="0" w:line="24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Congratulations! Effective &lt;&lt;date&gt;&gt;, you have been granted a(n) &lt;&lt;option type&gt;&gt; to buy &lt;&lt;number&gt;&gt; shares of Western Digital Corporation stock at &lt;&lt;$ option price&gt;&gt; per share. The option was granted under the 2017 Performance Incentive Plan (the “Plan”).</w:t>
      </w:r>
      <w:r>
        <w:rPr>
          <w:rFonts w:ascii="Arial" w:cs="Arial" w:eastAsia="Arial" w:hAnsi="Arial"/>
          <w:sz w:val="14"/>
          <w:szCs w:val="14"/>
          <w:color w:val="auto"/>
        </w:rPr>
        <w:t>1</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200" w:lineRule="exact"/>
        <w:rPr>
          <w:sz w:val="20"/>
          <w:szCs w:val="20"/>
          <w:color w:val="auto"/>
        </w:rPr>
      </w:pP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7"/>
                <w:szCs w:val="17"/>
                <w:color w:val="auto"/>
                <w:w w:val="96"/>
              </w:rPr>
              <w:t>Shares</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1</w:t>
            </w:r>
          </w:p>
        </w:tc>
        <w:tc>
          <w:tcPr>
            <w:tcW w:w="380" w:type="dxa"/>
            <w:vAlign w:val="bottom"/>
            <w:vMerge w:val="restart"/>
          </w:tcPr>
          <w:p>
            <w:pPr>
              <w:spacing w:after="0"/>
              <w:rPr>
                <w:sz w:val="16"/>
                <w:szCs w:val="16"/>
                <w:color w:val="auto"/>
              </w:rPr>
            </w:pPr>
          </w:p>
        </w:tc>
        <w:tc>
          <w:tcPr>
            <w:tcW w:w="3260" w:type="dxa"/>
            <w:vAlign w:val="bottom"/>
            <w:gridSpan w:val="5"/>
          </w:tcPr>
          <w:p>
            <w:pPr>
              <w:jc w:val="right"/>
              <w:ind w:right="9"/>
              <w:spacing w:after="0"/>
              <w:rPr>
                <w:sz w:val="20"/>
                <w:szCs w:val="20"/>
                <w:color w:val="auto"/>
              </w:rPr>
            </w:pPr>
            <w:r>
              <w:rPr>
                <w:rFonts w:ascii="Arial" w:cs="Arial" w:eastAsia="Arial" w:hAnsi="Arial"/>
                <w:sz w:val="17"/>
                <w:szCs w:val="17"/>
                <w:color w:val="auto"/>
              </w:rPr>
              <w:t>Vest Type  Full Vesting  Expiration Date</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-8255</wp:posOffset>
            </wp:positionV>
            <wp:extent cx="29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Your option is subject to the terms and conditions of this Notice, the attached Standard Terms and Conditions for Stock Options – Non-Executives (including any terms and conditions set forth in any appendices attached hereto) (collectively, the “Standard Terms”), and the Plan. By accepting the option, you are agreeing to the terms of the option as set forth in those documents. You should read the Plan, the Prospectus for the Plan, and the Standard Terms. The Standard Terms and the Plan are each incorporated into (made a part of) this Notice by this reference. You do not have to accept your option. If you do not agree to the terms of your option, you should promptly return this Notice to the Western Digital Corporation Stock Plans Administrator.</w:t>
      </w:r>
    </w:p>
    <w:p>
      <w:pPr>
        <w:spacing w:after="0" w:line="196" w:lineRule="exact"/>
        <w:rPr>
          <w:sz w:val="20"/>
          <w:szCs w:val="20"/>
          <w:color w:val="auto"/>
        </w:rPr>
      </w:pPr>
    </w:p>
    <w:p>
      <w:pPr>
        <w:jc w:val="both"/>
        <w:ind w:right="740"/>
        <w:spacing w:after="0" w:line="254" w:lineRule="auto"/>
        <w:rPr>
          <w:sz w:val="20"/>
          <w:szCs w:val="20"/>
          <w:color w:val="auto"/>
        </w:rPr>
      </w:pPr>
      <w:r>
        <w:rPr>
          <w:rFonts w:ascii="Arial" w:cs="Arial" w:eastAsia="Arial" w:hAnsi="Arial"/>
          <w:sz w:val="17"/>
          <w:szCs w:val="17"/>
          <w:color w:val="auto"/>
        </w:rPr>
        <w:t>A copy of the Plan, the Prospectus for the Plan, and the Standard Terms have been provided to you. If you need another copy of any of these documents, or if you would like to confirm that you have the most recent version, you may obtain another copy in the Company Library on the E*TRADE website. These documents are also available on the Western Digital Intranet site under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20" w:hanging="332"/>
        <w:spacing w:after="0" w:line="241"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number of shares subject to the option and the per-share exercise price of the option are subject to adjustment under Section 7.1 of the Plan (for example, and without limitation, in connection with stock splits).</w:t>
      </w: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option is subject to early termination under Section 5 of the attached Standard Terms and Conditions for Stock Options.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621" w:right="239" w:bottom="1440" w:gutter="0" w:footer="0" w:header="0"/>
          <w:type w:val="continuous"/>
        </w:sectPr>
      </w:pPr>
    </w:p>
    <w:bookmarkStart w:id="107" w:name="page108"/>
    <w:bookmarkEnd w:id="107"/>
    <w:p>
      <w:pPr>
        <w:ind w:left="6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183515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835150" cy="308610"/>
                    </a:xfrm>
                    <a:prstGeom prst="rect">
                      <a:avLst/>
                    </a:prstGeom>
                    <a:noFill/>
                  </pic:spPr>
                </pic:pic>
              </a:graphicData>
            </a:graphic>
          </wp:anchor>
        </w:drawing>
        <w:t>Western Digital Corporation 3355 Michelson Drive, Suite 100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Irvine, California 92612 Telephone 949 672-7000</w:t>
      </w:r>
    </w:p>
    <w:p>
      <w:pPr>
        <w:spacing w:after="0" w:line="200" w:lineRule="exact"/>
        <w:rPr>
          <w:sz w:val="20"/>
          <w:szCs w:val="20"/>
          <w:color w:val="auto"/>
        </w:rPr>
      </w:pPr>
    </w:p>
    <w:p>
      <w:pPr>
        <w:spacing w:after="0" w:line="251" w:lineRule="exact"/>
        <w:rPr>
          <w:sz w:val="20"/>
          <w:szCs w:val="20"/>
          <w:color w:val="auto"/>
        </w:rPr>
      </w:pPr>
    </w:p>
    <w:p>
      <w:pPr>
        <w:ind w:left="4520" w:right="1780" w:hanging="1995"/>
        <w:spacing w:after="0" w:line="282" w:lineRule="auto"/>
        <w:rPr>
          <w:sz w:val="20"/>
          <w:szCs w:val="20"/>
          <w:color w:val="auto"/>
        </w:rPr>
      </w:pPr>
      <w:r>
        <w:rPr>
          <w:rFonts w:ascii="Arial" w:cs="Arial" w:eastAsia="Arial" w:hAnsi="Arial"/>
          <w:sz w:val="18"/>
          <w:szCs w:val="18"/>
          <w:b w:val="1"/>
          <w:bCs w:val="1"/>
          <w:color w:val="auto"/>
        </w:rPr>
        <w:t xml:space="preserve">STANDARD TERMS AND CONDITIONS FOR STOCK OPTIONS - NON-EXECUTIVES </w:t>
      </w:r>
      <w:r>
        <w:rPr>
          <w:rFonts w:ascii="Arial" w:cs="Arial" w:eastAsia="Arial" w:hAnsi="Arial"/>
          <w:sz w:val="18"/>
          <w:szCs w:val="18"/>
          <w:color w:val="auto"/>
        </w:rPr>
        <w:t>2017 Performance Incentive Plan</w:t>
      </w:r>
    </w:p>
    <w:p>
      <w:pPr>
        <w:spacing w:after="0" w:line="200" w:lineRule="exact"/>
        <w:rPr>
          <w:sz w:val="20"/>
          <w:szCs w:val="20"/>
          <w:color w:val="auto"/>
        </w:rPr>
      </w:pPr>
    </w:p>
    <w:p>
      <w:pPr>
        <w:spacing w:after="0" w:line="39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Option Subject to 2017 Performance Incentive Plan.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option (the "Option") referred to in the attached Notice of Grant of Stock Option and Option Agreement (the "Notice") was issued under Western Digital Corporation's (the "Corporation's") 2017 Performance Incentive Plan (the "Plan"). The Option is subject to the terms and provisions of the Notice, these Standard Terms and Conditions for Stock Options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The holder of the Option is referred to herein as the "Participant." Capitalized terms not defined herein have the meanings set forth in the Plan.</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Unless otherwise expressly provided in other sections of these Standard Terms,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grant date of the Option.</w:t>
      </w:r>
    </w:p>
    <w:p>
      <w:pPr>
        <w:spacing w:after="0" w:line="183"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Option Agreement with respect to the Option pursuant to Section 5.3 of the Plan.</w:t>
      </w:r>
    </w:p>
    <w:p>
      <w:pPr>
        <w:spacing w:after="0" w:line="233"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Type of Stock Option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Notice indicates whether the Option is intended to qualify as an incentive stock option (an “ISO”) under the Internal Revenue Code of 1986, as amended (the "Code"), or is a nonqualified stock option (an option that is not an ISO). ISOs are subject to additional requirements under the Code as generally described in Section 5.1 of the Plan. If the aggregate fair market value of the shares with respect to which ISOs (whether granted under the Option or otherwise) first become exercisable by the Participant in any calendar year exceeds $100,000, as measured on the applicable option grant dates and as determined in accordance with Code Section 422 and the regulations promulgated thereunder, the limitations of Section 5.1.2 of the Plan shall apply and to such extent the Option will be rendered a nonqualified stock option.</w:t>
      </w:r>
    </w:p>
    <w:p>
      <w:pPr>
        <w:spacing w:after="0" w:line="189"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Option shall vest and become exercisable in percentage installments of the aggregate number of shares subject to the Option as set forth in the Notice. Each vesting installment of the Option shall be a fixed installment covering the number of shares, and vesting on the fixed vesting date, set forth in the applicable line of the Notice under “Vesting.” In each case, the Option is subject to earlier termination in accordance with Section 5.</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40"/>
          </w:cols>
          <w:pgMar w:left="240" w:top="1427" w:right="319" w:bottom="1440" w:gutter="0" w:footer="0" w:header="0"/>
        </w:sectPr>
      </w:pPr>
    </w:p>
    <w:bookmarkStart w:id="108" w:name="page109"/>
    <w:bookmarkEnd w:id="108"/>
    <w:p>
      <w:pPr>
        <w:ind w:right="180"/>
        <w:spacing w:after="0" w:line="264" w:lineRule="auto"/>
        <w:rPr>
          <w:sz w:val="20"/>
          <w:szCs w:val="20"/>
          <w:color w:val="auto"/>
        </w:rPr>
      </w:pPr>
      <w:r>
        <w:rPr>
          <w:rFonts w:ascii="Arial" w:cs="Arial" w:eastAsia="Arial" w:hAnsi="Arial"/>
          <w:sz w:val="18"/>
          <w:szCs w:val="18"/>
          <w:color w:val="auto"/>
        </w:rPr>
        <w:t>The Option may be exercised only to the extent it is vested and exercisable. To the extent that the Option is vested and exercisable, the Participant has the right to exercise the Option (to the extent not previously exercised), and such right shall continue, until the expiration or earlier termination of the Option as provided in Section 5. Fractional share interests shall be disregarded, but may be cumulated.</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Except as expressly provided in Section 7 below, the vesting schedule requires continued employment or service through each applicable vesting date as a condition to the vesting of the applicable installment of the Option and the rights and benefits under this Option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7 below or under the Plan.</w:t>
      </w:r>
    </w:p>
    <w:p>
      <w:pPr>
        <w:spacing w:after="0" w:line="16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Option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Option shall expire and the Participant shall have no further rights with respect thereto upon the earliest to occur of (a) the termination of the Option as provided in Section 7 below, (b) the termination of the Option as provided in Section 7.2 of the Plan, or (c) the Expiration Date set forth in the Notice. The Option may not be exercised at any time after a termination or expiration of the Option.</w:t>
      </w:r>
    </w:p>
    <w:p>
      <w:pPr>
        <w:spacing w:after="0" w:line="17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Upon (or, as may be necessary to effectuate the purposes of this acceleration, immediately prior to) the occurrence of a Change in Control Event in which the Option is to terminate (i.e., the Administrator has not made a provision for the substitution, assumption, exchange or other continuation of the Option and the Option will not otherwise continue in accordance with its terms in the circumstances), the portion of the Option that is outstanding and unvested immediately prior to the Change in Control Event shall vest and become exercisable. In the event the Option is to be terminated in connection with a Change in Control Event, the Participant shall, unless the Administrator has made a provision for the settlement of the Option, be given reasonable advance notice of the impending termination and a reasonable opportunity to exercise the outstanding portion of the Option in accordance with its terms (after giving effect to the acceleration of vesting) before the termination of the Option in such circumstances (except that in no case shall more than ten (10) days’ notice of accelerated vesting and the impending termination be required and any acceleration may be made contingent upon the actual occurrence of the event).</w:t>
      </w:r>
    </w:p>
    <w:p>
      <w:pPr>
        <w:spacing w:after="0" w:line="16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Total Disability or Death</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Option shall be exercisable by the Participant (or his or her permitted successor in interest) following the Participant's termination of employment only to the extent provided below in this Section 7. Except as provided in Section 7(f) below, the last day that the Participant is employed by the Corporation or a Subsidiary prior to a period of non-employment by any such entity is referred to as the Participant’s “Severance Date.” In each case described below, the Option shall be subject to earlier termination as contemplated by Section 5.</w:t>
      </w:r>
    </w:p>
    <w:p>
      <w:pPr>
        <w:spacing w:after="0" w:line="187" w:lineRule="exact"/>
        <w:rPr>
          <w:sz w:val="20"/>
          <w:szCs w:val="20"/>
          <w:color w:val="auto"/>
        </w:rPr>
      </w:pPr>
    </w:p>
    <w:p>
      <w:pPr>
        <w:ind w:firstLine="8"/>
        <w:spacing w:after="0" w:line="272" w:lineRule="auto"/>
        <w:tabs>
          <w:tab w:leader="none" w:pos="38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Generally</w:t>
      </w:r>
      <w:r>
        <w:rPr>
          <w:rFonts w:ascii="Arial" w:cs="Arial" w:eastAsia="Arial" w:hAnsi="Arial"/>
          <w:sz w:val="17"/>
          <w:szCs w:val="17"/>
          <w:color w:val="auto"/>
        </w:rPr>
        <w:t>. In the event the Participant ceases to be an employee of the Corporation or any of its Subsidiaries for any reason (other than a termination of employment by the Corporation or one of its Subsidiaries for Cause (as defined below), due to the Participant’s death or Retirement (as defined below), or at a time when the Participant is Totally Disabled (as defined below)), the Option shall, to the extent that it is not vested and exercisable on the Participant’s Severance Date, terminate effective immediately following the Participant’s Severance Date and, to the extent that the Option is vested and exercisable by the Participant on the Participant’s Severance Date, it may be exercised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625" w:right="259" w:bottom="1440" w:gutter="0" w:footer="0" w:header="0"/>
        </w:sectPr>
      </w:pPr>
    </w:p>
    <w:bookmarkStart w:id="109" w:name="page110"/>
    <w:bookmarkEnd w:id="109"/>
    <w:p>
      <w:pPr>
        <w:ind w:left="-8" w:right="40" w:firstLine="8"/>
        <w:spacing w:after="0" w:line="270" w:lineRule="auto"/>
        <w:tabs>
          <w:tab w:leader="none" w:pos="38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Total Disability</w:t>
      </w:r>
      <w:r>
        <w:rPr>
          <w:rFonts w:ascii="Arial" w:cs="Arial" w:eastAsia="Arial" w:hAnsi="Arial"/>
          <w:sz w:val="17"/>
          <w:szCs w:val="17"/>
          <w:color w:val="auto"/>
        </w:rPr>
        <w:t>. In the event that the Participant ceases to be an employee of the Corporation or any of its Subsidiaries at a time when the Participant is Totally Disabled and is not eligible to Retire, the Option shall, to the extent that it is not vested and exercisable on the Participant’s Severance Date, terminate effective immediately following the Participant’s Severance Date. In such circumstances, or in the event that the Participant incurs such a Total Disability within not more than three months of the Participant’s Severance Date if the termination of the Participant’s employment was for any reason other than a termination of employment by the Corporation or one of its Subsidiaries for Cause, the Option may, to the extent the Option was vested and exercisable by the Participant on the Participant’s Severance Date, be exercised by the Participant (or, if the Participant is then incapacitated, by the Participant's personal representatives, heirs, or legatees) at any time during the one-year period following the Participant’s Severance Date. The Option, to the extent exercisable for the one-year period following the Participant’s Severance Date and not exercised during such period, shall terminate at the close of business on the last day of the one-year period. For purposes of the Option, “Total Disability” (which term shall include “Totally Disabled”) means a “permanent and total disability” within the meaning of Section 22(e)(3) of the Code.</w:t>
      </w:r>
    </w:p>
    <w:p>
      <w:pPr>
        <w:spacing w:after="0" w:line="177" w:lineRule="exact"/>
        <w:rPr>
          <w:rFonts w:ascii="Arial" w:cs="Arial" w:eastAsia="Arial" w:hAnsi="Arial"/>
          <w:sz w:val="17"/>
          <w:szCs w:val="17"/>
          <w:color w:val="auto"/>
        </w:rPr>
      </w:pPr>
    </w:p>
    <w:p>
      <w:pPr>
        <w:ind w:left="-8" w:firstLine="8"/>
        <w:spacing w:after="0" w:line="257"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 dies while he or she is an employee of the Corporation or any of its Subsidiaries, the Option (to the extent outstanding and not previously vested and exercisable) shall vest and become exercisable on the Participant’s Severance Date and shall continue to be exercisable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w:t>
      </w:r>
    </w:p>
    <w:p>
      <w:pPr>
        <w:spacing w:after="0" w:line="188" w:lineRule="exact"/>
        <w:rPr>
          <w:rFonts w:ascii="Arial" w:cs="Arial" w:eastAsia="Arial" w:hAnsi="Arial"/>
          <w:sz w:val="18"/>
          <w:szCs w:val="18"/>
          <w:color w:val="auto"/>
        </w:rPr>
      </w:pPr>
    </w:p>
    <w:p>
      <w:pPr>
        <w:ind w:left="-8" w:right="20" w:firstLine="8"/>
        <w:spacing w:after="0" w:line="267" w:lineRule="auto"/>
        <w:tabs>
          <w:tab w:leader="none" w:pos="38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the Participant Retires from the Corporation or one of its Subsidiaries, the Option (to the extent outstanding and not previously vested and exercisable) shall vest and become exercisable on the Participant’s Severance Date and shall continue to be exercisable by the Participant (or if the Participant is then deceased,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 Notwithstanding the foregoing, in the event a Retired Participant provides services to a competitor of the Corporation or any of its Subsidiaries as an employee, consultant, director, officer, representative, independent contractor or otherwise, or otherwise competes with the business of the Corporation or its Subsidiaries (in each case as determined by the Administrator its sole discretion), the Option, to the extent not previously exercised, shall immediately terminate. In addition, in such event the Corporation shall have the right to recover any profits realized by such Retired Participant as a result of any exercise of the Option during the six-month period prior to the date such Retired Participant commenced providing such services to a competitor. For this purpose, the Participant shall be deemed to have “Retired” (which term shall include “Retirement,” “Retire” and “Retires”) if the Participant retires from employment with the Corporation or one of its Subsidiaries for any reason other than Cause after satisfying all of the following at the time of such retirement: (i) the Participant is at least 65 years of age, (ii) the Participant’s age plus total years of continuous service with the Corporation or any of its Subsidiaries (as determined by the Administrator in its sole discretion) totals at least 75, and (iii) the Participant has five (5) or more years of continuous service with the Corporation or any of its Subsidiaries (as determined by the Administrator in its sole discretion) ending on the date of such retirement. For purposes of calculating “age plus total years of continuous service” under clause (ii) above, fractional years shall be disregarded but may be cumulated (so that, by way of example only, a Participant who is age 65 and 6 months with 9 years and 6 months of continuous service would satisfy the requirements of clause (ii), while a Participant who is age 65 and 6 months with 9 years and 5 months of continuous service would not satisfy the requirements of clause (ii)). For purposes of calculating the Participant’s “years of continuous service” under clause (ii) or clause (iii) above,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187" w:lineRule="exact"/>
        <w:rPr>
          <w:rFonts w:ascii="Arial" w:cs="Arial" w:eastAsia="Arial" w:hAnsi="Arial"/>
          <w:sz w:val="17"/>
          <w:szCs w:val="17"/>
          <w:color w:val="auto"/>
        </w:rPr>
      </w:pPr>
    </w:p>
    <w:p>
      <w:pPr>
        <w:ind w:left="-8" w:right="140" w:firstLine="8"/>
        <w:spacing w:after="0" w:line="264"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the foregoing provisions of this Section 7, if the Participant's employment with the Corporation or any of its Subsidiaries is terminated by the Corporation or one of its Subsidiaries for Cause, the Option (whether or not all or any portion of such Option is then vested and exercisable)</w:t>
      </w: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12"/>
          </w:cols>
          <w:pgMar w:left="248" w:top="625" w:right="239" w:bottom="1440" w:gutter="0" w:footer="0" w:header="0"/>
        </w:sectPr>
      </w:pPr>
    </w:p>
    <w:bookmarkStart w:id="110" w:name="page111"/>
    <w:bookmarkEnd w:id="110"/>
    <w:p>
      <w:pPr>
        <w:ind w:right="120"/>
        <w:spacing w:after="0" w:line="264" w:lineRule="auto"/>
        <w:rPr>
          <w:sz w:val="20"/>
          <w:szCs w:val="20"/>
          <w:color w:val="auto"/>
        </w:rPr>
      </w:pPr>
      <w:r>
        <w:rPr>
          <w:rFonts w:ascii="Arial" w:cs="Arial" w:eastAsia="Arial" w:hAnsi="Arial"/>
          <w:sz w:val="18"/>
          <w:szCs w:val="18"/>
          <w:color w:val="auto"/>
        </w:rPr>
        <w:t>shall immediately terminate effective immediately following the Participant’s Severance Date. For these purposes, the term “Cause” shall mean the occurrence or existence of any of the following with respect to the Participant, as determined by the Administrator or its delegate or delegates in its or their sole discretion:</w:t>
      </w:r>
    </w:p>
    <w:p>
      <w:pPr>
        <w:spacing w:after="0" w:line="181" w:lineRule="exact"/>
        <w:rPr>
          <w:sz w:val="20"/>
          <w:szCs w:val="20"/>
          <w:color w:val="auto"/>
        </w:rPr>
      </w:pPr>
    </w:p>
    <w:p>
      <w:pPr>
        <w:ind w:left="660" w:right="220" w:firstLine="645"/>
        <w:spacing w:after="0" w:line="277" w:lineRule="auto"/>
        <w:tabs>
          <w:tab w:leader="none" w:pos="16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whether prior or subsequent to the date hereof, the Participant’s willful engaging in dishonest or fraudulent actions or omissions;</w:t>
      </w:r>
    </w:p>
    <w:p>
      <w:pPr>
        <w:spacing w:after="0" w:line="248" w:lineRule="exact"/>
        <w:rPr>
          <w:rFonts w:ascii="Arial" w:cs="Arial" w:eastAsia="Arial" w:hAnsi="Arial"/>
          <w:sz w:val="16"/>
          <w:szCs w:val="16"/>
          <w:color w:val="auto"/>
        </w:rPr>
      </w:pPr>
    </w:p>
    <w:p>
      <w:pPr>
        <w:ind w:left="1760" w:hanging="455"/>
        <w:spacing w:after="0"/>
        <w:tabs>
          <w:tab w:leader="none" w:pos="17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17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negligence, insubordination, violation by the Participant of any duty (loyalty or otherwise) owed to the Corporation, one or more of its Subsidiaries, or any of their respective affiliates, or any other misconduct on the part of the Participant;</w:t>
      </w:r>
    </w:p>
    <w:p>
      <w:pPr>
        <w:spacing w:after="0" w:line="170" w:lineRule="exact"/>
        <w:rPr>
          <w:rFonts w:ascii="Arial" w:cs="Arial" w:eastAsia="Arial" w:hAnsi="Arial"/>
          <w:sz w:val="18"/>
          <w:szCs w:val="18"/>
          <w:color w:val="auto"/>
        </w:rPr>
      </w:pPr>
    </w:p>
    <w:p>
      <w:pPr>
        <w:ind w:left="660" w:right="220" w:firstLine="645"/>
        <w:spacing w:after="0" w:line="286" w:lineRule="auto"/>
        <w:tabs>
          <w:tab w:leader="none" w:pos="1698"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repeated non-prescription use of any controlled substance, or the repeated use of alcohol or any other non-controlled substance which in the Administrator’s (or its delegate’s or delegates’) reasonable determination interferes with the Participant’s service as an officer or employee of the Corporation, one or more of its Subsidiaries, or any of their respective affiliates;</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400" w:firstLine="645"/>
        <w:spacing w:after="0" w:line="277" w:lineRule="auto"/>
        <w:tabs>
          <w:tab w:leader="none" w:pos="1798"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0" w:lineRule="exact"/>
        <w:rPr>
          <w:rFonts w:ascii="Arial" w:cs="Arial" w:eastAsia="Arial" w:hAnsi="Arial"/>
          <w:sz w:val="16"/>
          <w:szCs w:val="16"/>
          <w:color w:val="auto"/>
        </w:rPr>
      </w:pPr>
    </w:p>
    <w:p>
      <w:pPr>
        <w:ind w:left="660" w:right="100" w:firstLine="645"/>
        <w:spacing w:after="0" w:line="277" w:lineRule="auto"/>
        <w:tabs>
          <w:tab w:leader="none" w:pos="17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 or</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1798" w:val="left"/>
        </w:tabs>
        <w:numPr>
          <w:ilvl w:val="1"/>
          <w:numId w:val="79"/>
        </w:numPr>
        <w:rPr>
          <w:rFonts w:ascii="Arial" w:cs="Arial" w:eastAsia="Arial" w:hAnsi="Arial"/>
          <w:sz w:val="18"/>
          <w:szCs w:val="18"/>
          <w:color w:val="auto"/>
        </w:rPr>
      </w:pPr>
      <w:r>
        <w:rPr>
          <w:rFonts w:ascii="Arial" w:cs="Arial" w:eastAsia="Arial" w:hAnsi="Arial"/>
          <w:sz w:val="18"/>
          <w:szCs w:val="18"/>
          <w:color w:val="auto"/>
        </w:rPr>
        <w:t>breach of any policy of, or agreement with, the Corporation, one or more of its Subsidiaries, or any of their respective affiliates applicable to the Participant or to which the Participant is otherwise bound.</w:t>
      </w:r>
    </w:p>
    <w:p>
      <w:pPr>
        <w:spacing w:after="0" w:line="170" w:lineRule="exact"/>
        <w:rPr>
          <w:rFonts w:ascii="Arial" w:cs="Arial" w:eastAsia="Arial" w:hAnsi="Arial"/>
          <w:sz w:val="18"/>
          <w:szCs w:val="18"/>
          <w:color w:val="auto"/>
        </w:rPr>
      </w:pPr>
    </w:p>
    <w:p>
      <w:pPr>
        <w:ind w:right="40" w:firstLine="8"/>
        <w:spacing w:after="0" w:line="273" w:lineRule="auto"/>
        <w:tabs>
          <w:tab w:leader="none" w:pos="36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Continuation of Services</w:t>
      </w:r>
      <w:r>
        <w:rPr>
          <w:rFonts w:ascii="Arial" w:cs="Arial" w:eastAsia="Arial" w:hAnsi="Arial"/>
          <w:sz w:val="17"/>
          <w:szCs w:val="17"/>
          <w:color w:val="auto"/>
        </w:rPr>
        <w:t>. If the Participant’s employment with the Corporation or any of its Subsidiaries terminates (regardless of the reason) but, immediately thereafter, the Participant continues to render services to the Corporation or any of its Subsidiaries as an employee, director or consultant, such Participant’s Severance Date for purposes of the Option shall not be the date such Participant’s employment terminates, but instead shall be the last day that the Participant either is employed by or actually renders services to the Corporation or any of its Subsidiaries. As provided in Section 6.1 of the Plan, the Administrator shall be the sole judge for purposes of the Option of whether the Participant continues to render services to the Corporation or its Subsidiaries and the date, if any, upon which such services shall be deemed to have terminated.</w:t>
      </w:r>
    </w:p>
    <w:p>
      <w:pPr>
        <w:spacing w:after="0" w:line="178" w:lineRule="exact"/>
        <w:rPr>
          <w:rFonts w:ascii="Arial" w:cs="Arial" w:eastAsia="Arial" w:hAnsi="Arial"/>
          <w:sz w:val="17"/>
          <w:szCs w:val="17"/>
          <w:color w:val="auto"/>
        </w:rPr>
      </w:pPr>
    </w:p>
    <w:p>
      <w:pPr>
        <w:ind w:right="220" w:firstLine="8"/>
        <w:spacing w:after="0" w:line="277"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Exercise Period for ISOs</w:t>
      </w:r>
      <w:r>
        <w:rPr>
          <w:rFonts w:ascii="Arial" w:cs="Arial" w:eastAsia="Arial" w:hAnsi="Arial"/>
          <w:sz w:val="18"/>
          <w:szCs w:val="18"/>
          <w:color w:val="auto"/>
        </w:rPr>
        <w:t>. Notwithstanding any post-termination exercise period provided for herein or in the Plan, the Option will qualify as an ISO only if it is exercised within the applicable exercise periods for ISOs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240" w:top="625" w:right="359" w:bottom="1440" w:gutter="0" w:footer="0" w:header="0"/>
        </w:sectPr>
      </w:pPr>
    </w:p>
    <w:bookmarkStart w:id="111" w:name="page112"/>
    <w:bookmarkEnd w:id="111"/>
    <w:p>
      <w:pPr>
        <w:ind w:right="320"/>
        <w:spacing w:after="0" w:line="277" w:lineRule="auto"/>
        <w:rPr>
          <w:sz w:val="20"/>
          <w:szCs w:val="20"/>
          <w:color w:val="auto"/>
        </w:rPr>
      </w:pPr>
      <w:r>
        <w:rPr>
          <w:rFonts w:ascii="Arial" w:cs="Arial" w:eastAsia="Arial" w:hAnsi="Arial"/>
          <w:sz w:val="18"/>
          <w:szCs w:val="18"/>
          <w:color w:val="auto"/>
        </w:rPr>
        <w:t>under, and meets all of the other requirements of, the Code. If the Option is not exercised within the applicable exercise periods for ISOs or does not meet such other requirements, the Option will be rendered a nonqualified stock option.</w:t>
      </w:r>
    </w:p>
    <w:p>
      <w:pPr>
        <w:spacing w:after="0" w:line="166"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170" w:lineRule="exact"/>
        <w:rPr>
          <w:sz w:val="20"/>
          <w:szCs w:val="20"/>
          <w:color w:val="auto"/>
        </w:rPr>
      </w:pPr>
    </w:p>
    <w:p>
      <w:pPr>
        <w:ind w:left="980" w:right="500" w:hanging="297"/>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70" w:lineRule="exact"/>
        <w:rPr>
          <w:rFonts w:ascii="Arial" w:cs="Arial" w:eastAsia="Arial" w:hAnsi="Arial"/>
          <w:sz w:val="18"/>
          <w:szCs w:val="18"/>
          <w:color w:val="auto"/>
        </w:rPr>
      </w:pPr>
    </w:p>
    <w:p>
      <w:pPr>
        <w:ind w:left="980" w:hanging="297"/>
        <w:spacing w:after="0" w:line="276" w:lineRule="auto"/>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approval by the Administrator and such rules as the Administrator may adopt as to any non-cash payment) in shares of Common Stock either already owned by the Participant or otherwise deliverable hereunder in connection with such Option exercise), such shares in each case valued at their fair market value (as determined under the Plan) on the exercise date;</w:t>
      </w:r>
    </w:p>
    <w:p>
      <w:pPr>
        <w:spacing w:after="0" w:line="172" w:lineRule="exact"/>
        <w:rPr>
          <w:rFonts w:ascii="Arial" w:cs="Arial" w:eastAsia="Arial" w:hAnsi="Arial"/>
          <w:sz w:val="17"/>
          <w:szCs w:val="17"/>
          <w:color w:val="auto"/>
        </w:rPr>
      </w:pPr>
    </w:p>
    <w:p>
      <w:pPr>
        <w:ind w:left="980" w:hanging="297"/>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written statements or agreements required by the Administrator pursuant to Section 8.1 of the Plan; and</w:t>
      </w:r>
    </w:p>
    <w:p>
      <w:pPr>
        <w:spacing w:after="0" w:line="225" w:lineRule="exact"/>
        <w:rPr>
          <w:rFonts w:ascii="Arial" w:cs="Arial" w:eastAsia="Arial" w:hAnsi="Arial"/>
          <w:sz w:val="18"/>
          <w:szCs w:val="18"/>
          <w:color w:val="auto"/>
        </w:rPr>
      </w:pPr>
    </w:p>
    <w:p>
      <w:pPr>
        <w:ind w:left="980" w:hanging="297"/>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satisfaction of the tax withholding provisions of Section 8.5 of the Plan.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Administrator also may, but is not required to, authorize a non-cash payment alternative by notice and third party payment in such manner as may be authorized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Option will qualify as an ISO only if it meets all of the applicable requirements of the Code.</w:t>
      </w:r>
    </w:p>
    <w:p>
      <w:pPr>
        <w:spacing w:after="0" w:line="221"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and any other rights of the Participant under this Option Agreement or the Plan are nontransferable and exercisable only by the Participant, except as set forth in Section 5.7 of the Plan. For purposes of clarity, the Administrator has not authorized any transfer exceptions as contemplated by Section 5.7.2 of the Plan.</w:t>
      </w:r>
    </w:p>
    <w:p>
      <w:pPr>
        <w:spacing w:after="0" w:line="177"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Option Agreement or the Plan constitutes a continued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Neither the Participant nor any beneficiary or other person claiming under or through the Participant shall have any right, title, 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625" w:right="259" w:bottom="1440" w:gutter="0" w:footer="0" w:header="0"/>
        </w:sectPr>
      </w:pPr>
    </w:p>
    <w:bookmarkStart w:id="112" w:name="page113"/>
    <w:bookmarkEnd w:id="112"/>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notice to be given under the terms of this Option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12.</w:t>
      </w:r>
    </w:p>
    <w:p>
      <w:pPr>
        <w:spacing w:after="0" w:line="174"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controversy arising out of or relating to this Option Agreement (including these Standard Terms) and/or the Plan, their enforcement or interpretation, or because of an alleged breach, default, or misrepresentation in connection with any of their provisions, or any other controversy or claim arising out of or related to the Option or the Participant’s employment or service,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13).</w:t>
      </w:r>
    </w:p>
    <w:p>
      <w:pPr>
        <w:spacing w:after="0" w:line="169"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Option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If the arbitrator selected in accordance with Section 13 or a court of competent jurisdiction determines that any portion of this Option Agreement (including these Standard Terms) or the Plan is in violation of any statute or public policy, then only the portions of this Option Agreement or the Plan, as applicable, which are found to violate such statute or public policy shall be stricken, and all portions of this Option Agreement and the Plan which are not found to violate any statute or public policy shall continue in full force and effect. Furthermore, it is the parties’ intent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837" w:right="259" w:bottom="1440" w:gutter="0" w:footer="0" w:header="0"/>
        </w:sectPr>
      </w:pPr>
    </w:p>
    <w:bookmarkStart w:id="113" w:name="page114"/>
    <w:bookmarkEnd w:id="113"/>
    <w:p>
      <w:pPr>
        <w:ind w:right="280"/>
        <w:spacing w:after="0" w:line="277" w:lineRule="auto"/>
        <w:rPr>
          <w:sz w:val="20"/>
          <w:szCs w:val="20"/>
          <w:color w:val="auto"/>
        </w:rPr>
      </w:pPr>
      <w:r>
        <w:rPr>
          <w:rFonts w:ascii="Arial" w:cs="Arial" w:eastAsia="Arial" w:hAnsi="Arial"/>
          <w:sz w:val="18"/>
          <w:szCs w:val="18"/>
          <w:color w:val="auto"/>
        </w:rPr>
        <w:t>any order striking any portion of this Option Agreement and/or the Plan should modify the stricken terms as narrowly as possible to give as much effect as possible to the intentions of the parties hereunder.</w:t>
      </w:r>
    </w:p>
    <w:p>
      <w:pPr>
        <w:spacing w:after="0" w:line="166"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Option Agreement (including these Standard Terms)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Option Agreement are for convenience of reference only and shall not be deemed to alter or affect any provision hereof.</w:t>
      </w:r>
    </w:p>
    <w:p>
      <w:pPr>
        <w:spacing w:after="0" w:line="233"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Option shall be subject to any additional terms and conditions for non-U.S. employees set forth in Appendix A attached hereto (“Appendix A”) and any terms and conditions for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Option Agreement.</w:t>
      </w:r>
    </w:p>
    <w:p>
      <w:pPr>
        <w:spacing w:after="0" w:line="184"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Imposition of Other Requirements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Corporation reserves the right to impose other requirements on Participant’s participation in the Plan, on the Option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77"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Option is subject to the forfeiture and clawback provisions of Section 8.14(a) of the Plan.</w:t>
      </w:r>
    </w:p>
    <w:p>
      <w:pPr>
        <w:spacing w:after="0" w:line="22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Participant acknowledges and agrees that he or she should consult with his or her own tax, legal and/or investment advisors with respect to any advice the Participant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8.5 of the Plan, the Participant is solely responsible for any and all tax liability that may arise with respect to the Option and any shares that may be acquired upon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10.1.3</w:t>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Western Digital Corporation</w:t>
      </w:r>
    </w:p>
    <w:p>
      <w:pPr>
        <w:ind w:left="7000"/>
        <w:spacing w:after="0" w:line="226" w:lineRule="auto"/>
        <w:rPr>
          <w:sz w:val="20"/>
          <w:szCs w:val="20"/>
          <w:color w:val="auto"/>
        </w:rPr>
      </w:pPr>
      <w:r>
        <w:rPr>
          <w:rFonts w:ascii="Arial" w:cs="Arial" w:eastAsia="Arial" w:hAnsi="Arial"/>
          <w:sz w:val="14"/>
          <w:szCs w:val="14"/>
          <w:color w:val="auto"/>
        </w:rPr>
        <w:t>ID: 33-0956711</w:t>
      </w:r>
    </w:p>
    <w:p>
      <w:pPr>
        <w:ind w:left="7000"/>
        <w:spacing w:after="0" w:line="222" w:lineRule="auto"/>
        <w:rPr>
          <w:sz w:val="20"/>
          <w:szCs w:val="20"/>
          <w:color w:val="auto"/>
        </w:rPr>
      </w:pPr>
      <w:r>
        <w:rPr>
          <w:rFonts w:ascii="Arial" w:cs="Arial" w:eastAsia="Arial" w:hAnsi="Arial"/>
          <w:sz w:val="14"/>
          <w:szCs w:val="14"/>
          <w:color w:val="auto"/>
        </w:rPr>
        <w:t>3355 Michelson Drive, Suite 100</w:t>
      </w:r>
    </w:p>
    <w:p>
      <w:pPr>
        <w:ind w:left="7000"/>
        <w:spacing w:after="0"/>
        <w:rPr>
          <w:sz w:val="20"/>
          <w:szCs w:val="20"/>
          <w:color w:val="auto"/>
        </w:rPr>
      </w:pPr>
      <w:r>
        <w:rPr>
          <w:rFonts w:ascii="Arial" w:cs="Arial" w:eastAsia="Arial" w:hAnsi="Arial"/>
          <w:sz w:val="14"/>
          <w:szCs w:val="14"/>
          <w:color w:val="auto"/>
        </w:rPr>
        <w:t>Irvine, CA 92612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150495</wp:posOffset>
            </wp:positionV>
            <wp:extent cx="183515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Notice of Grant of Stock Units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and Stock Unit Award Agreement - Executives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340" w:type="dxa"/>
            <w:vAlign w:val="bottom"/>
          </w:tcPr>
          <w:p>
            <w:pPr>
              <w:spacing w:after="0"/>
              <w:rPr>
                <w:sz w:val="20"/>
                <w:szCs w:val="20"/>
                <w:color w:val="auto"/>
              </w:rPr>
            </w:pPr>
            <w:r>
              <w:rPr>
                <w:rFonts w:ascii="Arial" w:cs="Arial" w:eastAsia="Arial" w:hAnsi="Arial"/>
                <w:sz w:val="22"/>
                <w:szCs w:val="22"/>
                <w:b w:val="1"/>
                <w:bCs w:val="1"/>
                <w:color w:val="auto"/>
              </w:rPr>
              <w:t>«fn» «mn» «ln»</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Award Number:</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w w:val="90"/>
              </w:rPr>
              <w:t>«nbr»</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«ad1»</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Plan:</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w w:val="93"/>
              </w:rPr>
              <w:t>«pln»</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«ad2»</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ID:</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rPr>
              <w:t>«id»</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«cty», «st» «z»</w:t>
            </w:r>
          </w:p>
        </w:tc>
        <w:tc>
          <w:tcPr>
            <w:tcW w:w="42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25" w:lineRule="exact"/>
        <w:rPr>
          <w:sz w:val="20"/>
          <w:szCs w:val="20"/>
          <w:color w:val="auto"/>
        </w:rPr>
      </w:pPr>
    </w:p>
    <w:p>
      <w:pPr>
        <w:ind w:right="540"/>
        <w:spacing w:after="0" w:line="273" w:lineRule="auto"/>
        <w:rPr>
          <w:sz w:val="20"/>
          <w:szCs w:val="20"/>
          <w:color w:val="auto"/>
        </w:rPr>
      </w:pPr>
      <w:r>
        <w:rPr>
          <w:rFonts w:ascii="Arial" w:cs="Arial" w:eastAsia="Arial" w:hAnsi="Arial"/>
          <w:sz w:val="22"/>
          <w:szCs w:val="22"/>
          <w:color w:val="auto"/>
        </w:rPr>
        <w:t>Congratulations! Effective «optdt», you have been granted stock units of Western Digital Corporation. These stock units were granted under the 2017 Performance Incentive Plan (the “Plan”).</w:t>
      </w:r>
      <w:r>
        <w:rPr>
          <w:rFonts w:ascii="Arial" w:cs="Arial" w:eastAsia="Arial" w:hAnsi="Arial"/>
          <w:sz w:val="28"/>
          <w:szCs w:val="28"/>
          <w:color w:val="auto"/>
          <w:vertAlign w:val="superscript"/>
        </w:rPr>
        <w:t>1</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8"/>
          <w:szCs w:val="28"/>
          <w:b w:val="1"/>
          <w:bCs w:val="1"/>
          <w:color w:val="auto"/>
          <w:vertAlign w:val="superscript"/>
        </w:rPr>
        <w:t>2</w:t>
      </w:r>
      <w:r>
        <w:rPr>
          <w:rFonts w:ascii="Arial" w:cs="Arial" w:eastAsia="Arial" w:hAnsi="Arial"/>
          <w:sz w:val="22"/>
          <w:szCs w:val="22"/>
          <w:b w:val="1"/>
          <w:bCs w:val="1"/>
          <w:color w:val="auto"/>
        </w:rPr>
        <w:t>:</w:t>
      </w:r>
    </w:p>
    <w:p>
      <w:pPr>
        <w:spacing w:after="0" w:line="285" w:lineRule="exact"/>
        <w:rPr>
          <w:sz w:val="20"/>
          <w:szCs w:val="20"/>
          <w:color w:val="auto"/>
        </w:rPr>
      </w:pPr>
    </w:p>
    <w:tbl>
      <w:tblPr>
        <w:tblLayout w:type="fixed"/>
        <w:tblInd w:w="228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22"/>
                <w:szCs w:val="22"/>
                <w:color w:val="auto"/>
                <w:w w:val="91"/>
              </w:rPr>
              <w:t>Units</w:t>
            </w: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22"/>
                <w:szCs w:val="22"/>
                <w:color w:val="auto"/>
                <w:w w:val="84"/>
              </w:rPr>
              <w:t>Vest Type</w:t>
            </w:r>
          </w:p>
        </w:tc>
        <w:tc>
          <w:tcPr>
            <w:tcW w:w="780" w:type="dxa"/>
            <w:vAlign w:val="bottom"/>
          </w:tcPr>
          <w:p>
            <w:pPr>
              <w:spacing w:after="0"/>
              <w:rPr>
                <w:sz w:val="21"/>
                <w:szCs w:val="21"/>
                <w:color w:val="auto"/>
              </w:rPr>
            </w:pPr>
          </w:p>
        </w:tc>
        <w:tc>
          <w:tcPr>
            <w:tcW w:w="1560" w:type="dxa"/>
            <w:vAlign w:val="bottom"/>
            <w:gridSpan w:val="2"/>
          </w:tcPr>
          <w:p>
            <w:pPr>
              <w:jc w:val="center"/>
              <w:ind w:left="692"/>
              <w:spacing w:after="0"/>
              <w:rPr>
                <w:sz w:val="20"/>
                <w:szCs w:val="20"/>
                <w:color w:val="auto"/>
              </w:rPr>
            </w:pPr>
            <w:r>
              <w:rPr>
                <w:rFonts w:ascii="Arial" w:cs="Arial" w:eastAsia="Arial" w:hAnsi="Arial"/>
                <w:sz w:val="22"/>
                <w:szCs w:val="22"/>
                <w:color w:val="auto"/>
                <w:w w:val="88"/>
              </w:rPr>
              <w:t>Full Vest</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328"/>
        </w:trPr>
        <w:tc>
          <w:tcPr>
            <w:tcW w:w="1400" w:type="dxa"/>
            <w:vAlign w:val="bottom"/>
            <w:gridSpan w:val="3"/>
          </w:tcPr>
          <w:p>
            <w:pPr>
              <w:spacing w:after="0"/>
              <w:rPr>
                <w:sz w:val="20"/>
                <w:szCs w:val="20"/>
                <w:color w:val="auto"/>
              </w:rPr>
            </w:pPr>
            <w:r>
              <w:rPr>
                <w:rFonts w:ascii="Arial" w:cs="Arial" w:eastAsia="Arial" w:hAnsi="Arial"/>
                <w:sz w:val="22"/>
                <w:szCs w:val="22"/>
                <w:color w:val="auto"/>
              </w:rPr>
              <w:t>«sp1»</w:t>
            </w:r>
          </w:p>
        </w:tc>
        <w:tc>
          <w:tcPr>
            <w:tcW w:w="860" w:type="dxa"/>
            <w:vAlign w:val="bottom"/>
          </w:tcPr>
          <w:p>
            <w:pPr>
              <w:spacing w:after="0"/>
              <w:rPr>
                <w:sz w:val="24"/>
                <w:szCs w:val="24"/>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22"/>
                <w:szCs w:val="22"/>
                <w:color w:val="auto"/>
                <w:w w:val="89"/>
              </w:rPr>
              <w:t>«vtpr1»</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«vdp1»</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«sp2»</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«vtp2»</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«vdp2»</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«sp3»</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«vtp3»</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«vdp3»</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«sp4»</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«vtp4»</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«vdp4»</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Your stock unit award is subject to the terms and conditions of this Notice, the attached Standard Terms and Conditions for Stock Unit Awards</w:t>
      </w:r>
    </w:p>
    <w:p>
      <w:pPr>
        <w:spacing w:after="0" w:line="39"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 Executives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79"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hanging="72"/>
        <w:spacing w:after="0"/>
        <w:tabs>
          <w:tab w:leader="none" w:pos="80" w:val="left"/>
        </w:tabs>
        <w:numPr>
          <w:ilvl w:val="0"/>
          <w:numId w:val="97"/>
        </w:numPr>
        <w:rPr>
          <w:rFonts w:ascii="Arial" w:cs="Arial" w:eastAsia="Arial" w:hAnsi="Arial"/>
          <w:sz w:val="9"/>
          <w:szCs w:val="9"/>
          <w:color w:val="auto"/>
        </w:rPr>
      </w:pPr>
      <w:r>
        <w:rPr>
          <w:rFonts w:ascii="Arial" w:cs="Arial" w:eastAsia="Arial" w:hAnsi="Arial"/>
          <w:sz w:val="14"/>
          <w:szCs w:val="14"/>
          <w:color w:val="auto"/>
        </w:rPr>
        <w:t>The number of stock units subject to the award is subject to adjustment under Section 7.1 of the Plan (for example, and without limitation, in connection with stock splits).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The stock units covered by the award are subject to forfeiture under Section 8 of the attached Standard Terms and Conditions for Stock Unit Awards.</w:t>
      </w:r>
    </w:p>
    <w:p>
      <w:pPr>
        <w:sectPr>
          <w:pgSz w:w="11900" w:h="16838" w:orient="portrait"/>
          <w:cols w:equalWidth="0" w:num="1">
            <w:col w:w="11420"/>
          </w:cols>
          <w:pgMar w:left="240" w:top="364"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Irvine, California 92612 Telephone 949 672-7000</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 UNIT AWARDS - EXECUTIVES</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2017 Performance Incentive Plan</w:t>
      </w:r>
    </w:p>
    <w:p>
      <w:pPr>
        <w:spacing w:after="0" w:line="2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Stock Units Subject to 2017 Performance Incentive Plan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Western Digital Corporation’s (the “Corporation’s”) 2017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Stock Unit Awards – Executives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these Standard Terms, together, constitute the Award Agreement with respect to the Award pursuant to Section 5.3 of the Plan.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Except as otherwise provided in this Award Agreement, the Award shall vest and become nonforfeitable in percentage installments of the aggregate number of Stock Units as set forth in the Notice. Except as expressly provided in Sections 7 and 8 below, the vesting schedule requires continued employment or service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53" w:right="239" w:bottom="1440" w:gutter="0" w:footer="0" w:header="0"/>
        </w:sectPr>
      </w:pPr>
    </w:p>
    <w:bookmarkStart w:id="116" w:name="page117"/>
    <w:bookmarkEnd w:id="116"/>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right="40" w:firstLine="8"/>
        <w:spacing w:after="0" w:line="277" w:lineRule="auto"/>
        <w:tabs>
          <w:tab w:leader="none" w:pos="265"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expressly provided herein, on or within fifteen (15) business days following the vesting of any Stock Units granted (or credited pursuant to Section</w:t>
      </w:r>
    </w:p>
    <w:p>
      <w:pPr>
        <w:spacing w:after="0" w:line="46"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the Participant (whether pursuant to Section 4, Section 7 or Section 8 hereof or Section 7 of the Plan), the Corporation shall deliver to the Participant a</w:t>
      </w:r>
    </w:p>
    <w:p>
      <w:pPr>
        <w:spacing w:after="0" w:line="3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number of shares of Common Stock (either by delivering one or more certificates for such shares or by entering such shares in book entry form, as determined by the Corporation in its sole discretion) equal to the number of Stock Units that vest on the applicable vesting date (including any Stock Units credited as dividend equivalents pursuant to Section 5 with respect to the Stock Units that vest), subject to adjustment as provided in Section 7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The Participant shall have no further rights with respect to any Stock Units that are paid pursuant to this Section 6 or that are terminated pursuant to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portion of the Award that is outstanding and unvested immediately prior to the Change in Control Event shall vest and become payable in accordance with Section 6.</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ind w:right="20" w:firstLine="8"/>
        <w:spacing w:after="0" w:line="269" w:lineRule="auto"/>
        <w:tabs>
          <w:tab w:leader="none" w:pos="38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Generally</w:t>
      </w:r>
      <w:r>
        <w:rPr>
          <w:rFonts w:ascii="Arial" w:cs="Arial" w:eastAsia="Arial" w:hAnsi="Arial"/>
          <w:sz w:val="17"/>
          <w:szCs w:val="17"/>
          <w:color w:val="auto"/>
        </w:rPr>
        <w:t>. Except as expressly provided below in this Section 8, if the Participant ceases to be employed by or to provide services to the Corporation or its Subsidiaries for any reason (the last day that the Participant is employed by the Corporation or a Subsidiary prior to a period of non-employment by any such entity is referred to as the Participant’s “Severance Date”), the Participant’s Stock Units shall, to the extent such Stock Units have not become vested upon the Severance Date, be forfeited to the Corporation effective immediately following the Severance Date; provided, however, that in the event of the Participant’s death at a time when the Participant is employed by or providing services to the Corporation or any of its Subsidiaries, a portion of the otherwise unvested Stock Units shall automatically become fully vested as of such date of death as set forth in the next sentence, and shall be paid to the Participant’s estate as provided in Section 6 above. In the event the date of the Participant’s death is at a time when the Participant is employed by or providing services to the Corporation or any of its Subsidiaries, the number of Stock Units that shall become vested on the date of the Participant’s death equals: (a) the number of Stock Units that would have vested on the next scheduled vesting date applicable to the Award (as set forth in the Notice) (the “Next Scheduled Vesting Date”) had the Participant continued to be employed through such date, multiplied by (b) a fraction (not greater than one), the numerator of which is the number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17" w:name="page118"/>
    <w:bookmarkEnd w:id="117"/>
    <w:p>
      <w:pPr>
        <w:ind w:right="20"/>
        <w:spacing w:after="0" w:line="257" w:lineRule="auto"/>
        <w:rPr>
          <w:sz w:val="20"/>
          <w:szCs w:val="20"/>
          <w:color w:val="auto"/>
        </w:rPr>
      </w:pPr>
      <w:r>
        <w:rPr>
          <w:rFonts w:ascii="Arial" w:cs="Arial" w:eastAsia="Arial" w:hAnsi="Arial"/>
          <w:sz w:val="18"/>
          <w:szCs w:val="18"/>
          <w:color w:val="auto"/>
        </w:rPr>
        <w:t>calendar days following the last scheduled vesting date applicable to the Award as set forth in the Notice (or, if there was no such prior vesting date applicable to the Award, the date of grant of the Stock Units (the “Measurement Date”) through and including the date of the Participant’s death, and the denominator of which is the total number of calendar days in the period beginning with the day after the Measurement Date and ending with the Next Scheduled Vesting Date. Any Stock Units that are not vested after giving effect to the acceleration provided in the preceding sentence shall be forfeited to the Corporation as of the date of the Participant’s death.</w:t>
      </w:r>
    </w:p>
    <w:p>
      <w:pPr>
        <w:spacing w:after="0" w:line="188" w:lineRule="exact"/>
        <w:rPr>
          <w:sz w:val="20"/>
          <w:szCs w:val="20"/>
          <w:color w:val="auto"/>
        </w:rPr>
      </w:pPr>
    </w:p>
    <w:p>
      <w:pPr>
        <w:ind w:right="120" w:firstLine="8"/>
        <w:spacing w:after="0" w:line="257" w:lineRule="auto"/>
        <w:tabs>
          <w:tab w:leader="none" w:pos="39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 Event</w:t>
      </w:r>
      <w:r>
        <w:rPr>
          <w:rFonts w:ascii="Arial" w:cs="Arial" w:eastAsia="Arial" w:hAnsi="Arial"/>
          <w:sz w:val="18"/>
          <w:szCs w:val="18"/>
          <w:color w:val="auto"/>
        </w:rPr>
        <w:t>. In the event the Participant ceases to be employed by the Corporation or any of its Subsidiaries as a result of either a termination of employment by the Corporation or one of its Subsidiaries without “Cause” (as defined below) or the resignation of the Participant for “Good Reason” (as defined below), in either case upon or within the one (1) year period following the occurrence of a Change in Control Event, the Award (to the extent outstanding and not previously vested) shall vest and become payable on the Participant’s Severance Date in accordance with Sections 3 and 6.</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purposes of this Section 8(b), the term “Cause” shall mean the occurrence or existence of any of the following with respect to the Participant, as determined by a majority of the disinterested directors of the Board:</w:t>
      </w:r>
    </w:p>
    <w:p>
      <w:pPr>
        <w:spacing w:after="0" w:line="170" w:lineRule="exact"/>
        <w:rPr>
          <w:sz w:val="20"/>
          <w:szCs w:val="20"/>
          <w:color w:val="auto"/>
        </w:rPr>
      </w:pPr>
    </w:p>
    <w:p>
      <w:pPr>
        <w:ind w:left="660" w:right="340" w:firstLine="645"/>
        <w:spacing w:after="0" w:line="277" w:lineRule="auto"/>
        <w:tabs>
          <w:tab w:leader="none" w:pos="1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660" w:firstLine="645"/>
        <w:spacing w:after="0" w:line="264" w:lineRule="auto"/>
        <w:tabs>
          <w:tab w:leader="none" w:pos="17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prior or subsequent to the date hereof, the Participant’s willful engaging in dishonest or fraudulent actions or omissions which results directly or indirectly in any demonstrable material financial or economic harm to the Corporation, one or more of its Subsidiaries, or any of their respective affiliates;</w:t>
      </w:r>
    </w:p>
    <w:p>
      <w:pPr>
        <w:spacing w:after="0" w:line="181" w:lineRule="exact"/>
        <w:rPr>
          <w:rFonts w:ascii="Arial" w:cs="Arial" w:eastAsia="Arial" w:hAnsi="Arial"/>
          <w:sz w:val="18"/>
          <w:szCs w:val="18"/>
          <w:color w:val="auto"/>
        </w:rPr>
      </w:pPr>
    </w:p>
    <w:p>
      <w:pPr>
        <w:ind w:left="660" w:right="260" w:firstLine="645"/>
        <w:spacing w:after="0" w:line="264" w:lineRule="auto"/>
        <w:tabs>
          <w:tab w:leader="none" w:pos="172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 provided that the Participant shall have first received written notice from the employer stating with specificity the nature of such failure or refusal and affording the Participant at least five (5) days to correct the act or omission complained of;</w:t>
      </w:r>
    </w:p>
    <w:p>
      <w:pPr>
        <w:spacing w:after="0" w:line="181" w:lineRule="exact"/>
        <w:rPr>
          <w:rFonts w:ascii="Arial" w:cs="Arial" w:eastAsia="Arial" w:hAnsi="Arial"/>
          <w:sz w:val="18"/>
          <w:szCs w:val="18"/>
          <w:color w:val="auto"/>
        </w:rPr>
      </w:pPr>
    </w:p>
    <w:p>
      <w:pPr>
        <w:jc w:val="both"/>
        <w:ind w:left="660" w:right="160" w:firstLine="645"/>
        <w:spacing w:after="0" w:line="259" w:lineRule="auto"/>
        <w:tabs>
          <w:tab w:leader="none" w:pos="1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gross negligence, insubordination, material violation by the Participant of any duty of loyalty to the Corporation, one or more of its Subsidiaries, or any of their respective affiliates, or any other material misconduct on the part of the Participant, provided that the Participant shall have first received written notice from the Corporation stating with specificity the nature of such action or violation and affording the Participant at least five (5) days to correct such action or violation;</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7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repeated non-prescription use of any controlled substance, or the repeated use of alcohol or any other non-controlled substance which in the Board’s reasonable determination interferes with the Participant’s service as an officer or employee of the Corporation, one or more of its Subsidiaries, or any of their respective affiliates;</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17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118" w:name="page119"/>
    <w:bookmarkEnd w:id="118"/>
    <w:p>
      <w:pPr>
        <w:ind w:left="660" w:right="180" w:firstLine="645"/>
        <w:spacing w:after="0" w:line="277" w:lineRule="auto"/>
        <w:tabs>
          <w:tab w:leader="none" w:pos="1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8(b), the term “Good Reason” shall mean any of the following without the Participant’s express written consent:</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material diminution in the Participant’s authority, duties or responsibilities in effect immediately prior to the Change in Control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right="400" w:firstLine="645"/>
        <w:spacing w:after="0" w:line="277" w:lineRule="auto"/>
        <w:tabs>
          <w:tab w:leader="none" w:pos="17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pacing w:after="0" w:line="170" w:lineRule="exact"/>
        <w:rPr>
          <w:rFonts w:ascii="Arial" w:cs="Arial" w:eastAsia="Arial" w:hAnsi="Arial"/>
          <w:sz w:val="18"/>
          <w:szCs w:val="18"/>
          <w:color w:val="auto"/>
        </w:rPr>
      </w:pPr>
    </w:p>
    <w:p>
      <w:pPr>
        <w:ind w:left="660" w:right="300" w:firstLine="645"/>
        <w:spacing w:after="0" w:line="264" w:lineRule="auto"/>
        <w:tabs>
          <w:tab w:leader="none" w:pos="17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firstLine="645"/>
        <w:spacing w:after="0" w:line="277" w:lineRule="auto"/>
        <w:tabs>
          <w:tab w:leader="none" w:pos="17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purposes of this Award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The Administrator may accelerate the vesting of the Stock Units in such circumstances as it, in its sole discretion, may determine.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119" w:name="page120"/>
    <w:bookmarkEnd w:id="119"/>
    <w:p>
      <w:pPr>
        <w:ind w:right="220"/>
        <w:spacing w:after="0" w:line="264" w:lineRule="auto"/>
        <w:rPr>
          <w:sz w:val="20"/>
          <w:szCs w:val="20"/>
          <w:color w:val="auto"/>
        </w:rPr>
      </w:pPr>
      <w:r>
        <w:rPr>
          <w:rFonts w:ascii="Arial" w:cs="Arial" w:eastAsia="Arial" w:hAnsi="Arial"/>
          <w:sz w:val="18"/>
          <w:szCs w:val="18"/>
          <w:color w:val="auto"/>
        </w:rPr>
        <w:t>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applicable withholding rates.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8" w:right="259" w:bottom="1440" w:gutter="0" w:footer="0" w:header="0"/>
        </w:sectPr>
      </w:pPr>
    </w:p>
    <w:bookmarkStart w:id="120" w:name="page121"/>
    <w:bookmarkEnd w:id="120"/>
    <w:p>
      <w:pPr>
        <w:ind w:right="120"/>
        <w:spacing w:after="0" w:line="288" w:lineRule="auto"/>
        <w:rPr>
          <w:sz w:val="20"/>
          <w:szCs w:val="20"/>
          <w:color w:val="auto"/>
        </w:rPr>
      </w:pPr>
      <w:r>
        <w:rPr>
          <w:rFonts w:ascii="Arial" w:cs="Arial" w:eastAsia="Arial" w:hAnsi="Arial"/>
          <w:sz w:val="16"/>
          <w:szCs w:val="16"/>
          <w:color w:val="auto"/>
        </w:rPr>
        <w:t>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121" w:name="page122"/>
    <w:bookmarkEnd w:id="121"/>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36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10.1.4</w:t>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Western Digital Corporation</w:t>
      </w:r>
    </w:p>
    <w:p>
      <w:pPr>
        <w:ind w:left="7000"/>
        <w:spacing w:after="0" w:line="226" w:lineRule="auto"/>
        <w:rPr>
          <w:sz w:val="20"/>
          <w:szCs w:val="20"/>
          <w:color w:val="auto"/>
        </w:rPr>
      </w:pPr>
      <w:r>
        <w:rPr>
          <w:rFonts w:ascii="Arial" w:cs="Arial" w:eastAsia="Arial" w:hAnsi="Arial"/>
          <w:sz w:val="14"/>
          <w:szCs w:val="14"/>
          <w:color w:val="auto"/>
        </w:rPr>
        <w:t>ID: 33-0956711</w:t>
      </w:r>
    </w:p>
    <w:p>
      <w:pPr>
        <w:ind w:left="7000"/>
        <w:spacing w:after="0" w:line="222" w:lineRule="auto"/>
        <w:rPr>
          <w:sz w:val="20"/>
          <w:szCs w:val="20"/>
          <w:color w:val="auto"/>
        </w:rPr>
      </w:pPr>
      <w:r>
        <w:rPr>
          <w:rFonts w:ascii="Arial" w:cs="Arial" w:eastAsia="Arial" w:hAnsi="Arial"/>
          <w:sz w:val="14"/>
          <w:szCs w:val="14"/>
          <w:color w:val="auto"/>
        </w:rPr>
        <w:t>3355 Michelson Drive, Suite 100</w:t>
      </w:r>
    </w:p>
    <w:p>
      <w:pPr>
        <w:ind w:left="7000"/>
        <w:spacing w:after="0"/>
        <w:rPr>
          <w:sz w:val="20"/>
          <w:szCs w:val="20"/>
          <w:color w:val="auto"/>
        </w:rPr>
      </w:pPr>
      <w:r>
        <w:rPr>
          <w:rFonts w:ascii="Arial" w:cs="Arial" w:eastAsia="Arial" w:hAnsi="Arial"/>
          <w:sz w:val="14"/>
          <w:szCs w:val="14"/>
          <w:color w:val="auto"/>
        </w:rPr>
        <w:t>Irvine, CA 92612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83515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340" w:type="dxa"/>
            <w:vAlign w:val="bottom"/>
          </w:tcPr>
          <w:p>
            <w:pPr>
              <w:spacing w:after="0"/>
              <w:rPr>
                <w:sz w:val="20"/>
                <w:szCs w:val="20"/>
                <w:color w:val="auto"/>
              </w:rPr>
            </w:pPr>
            <w:r>
              <w:rPr>
                <w:rFonts w:ascii="Arial" w:cs="Arial" w:eastAsia="Arial" w:hAnsi="Arial"/>
                <w:sz w:val="22"/>
                <w:szCs w:val="22"/>
                <w:b w:val="1"/>
                <w:bCs w:val="1"/>
                <w:color w:val="auto"/>
              </w:rPr>
              <w:t>«fn» «mn» «ln»</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Award Number:</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w w:val="90"/>
              </w:rPr>
              <w:t>«nbr»</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«ad1»</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Plan:</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w w:val="93"/>
              </w:rPr>
              <w:t>«pln»</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«ad2»</w:t>
            </w:r>
          </w:p>
        </w:tc>
        <w:tc>
          <w:tcPr>
            <w:tcW w:w="4200" w:type="dxa"/>
            <w:vAlign w:val="bottom"/>
          </w:tcPr>
          <w:p>
            <w:pPr>
              <w:ind w:left="1900"/>
              <w:spacing w:after="0"/>
              <w:rPr>
                <w:sz w:val="20"/>
                <w:szCs w:val="20"/>
                <w:color w:val="auto"/>
              </w:rPr>
            </w:pPr>
            <w:r>
              <w:rPr>
                <w:rFonts w:ascii="Arial" w:cs="Arial" w:eastAsia="Arial" w:hAnsi="Arial"/>
                <w:sz w:val="22"/>
                <w:szCs w:val="22"/>
                <w:b w:val="1"/>
                <w:bCs w:val="1"/>
                <w:color w:val="auto"/>
              </w:rPr>
              <w:t>ID:</w:t>
            </w:r>
          </w:p>
        </w:tc>
        <w:tc>
          <w:tcPr>
            <w:tcW w:w="1340" w:type="dxa"/>
            <w:vAlign w:val="bottom"/>
          </w:tcPr>
          <w:p>
            <w:pPr>
              <w:ind w:left="780"/>
              <w:spacing w:after="0"/>
              <w:rPr>
                <w:sz w:val="20"/>
                <w:szCs w:val="20"/>
                <w:color w:val="auto"/>
              </w:rPr>
            </w:pPr>
            <w:r>
              <w:rPr>
                <w:rFonts w:ascii="Arial" w:cs="Arial" w:eastAsia="Arial" w:hAnsi="Arial"/>
                <w:sz w:val="22"/>
                <w:szCs w:val="22"/>
                <w:b w:val="1"/>
                <w:bCs w:val="1"/>
                <w:color w:val="auto"/>
              </w:rPr>
              <w:t>«id»</w:t>
            </w:r>
          </w:p>
        </w:tc>
      </w:tr>
      <w:tr>
        <w:trPr>
          <w:trHeight w:val="297"/>
        </w:trPr>
        <w:tc>
          <w:tcPr>
            <w:tcW w:w="3340" w:type="dxa"/>
            <w:vAlign w:val="bottom"/>
          </w:tcPr>
          <w:p>
            <w:pPr>
              <w:spacing w:after="0"/>
              <w:rPr>
                <w:sz w:val="20"/>
                <w:szCs w:val="20"/>
                <w:color w:val="auto"/>
              </w:rPr>
            </w:pPr>
            <w:r>
              <w:rPr>
                <w:rFonts w:ascii="Arial" w:cs="Arial" w:eastAsia="Arial" w:hAnsi="Arial"/>
                <w:sz w:val="22"/>
                <w:szCs w:val="22"/>
                <w:b w:val="1"/>
                <w:bCs w:val="1"/>
                <w:color w:val="auto"/>
              </w:rPr>
              <w:t>«cty», «st» «z»</w:t>
            </w:r>
          </w:p>
        </w:tc>
        <w:tc>
          <w:tcPr>
            <w:tcW w:w="42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25" w:lineRule="exact"/>
        <w:rPr>
          <w:sz w:val="20"/>
          <w:szCs w:val="20"/>
          <w:color w:val="auto"/>
        </w:rPr>
      </w:pPr>
    </w:p>
    <w:p>
      <w:pPr>
        <w:ind w:right="540"/>
        <w:spacing w:after="0" w:line="273" w:lineRule="auto"/>
        <w:rPr>
          <w:sz w:val="20"/>
          <w:szCs w:val="20"/>
          <w:color w:val="auto"/>
        </w:rPr>
      </w:pPr>
      <w:r>
        <w:rPr>
          <w:rFonts w:ascii="Arial" w:cs="Arial" w:eastAsia="Arial" w:hAnsi="Arial"/>
          <w:sz w:val="22"/>
          <w:szCs w:val="22"/>
          <w:color w:val="auto"/>
        </w:rPr>
        <w:t>Congratulations! Effective «optdt», you have been granted stock units of Western Digital Corporation. These stock units were granted under the 2017 Performance Incentive Plan (the “Plan”)</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r>
        <w:rPr>
          <w:rFonts w:ascii="Arial" w:cs="Arial" w:eastAsia="Arial" w:hAnsi="Arial"/>
          <w:sz w:val="28"/>
          <w:szCs w:val="28"/>
          <w:b w:val="1"/>
          <w:bCs w:val="1"/>
          <w:color w:val="auto"/>
          <w:vertAlign w:val="superscript"/>
        </w:rPr>
        <w:t>2</w:t>
      </w:r>
      <w:r>
        <w:rPr>
          <w:rFonts w:ascii="Arial" w:cs="Arial" w:eastAsia="Arial" w:hAnsi="Arial"/>
          <w:sz w:val="22"/>
          <w:szCs w:val="22"/>
          <w:b w:val="1"/>
          <w:bCs w:val="1"/>
          <w:color w:val="auto"/>
        </w:rPr>
        <w:t>:</w:t>
      </w:r>
    </w:p>
    <w:p>
      <w:pPr>
        <w:spacing w:after="0" w:line="285" w:lineRule="exact"/>
        <w:rPr>
          <w:sz w:val="20"/>
          <w:szCs w:val="20"/>
          <w:color w:val="auto"/>
        </w:rPr>
      </w:pPr>
    </w:p>
    <w:tbl>
      <w:tblPr>
        <w:tblLayout w:type="fixed"/>
        <w:tblInd w:w="228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22"/>
                <w:szCs w:val="22"/>
                <w:color w:val="auto"/>
                <w:w w:val="91"/>
              </w:rPr>
              <w:t>Units</w:t>
            </w: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22"/>
                <w:szCs w:val="22"/>
                <w:color w:val="auto"/>
                <w:w w:val="84"/>
              </w:rPr>
              <w:t>Vest Type</w:t>
            </w:r>
          </w:p>
        </w:tc>
        <w:tc>
          <w:tcPr>
            <w:tcW w:w="780" w:type="dxa"/>
            <w:vAlign w:val="bottom"/>
          </w:tcPr>
          <w:p>
            <w:pPr>
              <w:spacing w:after="0"/>
              <w:rPr>
                <w:sz w:val="21"/>
                <w:szCs w:val="21"/>
                <w:color w:val="auto"/>
              </w:rPr>
            </w:pPr>
          </w:p>
        </w:tc>
        <w:tc>
          <w:tcPr>
            <w:tcW w:w="1560" w:type="dxa"/>
            <w:vAlign w:val="bottom"/>
            <w:gridSpan w:val="2"/>
          </w:tcPr>
          <w:p>
            <w:pPr>
              <w:jc w:val="center"/>
              <w:ind w:left="692"/>
              <w:spacing w:after="0"/>
              <w:rPr>
                <w:sz w:val="20"/>
                <w:szCs w:val="20"/>
                <w:color w:val="auto"/>
              </w:rPr>
            </w:pPr>
            <w:r>
              <w:rPr>
                <w:rFonts w:ascii="Arial" w:cs="Arial" w:eastAsia="Arial" w:hAnsi="Arial"/>
                <w:sz w:val="22"/>
                <w:szCs w:val="22"/>
                <w:color w:val="auto"/>
                <w:w w:val="88"/>
              </w:rPr>
              <w:t>Full Vest</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328"/>
        </w:trPr>
        <w:tc>
          <w:tcPr>
            <w:tcW w:w="1400" w:type="dxa"/>
            <w:vAlign w:val="bottom"/>
            <w:gridSpan w:val="3"/>
          </w:tcPr>
          <w:p>
            <w:pPr>
              <w:spacing w:after="0"/>
              <w:rPr>
                <w:sz w:val="20"/>
                <w:szCs w:val="20"/>
                <w:color w:val="auto"/>
              </w:rPr>
            </w:pPr>
            <w:r>
              <w:rPr>
                <w:rFonts w:ascii="Arial" w:cs="Arial" w:eastAsia="Arial" w:hAnsi="Arial"/>
                <w:sz w:val="22"/>
                <w:szCs w:val="22"/>
                <w:color w:val="auto"/>
              </w:rPr>
              <w:t>«sp1»</w:t>
            </w:r>
          </w:p>
        </w:tc>
        <w:tc>
          <w:tcPr>
            <w:tcW w:w="860" w:type="dxa"/>
            <w:vAlign w:val="bottom"/>
          </w:tcPr>
          <w:p>
            <w:pPr>
              <w:spacing w:after="0"/>
              <w:rPr>
                <w:sz w:val="24"/>
                <w:szCs w:val="24"/>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22"/>
                <w:szCs w:val="22"/>
                <w:color w:val="auto"/>
                <w:w w:val="89"/>
              </w:rPr>
              <w:t>«vtpr1»</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«vdp1»</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«sp2»</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«vtp2»</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«vdp2»</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«sp3»</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«vtp3»</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«vdp3»</w:t>
            </w:r>
          </w:p>
        </w:tc>
      </w:tr>
      <w:tr>
        <w:trPr>
          <w:trHeight w:val="297"/>
        </w:trPr>
        <w:tc>
          <w:tcPr>
            <w:tcW w:w="1400" w:type="dxa"/>
            <w:vAlign w:val="bottom"/>
            <w:gridSpan w:val="3"/>
          </w:tcPr>
          <w:p>
            <w:pPr>
              <w:spacing w:after="0"/>
              <w:rPr>
                <w:sz w:val="20"/>
                <w:szCs w:val="20"/>
                <w:color w:val="auto"/>
              </w:rPr>
            </w:pPr>
            <w:r>
              <w:rPr>
                <w:rFonts w:ascii="Arial" w:cs="Arial" w:eastAsia="Arial" w:hAnsi="Arial"/>
                <w:sz w:val="22"/>
                <w:szCs w:val="22"/>
                <w:color w:val="auto"/>
              </w:rPr>
              <w:t>«sp4»</w:t>
            </w:r>
          </w:p>
        </w:tc>
        <w:tc>
          <w:tcPr>
            <w:tcW w:w="860" w:type="dxa"/>
            <w:vAlign w:val="bottom"/>
          </w:tcPr>
          <w:p>
            <w:pPr>
              <w:spacing w:after="0"/>
              <w:rPr>
                <w:sz w:val="24"/>
                <w:szCs w:val="2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22"/>
                <w:szCs w:val="22"/>
                <w:color w:val="auto"/>
                <w:w w:val="90"/>
              </w:rPr>
              <w:t>«vtp4»</w:t>
            </w:r>
          </w:p>
        </w:tc>
        <w:tc>
          <w:tcPr>
            <w:tcW w:w="8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2"/>
                <w:szCs w:val="22"/>
                <w:color w:val="auto"/>
                <w:w w:val="88"/>
              </w:rPr>
              <w:t>«vdp4»</w:t>
            </w:r>
          </w:p>
        </w:tc>
      </w:tr>
    </w:tbl>
    <w:p>
      <w:pPr>
        <w:spacing w:after="0" w:line="200" w:lineRule="exact"/>
        <w:rPr>
          <w:sz w:val="20"/>
          <w:szCs w:val="20"/>
          <w:color w:val="auto"/>
        </w:rPr>
      </w:pP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Your stock unit award is subject to the terms and conditions of this Notice, the attached Standard Terms and Conditions for Stock Unit Awards (including any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97"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hanging="72"/>
        <w:spacing w:after="0"/>
        <w:tabs>
          <w:tab w:leader="none" w:pos="80" w:val="left"/>
        </w:tabs>
        <w:numPr>
          <w:ilvl w:val="0"/>
          <w:numId w:val="105"/>
        </w:numPr>
        <w:rPr>
          <w:rFonts w:ascii="Arial" w:cs="Arial" w:eastAsia="Arial" w:hAnsi="Arial"/>
          <w:sz w:val="9"/>
          <w:szCs w:val="9"/>
          <w:color w:val="auto"/>
        </w:rPr>
      </w:pPr>
      <w:r>
        <w:rPr>
          <w:rFonts w:ascii="Arial" w:cs="Arial" w:eastAsia="Arial" w:hAnsi="Arial"/>
          <w:sz w:val="14"/>
          <w:szCs w:val="14"/>
          <w:color w:val="auto"/>
        </w:rPr>
        <w:t>The number of stock units subject to the award is subject to adjustment under Section 7.1 of the Plan (for example, and without limitation, in connection with stock splits).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2.</w:t>
      </w:r>
      <w:r>
        <w:rPr>
          <w:rFonts w:ascii="Arial" w:cs="Arial" w:eastAsia="Arial" w:hAnsi="Arial"/>
          <w:sz w:val="14"/>
          <w:szCs w:val="14"/>
          <w:color w:val="auto"/>
        </w:rPr>
        <w:t>The stock units covered by the award are subject to forfeiture under Section 7 of the attached Standard Terms and Conditions for Stock Unit Awards.</w:t>
      </w:r>
    </w:p>
    <w:p>
      <w:pPr>
        <w:sectPr>
          <w:pgSz w:w="11900" w:h="16838" w:orient="portrait"/>
          <w:cols w:equalWidth="0" w:num="1">
            <w:col w:w="11420"/>
          </w:cols>
          <w:pgMar w:left="240" w:top="621"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183515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835150" cy="308610"/>
                    </a:xfrm>
                    <a:prstGeom prst="rect">
                      <a:avLst/>
                    </a:prstGeom>
                    <a:noFill/>
                  </pic:spPr>
                </pic:pic>
              </a:graphicData>
            </a:graphic>
          </wp:anchor>
        </w:drawing>
        <w:t>Western Digital Corporation 3355 Michelson Drive, Suite 100</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Irvine, California 92612 Telephone 949 672-7000</w:t>
      </w: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 UNIT AWARDS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2017 Performance Incentive Plan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Stock Units Subject to 2017 Performance Incentive Plan</w:t>
      </w:r>
    </w:p>
    <w:p>
      <w:pPr>
        <w:spacing w:after="0" w:line="2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Western Digital Corporation’s (the “Corporation’s”) 2017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Stock Units are subject to the terms and provisions of the Notice, these Standard Terms and Conditions for Stock Unit Awards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these Standard Terms, together, constitute the Award Agreement with respect to the Award pursuant to Section 5.3 of the Plan.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Except as otherwise provided in this Award Agreement, the Award shall vest and become nonforfeitable in percentage installments of the aggregate number of Stock Units as set forth in the Notice. The vesting schedule requires continued employment or service through each applicable vesting date as a condition to the vesting of the applicable installment of the Award and the rights and benefits under this Award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147" w:right="239" w:bottom="1440" w:gutter="0" w:footer="0" w:header="0"/>
        </w:sectPr>
      </w:pPr>
    </w:p>
    <w:bookmarkStart w:id="124" w:name="page125"/>
    <w:bookmarkEnd w:id="124"/>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right="40" w:firstLine="8"/>
        <w:spacing w:after="0" w:line="277" w:lineRule="auto"/>
        <w:tabs>
          <w:tab w:leader="none" w:pos="26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expressly provided herein, on or within fifteen (15) business days following the vesting of any Stock Units granted (or credited pursuant to Section</w:t>
      </w:r>
    </w:p>
    <w:p>
      <w:pPr>
        <w:spacing w:after="0" w:line="46" w:lineRule="exact"/>
        <w:rPr>
          <w:sz w:val="20"/>
          <w:szCs w:val="20"/>
          <w:color w:val="auto"/>
        </w:rPr>
      </w:pPr>
    </w:p>
    <w:p>
      <w:pPr>
        <w:ind w:left="200" w:hanging="192"/>
        <w:spacing w:after="0"/>
        <w:tabs>
          <w:tab w:leader="none" w:pos="2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the Participant (whether pursuant to Section 4, Section 7 or Section 8 hereof or Section 7 of the Plan), the Corporation shall deliver to the Participant a</w:t>
      </w:r>
    </w:p>
    <w:p>
      <w:pPr>
        <w:spacing w:after="0" w:line="3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number of shares of Common Stock (either by delivering one or more certificates for such shares or by entering such shares in book entry form, as determined by the Corporation in its sole discretion) equal to the number of Stock Units that vest on the applicable vesting date (including any Stock Units credited as dividend equivalents pursuant to Section 5 with respect to the Stock Units that vest), subject to adjustment as provided in Section 7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The Participant shall have no further rights with respect to any Stock Units that are paid pursuant to this Section 6 or that are terminated pursuant to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portion of the Award that is outstanding and unvested immediately prior to the Change in Control Event shall vest and become payable in accordance with Section 6.</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the Participant ceases to be employed by or to provide services to the Corporation or its Subsidiaries (regardless of the reason for such termination, whether with or without cause, voluntarily or involuntarily, or due to disability) (the last day that the Participant is employed by the Corporation or a Subsidiary prior to a period of non-employment by any such entity is referred to as the Participant’s “Severance Date”), the Participant’s Stock Units shall, to the extent such Stock Units have not become vested upon the Severance Date, be forfeited to the Corporation effective immediately following the Severance Date; provided, however, that in the event of the Participant’s death at a time when the Participant is employed by or providing services to the Corporation or any of its Subsidiaries, a portion of the otherwise unvested Stock Units shall automatically become fully vested as of such date of death as set forth in the next sentence, and shall be paid to the Participant’s estate as provided in Section 6 above. In the event the date of the Participant’s death is at a time when the Participant is employed by or providing services to the Corporation or any of its Subsidiaries, the number of Stock Units that shall become vested on the date of the Participant’s death equals: (a) the number of Stock Units that would have vested on the next scheduled vesting date applicable to the Award (as set forth in the Notice) (the “Next Scheduled Vesting Date”) had the Participant continued to be employed through such date, multiplied by (b) a fraction (not greater than one), the numerator of which is the number 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21" w:right="239" w:bottom="1440" w:gutter="0" w:footer="0" w:header="0"/>
        </w:sectPr>
      </w:pPr>
    </w:p>
    <w:bookmarkStart w:id="125" w:name="page126"/>
    <w:bookmarkEnd w:id="125"/>
    <w:p>
      <w:pPr>
        <w:spacing w:after="0" w:line="257" w:lineRule="auto"/>
        <w:rPr>
          <w:sz w:val="20"/>
          <w:szCs w:val="20"/>
          <w:color w:val="auto"/>
        </w:rPr>
      </w:pPr>
      <w:r>
        <w:rPr>
          <w:rFonts w:ascii="Arial" w:cs="Arial" w:eastAsia="Arial" w:hAnsi="Arial"/>
          <w:sz w:val="18"/>
          <w:szCs w:val="18"/>
          <w:color w:val="auto"/>
        </w:rPr>
        <w:t>calendar days following the last scheduled vesting date applicable to the Award as set forth in the Notice (or, if there was no such prior vesting date applicable to the Award, the date of grant of the Stock Units (the “Measurement Date”) through and including the date of the Participant’s death, and the denominator of which is the total number of calendar days in the period beginning with the day after the Measurement Date and ending with the Next Scheduled Vesting Date. Any Stock Units that are not vested after giving effect to the acceleration provided in the preceding sentence shall be forfeited to the Corporation as of the date of the Participant’s death.</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The Administrator may accelerate the vesting of the Stock Units in such circumstances as it, in its sole discretion, may determine.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applicable withholding rates.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625" w:right="259" w:bottom="1440" w:gutter="0" w:footer="0" w:header="0"/>
        </w:sectPr>
      </w:pPr>
    </w:p>
    <w:bookmarkStart w:id="126" w:name="page127"/>
    <w:bookmarkEnd w:id="126"/>
    <w:p>
      <w:pPr>
        <w:ind w:right="100"/>
        <w:spacing w:after="0" w:line="277" w:lineRule="auto"/>
        <w:rPr>
          <w:sz w:val="20"/>
          <w:szCs w:val="20"/>
          <w:color w:val="auto"/>
        </w:rPr>
      </w:pPr>
      <w:r>
        <w:rPr>
          <w:rFonts w:ascii="Arial" w:cs="Arial" w:eastAsia="Arial" w:hAnsi="Arial"/>
          <w:sz w:val="18"/>
          <w:szCs w:val="18"/>
          <w:color w:val="auto"/>
        </w:rPr>
        <w:t>are actually issued to and held of record by the Participant. No adjustments will be made for dividends or other rights of a holder for which the record date is prior to the date of issuance of the stock certificate.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625" w:right="259" w:bottom="1440" w:gutter="0" w:footer="0" w:header="0"/>
        </w:sectPr>
      </w:pPr>
    </w:p>
    <w:bookmarkStart w:id="127" w:name="page128"/>
    <w:bookmarkEnd w:id="127"/>
    <w:p>
      <w:pPr>
        <w:ind w:right="80"/>
        <w:spacing w:after="0" w:line="286" w:lineRule="auto"/>
        <w:rPr>
          <w:sz w:val="20"/>
          <w:szCs w:val="20"/>
          <w:color w:val="auto"/>
        </w:rPr>
      </w:pPr>
      <w:r>
        <w:rPr>
          <w:rFonts w:ascii="Arial" w:cs="Arial" w:eastAsia="Arial" w:hAnsi="Arial"/>
          <w:sz w:val="17"/>
          <w:szCs w:val="17"/>
          <w:color w:val="auto"/>
        </w:rPr>
        <w:t>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Participant acknowledges and agrees that he or she should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10.1.5</w:t>
      </w:r>
    </w:p>
    <w:p>
      <w:pPr>
        <w:spacing w:after="0" w:line="1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Western Digital Corporation</w:t>
      </w:r>
    </w:p>
    <w:p>
      <w:pPr>
        <w:ind w:left="7000"/>
        <w:spacing w:after="0" w:line="226" w:lineRule="auto"/>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Irvine, CA 92612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150495</wp:posOffset>
            </wp:positionV>
            <wp:extent cx="183515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Stock Unit Award Agreement - Executives</w:t>
      </w:r>
    </w:p>
    <w:p>
      <w:pPr>
        <w:sectPr>
          <w:pgSz w:w="11900" w:h="16838" w:orient="portrait"/>
          <w:cols w:equalWidth="0" w:num="1">
            <w:col w:w="11420"/>
          </w:cols>
          <w:pgMar w:left="240" w:top="6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&lt;&lt;Name&gt;&gt;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&lt;&lt;Address 1&gt;&gt;</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&lt;&lt;Address 2&gt;&gt;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Number:</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Plan: 2017 Performance Incentive Plan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w:t>
      </w:r>
    </w:p>
    <w:p>
      <w:pPr>
        <w:spacing w:after="0" w:line="200" w:lineRule="exact"/>
        <w:rPr>
          <w:sz w:val="20"/>
          <w:szCs w:val="20"/>
          <w:color w:val="auto"/>
        </w:rPr>
      </w:pPr>
    </w:p>
    <w:p>
      <w:pPr>
        <w:sectPr>
          <w:pgSz w:w="11900" w:h="16838" w:orient="portrait"/>
          <w:cols w:equalWidth="0" w:num="2">
            <w:col w:w="4560" w:space="720"/>
            <w:col w:w="6140"/>
          </w:cols>
          <w:pgMar w:left="240" w:top="621" w:right="2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Congratulations! Effective [_____], you have been granted stock units of Western Digital Corporation (the “Corporation”). These</w:t>
      </w:r>
    </w:p>
    <w:p>
      <w:pPr>
        <w:spacing w:after="0" w:line="56" w:lineRule="exact"/>
        <w:rPr>
          <w:sz w:val="20"/>
          <w:szCs w:val="20"/>
          <w:color w:val="auto"/>
        </w:rPr>
      </w:pPr>
    </w:p>
    <w:p>
      <w:pPr>
        <w:ind w:right="860"/>
        <w:spacing w:after="0" w:line="260" w:lineRule="auto"/>
        <w:rPr>
          <w:sz w:val="20"/>
          <w:szCs w:val="20"/>
          <w:color w:val="auto"/>
        </w:rPr>
      </w:pPr>
      <w:r>
        <w:rPr>
          <w:rFonts w:ascii="Arial" w:cs="Arial" w:eastAsia="Arial" w:hAnsi="Arial"/>
          <w:sz w:val="22"/>
          <w:szCs w:val="22"/>
          <w:color w:val="auto"/>
        </w:rPr>
        <w:t>stock units were granted under the 2017 Performance Incentive Plan, as such plan may be amended from time to time (the “Plan”).</w:t>
      </w:r>
      <w:r>
        <w:rPr>
          <w:rFonts w:ascii="Arial" w:cs="Arial" w:eastAsia="Arial" w:hAnsi="Arial"/>
          <w:sz w:val="28"/>
          <w:szCs w:val="28"/>
          <w:color w:val="auto"/>
          <w:vertAlign w:val="superscript"/>
        </w:rPr>
        <w:t>1</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Target Number of Stock Units: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Measurement Period covered by grant: </w:t>
      </w:r>
      <w:r>
        <w:rPr>
          <w:rFonts w:ascii="Arial" w:cs="Arial" w:eastAsia="Arial" w:hAnsi="Arial"/>
          <w:sz w:val="19"/>
          <w:szCs w:val="19"/>
          <w:color w:val="auto"/>
        </w:rPr>
        <w:t>[_____] to [_____] (the “Measurement Period”). The actual number of stock units that</w:t>
      </w:r>
    </w:p>
    <w:p>
      <w:pPr>
        <w:spacing w:after="0" w:line="62" w:lineRule="exact"/>
        <w:rPr>
          <w:sz w:val="20"/>
          <w:szCs w:val="20"/>
          <w:color w:val="auto"/>
        </w:rPr>
      </w:pPr>
    </w:p>
    <w:p>
      <w:pPr>
        <w:ind w:right="420"/>
        <w:spacing w:after="0" w:line="246" w:lineRule="auto"/>
        <w:rPr>
          <w:sz w:val="20"/>
          <w:szCs w:val="20"/>
          <w:color w:val="auto"/>
        </w:rPr>
      </w:pPr>
      <w:r>
        <w:rPr>
          <w:rFonts w:ascii="Arial" w:cs="Arial" w:eastAsia="Arial" w:hAnsi="Arial"/>
          <w:sz w:val="22"/>
          <w:szCs w:val="22"/>
          <w:color w:val="auto"/>
        </w:rPr>
        <w:t>vest and become payable based on performance during the Measurement Period may range from 0% to 200% of the total target number of Stock Units subject to the award.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Your stock unit award is subject to the terms and conditions of this Notice, the attached Standard Terms and Conditions for Performance Stock Unit Awards – Executives (including any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79"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102" w:lineRule="exact"/>
        <w:rPr>
          <w:sz w:val="20"/>
          <w:szCs w:val="20"/>
          <w:color w:val="auto"/>
        </w:rPr>
      </w:pPr>
    </w:p>
    <w:p>
      <w:pPr>
        <w:ind w:left="100" w:hanging="92"/>
        <w:spacing w:after="0"/>
        <w:tabs>
          <w:tab w:leader="none" w:pos="100" w:val="left"/>
        </w:tabs>
        <w:numPr>
          <w:ilvl w:val="0"/>
          <w:numId w:val="108"/>
        </w:numPr>
        <w:rPr>
          <w:rFonts w:ascii="Arial" w:cs="Arial" w:eastAsia="Arial" w:hAnsi="Arial"/>
          <w:sz w:val="21"/>
          <w:szCs w:val="21"/>
          <w:color w:val="auto"/>
          <w:vertAlign w:val="superscript"/>
        </w:rPr>
      </w:pPr>
      <w:r>
        <w:rPr>
          <w:rFonts w:ascii="Arial" w:cs="Arial" w:eastAsia="Arial" w:hAnsi="Arial"/>
          <w:sz w:val="15"/>
          <w:szCs w:val="15"/>
          <w:color w:val="auto"/>
        </w:rPr>
        <w:t>The number of stock units subject to the award is subject to adjustment under Section 7.1 of the Plan (for example, and without limitation, in connection with stock splits).</w:t>
      </w:r>
    </w:p>
    <w:p>
      <w:pPr>
        <w:sectPr>
          <w:pgSz w:w="11900" w:h="16838" w:orient="portrait"/>
          <w:cols w:equalWidth="0" w:num="1">
            <w:col w:w="11420"/>
          </w:cols>
          <w:pgMar w:left="240" w:top="621" w:right="239" w:bottom="1440" w:gutter="0" w:footer="0" w:header="0"/>
          <w:type w:val="continuous"/>
        </w:sectPr>
      </w:pPr>
    </w:p>
    <w:bookmarkStart w:id="129" w:name="page130"/>
    <w:bookmarkEnd w:id="129"/>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183515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835150" cy="3086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Irvine, California 92612 Telephone 949 672-7000</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PERFORMANCE STOCK UNIT AWARDS - EXECUTIVES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2017 Performance Incentive Plan</w:t>
      </w:r>
    </w:p>
    <w:p>
      <w:pPr>
        <w:spacing w:after="0" w:line="23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Stock Units Subject to 2017 Performance Incentive Plan</w:t>
      </w: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the Western Digital Corporation’s (the “Corporation’s”) 2017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Stock Units are subject to the terms and provisions of the Notice, these Standard Terms and Conditions for Performance Stock Unit Awards – Executives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 or in the Notice, as applicable.</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these Standard Terms, together, constitute the Award Agreement with respect to the Award pursuant to Section 5.3 of the Plan.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Within a reasonable period of time following the end of the Measurement Period, the Committee shall determine, in accordance with the performance goals and related criteria and methodology established by the Committee for the Measurement Period, the extent to which the performance goals have been achieved and the actual number of Stock Units becoming vested based on performance during the Measurement Period. Any Stock Units (including any related Stock Units credited as dividend equivalents pursuant to Section 5) that have not become vested based on performance during the Measurement Period shall terminate as of the end of the Measurement Period, and the Participant shall have no further rights with respect to such terminated Stock Units.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expressly provided in Sections 7 and 8 below, the vesting schedule for the Stock Units requires continued employment through the end of the Measurement Period as a condition to the vesting of any Stock Units that vest based on performance and the rights and benefits under this Award Agreement with respect to such Stock Units. Except as expressly provided in Sections 7 and 8 below, employment or service for only a portion of the applicable vesting period, even if a substantial portion, will not entitle the Participant to 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30" w:name="page131"/>
    <w:bookmarkEnd w:id="130"/>
    <w:p>
      <w:pPr>
        <w:ind w:right="540"/>
        <w:spacing w:after="0" w:line="277" w:lineRule="auto"/>
        <w:rPr>
          <w:sz w:val="20"/>
          <w:szCs w:val="20"/>
          <w:color w:val="auto"/>
        </w:rPr>
      </w:pPr>
      <w:r>
        <w:rPr>
          <w:rFonts w:ascii="Arial" w:cs="Arial" w:eastAsia="Arial" w:hAnsi="Arial"/>
          <w:sz w:val="18"/>
          <w:szCs w:val="18"/>
          <w:color w:val="auto"/>
        </w:rPr>
        <w:t>proportionate vesting or avoid or mitigate a termination of rights and benefits upon or following a termination of employment or service as provided in Section 8 below or under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firstLine="8"/>
        <w:spacing w:after="0" w:line="295" w:lineRule="auto"/>
        <w:tabs>
          <w:tab w:leader="none" w:pos="2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Section 7 or 8, any Stock Units that vest pursuant to the terms of the Notice and these Standard Terms shall be paid within seventy (70) days following the end of the Measurement Period. For any Stock Units that become payable hereunder,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becoming payable (including any Stock Units credited as dividend equivalents pursuant to Section 5 with respect to the Stock Units that vest and become payable), subject to adjustment as provided in Section 7 of the Plan. The Corporation’s obligation to deliver shares of Common Stock with respect to Stock Units that vest and become payable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that are terminated pursuant to Section 4 or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during the Measurement Period and while the Award is outstanding and unvested, a Change in Control Event occurs and the Stock Units subject to the Award are to terminate pursuant to Section 7 of the Plan (i.e., the Administrator has not made a provision for the substitution, assumption, exchange or other continuation of the Award and the Award will not otherwise continue in accordance with its terms in the circumstances), the Total Target Number of Stock Units set forth in the Notice (the “Target Units”) (or such greater number of Stock Units as the Committee, in its sole discretion, may deem appropriate in the circumstances, and in any case subject to pro-ration as provided in Section 8(a) in the event the Participant had died during the Measurement Period and prior to the Change in Control Event) shall vest upon (or, as may be necessary to effectuate the purposes of this acceleration, immediately prior to) the occurrence of a Change in Control Event and be paid as soon as practicable following (and in all events no more than seventy (70) days after) the Change in Control Event.</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ind w:right="80" w:firstLine="8"/>
        <w:spacing w:after="0" w:line="273" w:lineRule="auto"/>
        <w:tabs>
          <w:tab w:leader="none" w:pos="38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Generally</w:t>
      </w:r>
      <w:r>
        <w:rPr>
          <w:rFonts w:ascii="Arial" w:cs="Arial" w:eastAsia="Arial" w:hAnsi="Arial"/>
          <w:sz w:val="17"/>
          <w:szCs w:val="17"/>
          <w:color w:val="auto"/>
        </w:rPr>
        <w:t>. Except as expressly provided below in this Section 8, if the Participant ceases to be employed by or provide services to the Corporation or its Subsidiaries for any reason during the Measurement Period (the last day that the Participant is employed by the Corporation or a Subsidiary prior to a period of non-employment by any such entity is referred to as the Participant’s “Severance Date”), the Participant’s Stock Units shall be forfeited to the Corporation to the extent such Stock Units have not become vested as of the Severance Date; provided, however, that in the event of the Participant’s death during the Measurement Period at a time when the Participant is employed by or providing services to the Corporation or any of its Subsidiaries, a pro-rata portion of the then outstanding and otherwise unvested Target Units shall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131" w:name="page132"/>
    <w:bookmarkEnd w:id="131"/>
    <w:p>
      <w:pPr>
        <w:spacing w:after="0" w:line="272" w:lineRule="auto"/>
        <w:rPr>
          <w:sz w:val="20"/>
          <w:szCs w:val="20"/>
          <w:color w:val="auto"/>
        </w:rPr>
      </w:pPr>
      <w:r>
        <w:rPr>
          <w:rFonts w:ascii="Arial" w:cs="Arial" w:eastAsia="Arial" w:hAnsi="Arial"/>
          <w:sz w:val="17"/>
          <w:szCs w:val="17"/>
          <w:color w:val="auto"/>
        </w:rPr>
        <w:t>remain outstanding and eligible to vest based on the achievement of the applicable performance goals as set forth in Section 4, and any such Stock Units that vest shall be paid to the Participant’s estate as provided in Section 6 above. In the event the date of the Participant’s death is during the Measurement Period at a time when the Participant is employed by the Corporation or any of its Subsidiaries, the pro-rata portion of the Target Units that shall remain eligible to vest equals: (a) the number of the Target Units multiplied by (b) a fraction (not greater than one), the numerator of which is the number of days in the Measurement Period that the Participant was employed by the Corporation or one of its Subsidiaries prior to the Participant’s death and the denominator of which is the total number of days in the Measurement Period. The Target Units that are not eligible to vest after giving effect to the foregoing pro-ration provision shall be forfeited to the Corporation as of the date of the Participant’s death.</w:t>
      </w:r>
    </w:p>
    <w:p>
      <w:pPr>
        <w:spacing w:after="0" w:line="178" w:lineRule="exact"/>
        <w:rPr>
          <w:sz w:val="20"/>
          <w:szCs w:val="20"/>
          <w:color w:val="auto"/>
        </w:rPr>
      </w:pPr>
    </w:p>
    <w:p>
      <w:pPr>
        <w:ind w:right="20" w:firstLine="8"/>
        <w:spacing w:after="0" w:line="271" w:lineRule="auto"/>
        <w:tabs>
          <w:tab w:leader="none" w:pos="39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w:t>
      </w:r>
      <w:r>
        <w:rPr>
          <w:rFonts w:ascii="Arial" w:cs="Arial" w:eastAsia="Arial" w:hAnsi="Arial"/>
          <w:sz w:val="17"/>
          <w:szCs w:val="17"/>
          <w:color w:val="auto"/>
        </w:rPr>
        <w:t>. In the event the Participant ceases to be employed by the Corporation or any of its Subsidiaries during the Measurement Period as a result of a termination of employment under circumstances that give rise to the payment of severance payments under either the Corporation’s Executive Severance Plan or Amended and Restated Change of Control Severance Plan (in accordance with the terms of such plans and as each may be amended from time to time), the Target Units subject to the Award that are then outstanding and unvested immediately prior to such a termination of employment shall vest and be paid within seventy (70) days following the date of such termination of employment. For the avoidance of doubt, and not in any way in limitation of the Participant’s rights to earn the Stock Units based on performance, if such a termination occurs after the end of the Measurement Period, the Participant shall not be entitled to receive by virtue of his termination of employment any Stock Units to the extent not otherwise earned based on performance pursuant to Section 4.</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The Administrator may accelerate the vesting of the Stock Units in such circumstances as it, in its sole discretion, may determine.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applicable withholding rates.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5" w:right="239" w:bottom="1440" w:gutter="0" w:footer="0" w:header="0"/>
        </w:sectPr>
      </w:pPr>
    </w:p>
    <w:bookmarkStart w:id="132" w:name="page133"/>
    <w:bookmarkEnd w:id="132"/>
    <w:p>
      <w:pPr>
        <w:spacing w:after="0" w:line="264" w:lineRule="auto"/>
        <w:rPr>
          <w:sz w:val="20"/>
          <w:szCs w:val="20"/>
          <w:color w:val="auto"/>
        </w:rPr>
      </w:pPr>
      <w:r>
        <w:rPr>
          <w:rFonts w:ascii="Arial" w:cs="Arial" w:eastAsia="Arial" w:hAnsi="Arial"/>
          <w:sz w:val="18"/>
          <w:szCs w:val="18"/>
          <w:color w:val="auto"/>
        </w:rPr>
        <w:t>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25" w:right="259" w:bottom="1440" w:gutter="0" w:footer="0" w:header="0"/>
        </w:sectPr>
      </w:pPr>
    </w:p>
    <w:bookmarkStart w:id="133" w:name="page134"/>
    <w:bookmarkEnd w:id="133"/>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21" w:right="259" w:bottom="1440" w:gutter="0" w:footer="0" w:header="0"/>
        </w:sectPr>
      </w:pPr>
    </w:p>
    <w:bookmarkStart w:id="134" w:name="page135"/>
    <w:bookmarkEnd w:id="134"/>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Participant acknowledges and agrees that he or she should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1"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LTI STOCK UNIT AWARD - EXECUTIVES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625"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2004 PERFORMANCE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RESTRICTED STOCK UNIT GRANT PROGRAM</w:t>
      </w:r>
    </w:p>
    <w:p>
      <w:pPr>
        <w:spacing w:after="0" w:line="236" w:lineRule="exact"/>
        <w:rPr>
          <w:sz w:val="20"/>
          <w:szCs w:val="20"/>
          <w:color w:val="auto"/>
        </w:rPr>
      </w:pPr>
    </w:p>
    <w:p>
      <w:pPr>
        <w:ind w:right="160" w:firstLine="8"/>
        <w:spacing w:after="0" w:line="251" w:lineRule="auto"/>
        <w:tabs>
          <w:tab w:leader="none" w:pos="378"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Establishment</w:t>
      </w:r>
      <w:r>
        <w:rPr>
          <w:rFonts w:ascii="Arial" w:cs="Arial" w:eastAsia="Arial" w:hAnsi="Arial"/>
          <w:sz w:val="21"/>
          <w:szCs w:val="21"/>
          <w:color w:val="auto"/>
        </w:rPr>
        <w:t>. The Corporation maintains the Western Digital Corporation Non-Employee Directors Restricted Stock Unit</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(the “</w:t>
      </w:r>
      <w:r>
        <w:rPr>
          <w:rFonts w:ascii="Arial" w:cs="Arial" w:eastAsia="Arial" w:hAnsi="Arial"/>
          <w:sz w:val="21"/>
          <w:szCs w:val="21"/>
          <w:b w:val="1"/>
          <w:bCs w:val="1"/>
          <w:color w:val="auto"/>
        </w:rPr>
        <w:t>Program</w:t>
      </w:r>
      <w:r>
        <w:rPr>
          <w:rFonts w:ascii="Arial" w:cs="Arial" w:eastAsia="Arial" w:hAnsi="Arial"/>
          <w:sz w:val="21"/>
          <w:szCs w:val="21"/>
          <w:color w:val="auto"/>
        </w:rPr>
        <w:t>”), which is hereby amended and restated in its entirety effective as of November 1, 2017 (the “</w:t>
      </w:r>
      <w:r>
        <w:rPr>
          <w:rFonts w:ascii="Arial" w:cs="Arial" w:eastAsia="Arial" w:hAnsi="Arial"/>
          <w:sz w:val="21"/>
          <w:szCs w:val="21"/>
          <w:b w:val="1"/>
          <w:b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This amendment and restatement of the Program is effective as to grants on and after the Effective Date; awards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Amended and Restated 2004 Performance Incentive Plan (the “</w:t>
      </w:r>
      <w:r>
        <w:rPr>
          <w:rFonts w:ascii="Arial" w:cs="Arial" w:eastAsia="Arial" w:hAnsi="Arial"/>
          <w:sz w:val="21"/>
          <w:szCs w:val="21"/>
          <w:b w:val="1"/>
          <w:bCs w:val="1"/>
          <w:color w:val="auto"/>
        </w:rPr>
        <w:t>Plan</w:t>
      </w:r>
      <w:r>
        <w:rPr>
          <w:rFonts w:ascii="Arial" w:cs="Arial" w:eastAsia="Arial" w:hAnsi="Arial"/>
          <w:sz w:val="21"/>
          <w:szCs w:val="21"/>
          <w:color w:val="auto"/>
        </w:rPr>
        <w:t>”).</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Except as otherwise expressly provided herein, the provisions of the Plan shall govern all awards made pursuant to the Program. Capitalized terms are defined in the Plan if not defined herein.</w:t>
      </w:r>
    </w:p>
    <w:p>
      <w:pPr>
        <w:spacing w:after="0" w:line="180" w:lineRule="exact"/>
        <w:rPr>
          <w:rFonts w:ascii="Arial" w:cs="Arial" w:eastAsia="Arial" w:hAnsi="Arial"/>
          <w:sz w:val="21"/>
          <w:szCs w:val="21"/>
          <w:b w:val="1"/>
          <w:bCs w:val="1"/>
          <w:color w:val="auto"/>
        </w:rPr>
      </w:pPr>
    </w:p>
    <w:p>
      <w:pPr>
        <w:ind w:right="160" w:firstLine="8"/>
        <w:spacing w:after="0" w:line="256" w:lineRule="auto"/>
        <w:tabs>
          <w:tab w:leader="none" w:pos="342"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Program is to promote the success of the Corporation and the interests of its stockholders by</w:t>
      </w:r>
      <w:r>
        <w:rPr>
          <w:rFonts w:ascii="Arial" w:cs="Arial" w:eastAsia="Arial" w:hAnsi="Arial"/>
          <w:sz w:val="22"/>
          <w:szCs w:val="22"/>
          <w:b w:val="1"/>
          <w:bCs w:val="1"/>
          <w:color w:val="auto"/>
        </w:rPr>
        <w:t xml:space="preserve"> </w:t>
      </w:r>
      <w:r>
        <w:rPr>
          <w:rFonts w:ascii="Arial" w:cs="Arial" w:eastAsia="Arial" w:hAnsi="Arial"/>
          <w:sz w:val="22"/>
          <w:szCs w:val="22"/>
          <w:color w:val="auto"/>
        </w:rPr>
        <w:t>providing members of the Board who are not officers or employees of the Corporation or one of its Subsidiaries (“</w:t>
      </w:r>
      <w:r>
        <w:rPr>
          <w:rFonts w:ascii="Arial" w:cs="Arial" w:eastAsia="Arial" w:hAnsi="Arial"/>
          <w:sz w:val="22"/>
          <w:szCs w:val="22"/>
          <w:b w:val="1"/>
          <w:bCs w:val="1"/>
          <w:color w:val="auto"/>
        </w:rPr>
        <w:t>Non-Employee</w:t>
      </w:r>
      <w:r>
        <w:rPr>
          <w:rFonts w:ascii="Arial" w:cs="Arial" w:eastAsia="Arial" w:hAnsi="Arial"/>
          <w:sz w:val="22"/>
          <w:szCs w:val="22"/>
          <w:color w:val="auto"/>
        </w:rPr>
        <w:t xml:space="preserve"> </w:t>
      </w:r>
      <w:r>
        <w:rPr>
          <w:rFonts w:ascii="Arial" w:cs="Arial" w:eastAsia="Arial" w:hAnsi="Arial"/>
          <w:sz w:val="22"/>
          <w:szCs w:val="22"/>
          <w:b w:val="1"/>
          <w:bCs w:val="1"/>
          <w:color w:val="auto"/>
        </w:rPr>
        <w:t>Directors</w:t>
      </w:r>
      <w:r>
        <w:rPr>
          <w:rFonts w:ascii="Arial" w:cs="Arial" w:eastAsia="Arial" w:hAnsi="Arial"/>
          <w:sz w:val="22"/>
          <w:szCs w:val="22"/>
          <w:color w:val="auto"/>
        </w:rPr>
        <w:t>”) an opportunity to acquire an ownership interest in the Corporation and more closely aligning the interests of Non-Employee Directors and stockholders.</w:t>
      </w:r>
    </w:p>
    <w:p>
      <w:pPr>
        <w:spacing w:after="0" w:line="176" w:lineRule="exact"/>
        <w:rPr>
          <w:rFonts w:ascii="Arial" w:cs="Arial" w:eastAsia="Arial" w:hAnsi="Arial"/>
          <w:sz w:val="22"/>
          <w:szCs w:val="22"/>
          <w:b w:val="1"/>
          <w:bCs w:val="1"/>
          <w:color w:val="auto"/>
        </w:rPr>
      </w:pPr>
    </w:p>
    <w:p>
      <w:pPr>
        <w:ind w:firstLine="8"/>
        <w:spacing w:after="0" w:line="260" w:lineRule="auto"/>
        <w:tabs>
          <w:tab w:leader="none" w:pos="342"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Participation</w:t>
      </w:r>
      <w:r>
        <w:rPr>
          <w:rFonts w:ascii="Arial" w:cs="Arial" w:eastAsia="Arial" w:hAnsi="Arial"/>
          <w:sz w:val="21"/>
          <w:szCs w:val="21"/>
          <w:color w:val="auto"/>
        </w:rPr>
        <w:t>. An award of Stock Units (a “</w:t>
      </w:r>
      <w:r>
        <w:rPr>
          <w:rFonts w:ascii="Arial" w:cs="Arial" w:eastAsia="Arial" w:hAnsi="Arial"/>
          <w:sz w:val="21"/>
          <w:szCs w:val="21"/>
          <w:b w:val="1"/>
          <w:bCs w:val="1"/>
          <w:color w:val="auto"/>
        </w:rPr>
        <w:t>Stock Unit Award</w:t>
      </w:r>
      <w:r>
        <w:rPr>
          <w:rFonts w:ascii="Arial" w:cs="Arial" w:eastAsia="Arial" w:hAnsi="Arial"/>
          <w:sz w:val="21"/>
          <w:szCs w:val="21"/>
          <w:color w:val="auto"/>
        </w:rPr>
        <w:t>”) under the Program shall be made only to Non-Employee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Directors, shall be evidenced by a Notice of Award of Stock Units substantially in the form attached as </w:t>
      </w:r>
      <w:r>
        <w:rPr>
          <w:rFonts w:ascii="Arial" w:cs="Arial" w:eastAsia="Arial" w:hAnsi="Arial"/>
          <w:sz w:val="21"/>
          <w:szCs w:val="21"/>
          <w:u w:val="single" w:color="auto"/>
          <w:color w:val="auto"/>
        </w:rPr>
        <w:t>Exhibit 1</w:t>
      </w:r>
      <w:r>
        <w:rPr>
          <w:rFonts w:ascii="Arial" w:cs="Arial" w:eastAsia="Arial" w:hAnsi="Arial"/>
          <w:sz w:val="21"/>
          <w:szCs w:val="21"/>
          <w:color w:val="auto"/>
        </w:rPr>
        <w:t xml:space="preserve"> hereto and shall be further subject to such other terms and conditions set forth therein. As used in the Program, the term “</w:t>
      </w:r>
      <w:r>
        <w:rPr>
          <w:rFonts w:ascii="Arial" w:cs="Arial" w:eastAsia="Arial" w:hAnsi="Arial"/>
          <w:sz w:val="21"/>
          <w:szCs w:val="21"/>
          <w:b w:val="1"/>
          <w:bCs w:val="1"/>
          <w:color w:val="auto"/>
        </w:rPr>
        <w:t>Stock Unit</w:t>
      </w:r>
      <w:r>
        <w:rPr>
          <w:rFonts w:ascii="Arial" w:cs="Arial" w:eastAsia="Arial" w:hAnsi="Arial"/>
          <w:sz w:val="21"/>
          <w:szCs w:val="21"/>
          <w:color w:val="auto"/>
        </w:rPr>
        <w:t>” shall mean a non-voting unit of measurement which is deemed for bookkeeping purposes to be equivalent to one outstanding share of Common Stock (subject to adjustment as provided in Section 7.1 of the Plan) solely for purposes of the Program. Stock Units shall be used solely as a device for the determination of the number of shares of Common Stock to eventually be delivered to a Non-Employee Director if Stock Units held by such Non-Employee Director vest pursuant to Section 6 or Section 8. Stock Units shall not be treated as property or as a trust fund of any kind. Stock Units granted to a Non-Employee Director pursuant to the Program shall be credited to an unfunded bookkeeping account maintained by the Corporation on behalf of the Non-Employee Director (a “</w:t>
      </w:r>
      <w:r>
        <w:rPr>
          <w:rFonts w:ascii="Arial" w:cs="Arial" w:eastAsia="Arial" w:hAnsi="Arial"/>
          <w:sz w:val="21"/>
          <w:szCs w:val="21"/>
          <w:b w:val="1"/>
          <w:bCs w:val="1"/>
          <w:color w:val="auto"/>
        </w:rPr>
        <w:t>Program</w:t>
      </w:r>
      <w:r>
        <w:rPr>
          <w:rFonts w:ascii="Arial" w:cs="Arial" w:eastAsia="Arial" w:hAnsi="Arial"/>
          <w:sz w:val="21"/>
          <w:szCs w:val="21"/>
          <w:color w:val="auto"/>
        </w:rPr>
        <w:t xml:space="preserve"> </w:t>
      </w:r>
      <w:r>
        <w:rPr>
          <w:rFonts w:ascii="Arial" w:cs="Arial" w:eastAsia="Arial" w:hAnsi="Arial"/>
          <w:sz w:val="21"/>
          <w:szCs w:val="21"/>
          <w:b w:val="1"/>
          <w:bCs w:val="1"/>
          <w:color w:val="auto"/>
        </w:rPr>
        <w:t>Account</w:t>
      </w:r>
      <w:r>
        <w:rPr>
          <w:rFonts w:ascii="Arial" w:cs="Arial" w:eastAsia="Arial" w:hAnsi="Arial"/>
          <w:sz w:val="21"/>
          <w:szCs w:val="21"/>
          <w:color w:val="auto"/>
        </w:rPr>
        <w:t>”).</w:t>
      </w:r>
    </w:p>
    <w:p>
      <w:pPr>
        <w:spacing w:after="0" w:line="184" w:lineRule="exact"/>
        <w:rPr>
          <w:sz w:val="20"/>
          <w:szCs w:val="20"/>
          <w:color w:val="auto"/>
        </w:rPr>
      </w:pPr>
    </w:p>
    <w:p>
      <w:pPr>
        <w:ind w:right="140" w:firstLine="8"/>
        <w:spacing w:after="0" w:line="217" w:lineRule="auto"/>
        <w:tabs>
          <w:tab w:leader="none" w:pos="95"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Following approval by the Corporation’s stockholders and its 2017 Annual Meeting of Stockholders on November 2, 2017, the Plan was renamed as the “2017 Performance Incentive Plan.”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137" w:name="page138"/>
    <w:bookmarkEnd w:id="137"/>
    <w:p>
      <w:pPr>
        <w:ind w:left="352" w:hanging="352"/>
        <w:spacing w:after="0"/>
        <w:tabs>
          <w:tab w:leader="none" w:pos="352"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Stock Unit Awards</w:t>
      </w:r>
      <w:r>
        <w:rPr>
          <w:rFonts w:ascii="Arial" w:cs="Arial" w:eastAsia="Arial" w:hAnsi="Arial"/>
          <w:sz w:val="22"/>
          <w:szCs w:val="22"/>
          <w:color w:val="auto"/>
        </w:rPr>
        <w:t>.</w:t>
      </w:r>
    </w:p>
    <w:p>
      <w:pPr>
        <w:spacing w:after="0" w:line="233" w:lineRule="exact"/>
        <w:rPr>
          <w:sz w:val="20"/>
          <w:szCs w:val="20"/>
          <w:color w:val="auto"/>
        </w:rPr>
      </w:pPr>
    </w:p>
    <w:p>
      <w:pPr>
        <w:ind w:left="652" w:right="20"/>
        <w:spacing w:after="0" w:line="292"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i w:val="1"/>
          <w:iCs w:val="1"/>
          <w:color w:val="auto"/>
        </w:rPr>
        <w:t>Annual Awards</w:t>
      </w:r>
      <w:r>
        <w:rPr>
          <w:rFonts w:ascii="Arial" w:cs="Arial" w:eastAsia="Arial" w:hAnsi="Arial"/>
          <w:sz w:val="19"/>
          <w:szCs w:val="19"/>
          <w:color w:val="auto"/>
        </w:rPr>
        <w:t>. On the date of and immediately following the Corporation’s regular annual meeting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in each year during the term of the Plan commencing with 2012, each Non-Employee Director then in office shall be granted automatically (without any action by the Board or the Administrator) a Stock Unit Award with respect to a number (rounded down to the nearest whole number) of Stock Units equal to (i) $240,000 ($290,000 in the case of a Non-Employee Director then serving as Chair of the Board and $270,000 in the case of a Non-Employee Director then serving as Lead Independent Director), divided by (ii) the Fair Market Value of a share of Common Stock on the applicable annual meeting date (subject to adjustment as provided in Section 7.1 of the Plan). An individual who was previously a member of the Board, who then ceased to be a member of the Board for any reason, and who then again becomes a Non-Employee Director shall thereupon again become eligible to be granted Stock Units under this Section 4.1.</w:t>
      </w:r>
    </w:p>
    <w:p>
      <w:pPr>
        <w:spacing w:after="0" w:line="147" w:lineRule="exact"/>
        <w:rPr>
          <w:sz w:val="20"/>
          <w:szCs w:val="20"/>
          <w:color w:val="auto"/>
        </w:rPr>
      </w:pPr>
    </w:p>
    <w:p>
      <w:pPr>
        <w:ind w:left="652" w:right="220"/>
        <w:spacing w:after="0" w:line="298"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i w:val="1"/>
          <w:iCs w:val="1"/>
          <w:color w:val="auto"/>
        </w:rPr>
        <w:t>Initial Award for New Directors</w:t>
      </w:r>
      <w:r>
        <w:rPr>
          <w:rFonts w:ascii="Arial" w:cs="Arial" w:eastAsia="Arial" w:hAnsi="Arial"/>
          <w:sz w:val="19"/>
          <w:szCs w:val="19"/>
          <w:color w:val="auto"/>
        </w:rPr>
        <w:t>. Upon first being appointed or elected to the Board, a Non-Employee Director who</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previously served on the Board shall be granted automatically (without any action by the Board or the Administrator) a Stock Unit Award with respect to a number of Stock Units equal to (i) the number of Stock Units in the Annual Award immediately preceding the date such Non-Employee Director is first appointed or elected to the Board, divided by (ii) 365, multiplied by (iii) the number of days from the date such Non-Employee Director is first appointed or elected to the Board to the scheduled date of the Corporation’s next annual meeting of stockholders.</w:t>
      </w:r>
    </w:p>
    <w:p>
      <w:pPr>
        <w:spacing w:after="0" w:line="141" w:lineRule="exact"/>
        <w:rPr>
          <w:sz w:val="20"/>
          <w:szCs w:val="20"/>
          <w:color w:val="auto"/>
        </w:rPr>
      </w:pPr>
    </w:p>
    <w:p>
      <w:pPr>
        <w:jc w:val="both"/>
        <w:ind w:left="652" w:right="360"/>
        <w:spacing w:after="0" w:line="323"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i w:val="1"/>
          <w:iCs w:val="1"/>
          <w:color w:val="auto"/>
        </w:rPr>
        <w:t>Transfer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granted pursuant to this Section 4 shall be subject to the transfer restrictions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Section 5.7 of the Plan. For purposes of clarity, the Administrator has not approved any transfer exceptions with respect to Stock Units granted pursuant to the Program in accordance with Section 5.7.2 of the Plan.</w:t>
      </w:r>
    </w:p>
    <w:p>
      <w:pPr>
        <w:spacing w:after="0" w:line="117" w:lineRule="exact"/>
        <w:rPr>
          <w:sz w:val="20"/>
          <w:szCs w:val="20"/>
          <w:color w:val="auto"/>
        </w:rPr>
      </w:pPr>
    </w:p>
    <w:p>
      <w:pPr>
        <w:ind w:left="352" w:hanging="352"/>
        <w:spacing w:after="0"/>
        <w:tabs>
          <w:tab w:leader="none" w:pos="352"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and Voting Rights</w:t>
      </w:r>
      <w:r>
        <w:rPr>
          <w:rFonts w:ascii="Arial" w:cs="Arial" w:eastAsia="Arial" w:hAnsi="Arial"/>
          <w:sz w:val="22"/>
          <w:szCs w:val="22"/>
          <w:color w:val="auto"/>
        </w:rPr>
        <w:t>.</w:t>
      </w:r>
    </w:p>
    <w:p>
      <w:pPr>
        <w:spacing w:after="0" w:line="233" w:lineRule="exact"/>
        <w:rPr>
          <w:sz w:val="20"/>
          <w:szCs w:val="20"/>
          <w:color w:val="auto"/>
        </w:rPr>
      </w:pPr>
    </w:p>
    <w:p>
      <w:pPr>
        <w:ind w:left="652" w:right="120"/>
        <w:spacing w:after="0" w:line="298"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i w:val="1"/>
          <w:iCs w:val="1"/>
          <w:color w:val="auto"/>
        </w:rPr>
        <w:t>Limitation of Rights Associated with Stock Units</w:t>
      </w:r>
      <w:r>
        <w:rPr>
          <w:rFonts w:ascii="Arial" w:cs="Arial" w:eastAsia="Arial" w:hAnsi="Arial"/>
          <w:sz w:val="19"/>
          <w:szCs w:val="19"/>
          <w:color w:val="auto"/>
        </w:rPr>
        <w:t>. A Non-Employee Director shall have no rights as a stockholder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no dividend rights (except as expressly provided in Section 5.2 with respect to dividend equivalent rights) and no voting rights, with respect to Stock Units granted pursuant to the Program and any shares of Common Stock underlying or issuable in respect of such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41" w:lineRule="exact"/>
        <w:rPr>
          <w:sz w:val="20"/>
          <w:szCs w:val="20"/>
          <w:color w:val="auto"/>
        </w:rPr>
      </w:pPr>
    </w:p>
    <w:p>
      <w:pPr>
        <w:ind w:left="652"/>
        <w:spacing w:after="0" w:line="25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b w:val="1"/>
          <w:bCs w:val="1"/>
          <w:i w:val="1"/>
          <w:iCs w:val="1"/>
          <w:color w:val="auto"/>
        </w:rPr>
        <w:t>Dividend Equivalent Rights</w:t>
      </w:r>
      <w:r>
        <w:rPr>
          <w:rFonts w:ascii="Arial" w:cs="Arial" w:eastAsia="Arial" w:hAnsi="Arial"/>
          <w:sz w:val="22"/>
          <w:szCs w:val="22"/>
          <w:color w:val="auto"/>
        </w:rPr>
        <w:t>. As of any date that the Corporation pays a dividend (other than in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upon issued and outstanding Common Stock, or makes a distribution (other than in shares of Common Stock) with respect thereto, a Non-Employee Director’s Program Account shall be credited with an additional number (rounded down to the nearest whole number) of Stock Units equal to (i) the “fair value”</w:t>
      </w: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92"/>
          </w:cols>
          <w:pgMar w:left="248" w:top="369" w:right="259" w:bottom="1440" w:gutter="0" w:footer="0" w:header="0"/>
        </w:sectPr>
      </w:pPr>
    </w:p>
    <w:bookmarkStart w:id="138" w:name="page139"/>
    <w:bookmarkEnd w:id="138"/>
    <w:p>
      <w:pPr>
        <w:ind w:left="660" w:right="20"/>
        <w:spacing w:after="0" w:line="287" w:lineRule="auto"/>
        <w:rPr>
          <w:sz w:val="20"/>
          <w:szCs w:val="20"/>
          <w:color w:val="auto"/>
        </w:rPr>
      </w:pPr>
      <w:r>
        <w:rPr>
          <w:rFonts w:ascii="Arial" w:cs="Arial" w:eastAsia="Arial" w:hAnsi="Arial"/>
          <w:sz w:val="19"/>
          <w:szCs w:val="19"/>
          <w:color w:val="auto"/>
        </w:rPr>
        <w:t>of any dividend (or other distribution) with respect to one share of Common Stock, multiplied by (ii) the number of unpaid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Stock Units credited pursuant to the foregoing provisions of this Section 5.2 shall be subject to the same vesting, payment and other terms, conditions and restrictions as the original Stock Units to which they relate. No adjustment shall be made pursuant to Section 7.1 of the Plan as to Stock Units granted pursuant to the Program in connection with any dividend (other than in shares of Common Stock) or distribution (other than in shares of Common Stock) for which dividend equivalents are credited pursuant to the foregoing provisions of this Section 5.2. Stock Units granted pursuant to the Program shall otherwise be subject to adjustment pursuant to Section 7.1 of the Plan (for example, and without limitation, in connection with a split or reverse split of the outstanding Common Stock).</w:t>
      </w:r>
    </w:p>
    <w:p>
      <w:pPr>
        <w:spacing w:after="0" w:line="154" w:lineRule="exact"/>
        <w:rPr>
          <w:sz w:val="20"/>
          <w:szCs w:val="20"/>
          <w:color w:val="auto"/>
        </w:rPr>
      </w:pPr>
    </w:p>
    <w:p>
      <w:pPr>
        <w:ind w:firstLine="8"/>
        <w:spacing w:after="0" w:line="253" w:lineRule="auto"/>
        <w:tabs>
          <w:tab w:leader="none" w:pos="342"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Subject to Section 8 hereof and Section 7 of the Plan, a Stock Unit Award granted to a Non-Employee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Program (whether pursuant to Section 4 or Section 5.2) shall vest and become payable as to 100% of the total number of Stock Units subject thereto on the first to occur of (i) the first anniversary of the date of grant of the Stock Unit Award or (ii) immediately prior to the Corporation’s first regular meeting of stockholders following the date of grant of the Stock Unit Award.</w:t>
      </w:r>
    </w:p>
    <w:p>
      <w:pPr>
        <w:spacing w:after="0" w:line="179" w:lineRule="exact"/>
        <w:rPr>
          <w:rFonts w:ascii="Arial" w:cs="Arial" w:eastAsia="Arial" w:hAnsi="Arial"/>
          <w:sz w:val="22"/>
          <w:szCs w:val="22"/>
          <w:b w:val="1"/>
          <w:bCs w:val="1"/>
          <w:color w:val="auto"/>
        </w:rPr>
      </w:pPr>
    </w:p>
    <w:p>
      <w:pPr>
        <w:jc w:val="both"/>
        <w:ind w:right="40" w:firstLine="8"/>
        <w:spacing w:after="0" w:line="292" w:lineRule="auto"/>
        <w:tabs>
          <w:tab w:leader="none" w:pos="342"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Continuation of Services</w:t>
      </w:r>
      <w:r>
        <w:rPr>
          <w:rFonts w:ascii="Arial" w:cs="Arial" w:eastAsia="Arial" w:hAnsi="Arial"/>
          <w:sz w:val="19"/>
          <w:szCs w:val="19"/>
          <w:color w:val="auto"/>
        </w:rPr>
        <w:t>. The vesting schedule requires continued service through each applicable vesting date as a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to the vesting of the applicable installment of a Stock Unit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8 below.</w:t>
      </w:r>
    </w:p>
    <w:p>
      <w:pPr>
        <w:jc w:val="both"/>
        <w:ind w:right="100"/>
        <w:spacing w:after="0" w:line="302" w:lineRule="auto"/>
        <w:rPr>
          <w:rFonts w:ascii="Arial" w:cs="Arial" w:eastAsia="Arial" w:hAnsi="Arial"/>
          <w:sz w:val="19"/>
          <w:szCs w:val="19"/>
          <w:b w:val="1"/>
          <w:bCs w:val="1"/>
          <w:color w:val="auto"/>
        </w:rPr>
      </w:pPr>
      <w:r>
        <w:rPr>
          <w:rFonts w:ascii="Arial" w:cs="Arial" w:eastAsia="Arial" w:hAnsi="Arial"/>
          <w:sz w:val="19"/>
          <w:szCs w:val="19"/>
          <w:color w:val="auto"/>
        </w:rPr>
        <w:t>Nothing contained in the Program constitutes a continued service commitment by the Corporation, confers upon a Non-Employee Director any right to remain in service to the Corporation, interferes with the right of the Corporation at any time to terminate such service, or affects the right of the Corporation to increase or decrease a Non-Employee Director’s other compensation.</w:t>
      </w:r>
    </w:p>
    <w:p>
      <w:pPr>
        <w:spacing w:after="0" w:line="137" w:lineRule="exact"/>
        <w:rPr>
          <w:rFonts w:ascii="Arial" w:cs="Arial" w:eastAsia="Arial" w:hAnsi="Arial"/>
          <w:sz w:val="19"/>
          <w:szCs w:val="19"/>
          <w:b w:val="1"/>
          <w:bCs w:val="1"/>
          <w:color w:val="auto"/>
        </w:rPr>
      </w:pPr>
    </w:p>
    <w:p>
      <w:pPr>
        <w:ind w:right="100" w:firstLine="8"/>
        <w:spacing w:after="0" w:line="262" w:lineRule="auto"/>
        <w:tabs>
          <w:tab w:leader="none" w:pos="342"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Directorship</w:t>
      </w:r>
      <w:r>
        <w:rPr>
          <w:rFonts w:ascii="Arial" w:cs="Arial" w:eastAsia="Arial" w:hAnsi="Arial"/>
          <w:sz w:val="22"/>
          <w:szCs w:val="22"/>
          <w:color w:val="auto"/>
        </w:rPr>
        <w:t>. Subject to earlier termination pursuant to Section 7 of the Plan, if a Non-Employee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incurs a Separation from Service (as defined below) for any reason, the following rules shall apply with respect to any Stock Units granted to the Non-Employee Director pursuant to Section 4 above:</w:t>
      </w:r>
    </w:p>
    <w:p>
      <w:pPr>
        <w:spacing w:after="0" w:line="176" w:lineRule="exact"/>
        <w:rPr>
          <w:rFonts w:ascii="Arial" w:cs="Arial" w:eastAsia="Arial" w:hAnsi="Arial"/>
          <w:sz w:val="22"/>
          <w:szCs w:val="22"/>
          <w:b w:val="1"/>
          <w:bCs w:val="1"/>
          <w:color w:val="auto"/>
        </w:rPr>
      </w:pPr>
    </w:p>
    <w:p>
      <w:pPr>
        <w:jc w:val="both"/>
        <w:ind w:left="1300" w:right="480" w:hanging="644"/>
        <w:spacing w:after="0" w:line="253" w:lineRule="auto"/>
        <w:tabs>
          <w:tab w:leader="none" w:pos="130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other than as expressly provided below in this Section 8, all Stock Units granted to the Non-Employee Director pursuant to the Program that have not vested as of the Non-Employee Director’s Separation from Service, shall immediately terminate without payment therefor;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139" w:name="page140"/>
    <w:bookmarkEnd w:id="139"/>
    <w:p>
      <w:pPr>
        <w:ind w:left="1300" w:right="200" w:hanging="644"/>
        <w:spacing w:after="0" w:line="25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the Non-Employee Director’s Separation from Service occurs due to his or her death or Disability (as defined below), all Stock Units granted to the Non-Employee Director pursuant to the Program shall immediately vest and become payable as provided in Section 9;</w:t>
      </w:r>
    </w:p>
    <w:p>
      <w:pPr>
        <w:spacing w:after="0" w:line="185" w:lineRule="exact"/>
        <w:rPr>
          <w:rFonts w:ascii="Arial" w:cs="Arial" w:eastAsia="Arial" w:hAnsi="Arial"/>
          <w:sz w:val="22"/>
          <w:szCs w:val="22"/>
          <w:color w:val="auto"/>
        </w:rPr>
      </w:pPr>
    </w:p>
    <w:p>
      <w:pPr>
        <w:ind w:left="1300" w:right="360" w:hanging="644"/>
        <w:spacing w:after="0" w:line="253"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the Non-Employee Director ceases to be a member of the Board due to his or her Removal, all then-unvested Stock Units granted to the Non-Employee Director pursuant to the Program shall immediately terminate without payment therefor.</w:t>
      </w:r>
    </w:p>
    <w:p>
      <w:pPr>
        <w:spacing w:after="0" w:line="18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For purposes of this Section 8, the term “</w:t>
      </w:r>
      <w:r>
        <w:rPr>
          <w:rFonts w:ascii="Arial" w:cs="Arial" w:eastAsia="Arial" w:hAnsi="Arial"/>
          <w:sz w:val="21"/>
          <w:szCs w:val="21"/>
          <w:b w:val="1"/>
          <w:bCs w:val="1"/>
          <w:color w:val="auto"/>
        </w:rPr>
        <w:t>Disability</w:t>
      </w:r>
      <w:r>
        <w:rPr>
          <w:rFonts w:ascii="Arial" w:cs="Arial" w:eastAsia="Arial" w:hAnsi="Arial"/>
          <w:sz w:val="21"/>
          <w:szCs w:val="21"/>
          <w:color w:val="auto"/>
        </w:rPr>
        <w:t>” shall mean a period of disability during which a Non-Employee Director qualified for permanent disability benefits under the Corporation’s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Corporation does not sponsor such a plan, or discontinues to sponsor such a plan, Disability shall be determined by the Administrator in its sole discretion. For purposes of this Section 8, the term “</w:t>
      </w:r>
      <w:r>
        <w:rPr>
          <w:rFonts w:ascii="Arial" w:cs="Arial" w:eastAsia="Arial" w:hAnsi="Arial"/>
          <w:sz w:val="21"/>
          <w:szCs w:val="21"/>
          <w:b w:val="1"/>
          <w:bCs w:val="1"/>
          <w:color w:val="auto"/>
        </w:rPr>
        <w:t>Removal</w:t>
      </w:r>
      <w:r>
        <w:rPr>
          <w:rFonts w:ascii="Arial" w:cs="Arial" w:eastAsia="Arial" w:hAnsi="Arial"/>
          <w:sz w:val="21"/>
          <w:szCs w:val="21"/>
          <w:color w:val="auto"/>
        </w:rPr>
        <w:t>” shall mean the removal of a Non-Employee Director from the Board, with or without cause, in accordance with the Corporation’s Certificate of Incorporation, Bylaws or the Delaware General Corporation Law.</w:t>
      </w:r>
    </w:p>
    <w:p>
      <w:pPr>
        <w:spacing w:after="0" w:line="176"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color w:val="auto"/>
        </w:rPr>
        <w:t>For purposes of this Section 8, the term “</w:t>
      </w:r>
      <w:r>
        <w:rPr>
          <w:rFonts w:ascii="Arial" w:cs="Arial" w:eastAsia="Arial" w:hAnsi="Arial"/>
          <w:sz w:val="22"/>
          <w:szCs w:val="22"/>
          <w:b w:val="1"/>
          <w:bCs w:val="1"/>
          <w:color w:val="auto"/>
        </w:rPr>
        <w:t>Separation from Service</w:t>
      </w:r>
      <w:r>
        <w:rPr>
          <w:rFonts w:ascii="Arial" w:cs="Arial" w:eastAsia="Arial" w:hAnsi="Arial"/>
          <w:sz w:val="22"/>
          <w:szCs w:val="22"/>
          <w:color w:val="auto"/>
        </w:rPr>
        <w:t>,” with respect to a Non-Employee Director, shall mean the date the Non-Employee Director ceases to be a member of the Board (regardless of the reason); provided, however, that if the Non-Employee Director is immediately thereafter employed by the Corporation or one of its Subsidiaries, such director’s Separation from Service shall be the date such director incurs a “separation from service” as such term is defined for purposes of Section 409A of the Code.</w:t>
      </w:r>
    </w:p>
    <w:p>
      <w:pPr>
        <w:spacing w:after="0" w:line="187" w:lineRule="exact"/>
        <w:rPr>
          <w:sz w:val="20"/>
          <w:szCs w:val="20"/>
          <w:color w:val="auto"/>
        </w:rPr>
      </w:pPr>
    </w:p>
    <w:p>
      <w:pPr>
        <w:ind w:right="20" w:firstLine="8"/>
        <w:spacing w:after="0" w:line="289" w:lineRule="auto"/>
        <w:tabs>
          <w:tab w:leader="none" w:pos="342"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Timing and Manner of Payment of Stock Units</w:t>
      </w:r>
      <w:r>
        <w:rPr>
          <w:rFonts w:ascii="Arial" w:cs="Arial" w:eastAsia="Arial" w:hAnsi="Arial"/>
          <w:sz w:val="19"/>
          <w:szCs w:val="19"/>
          <w:color w:val="auto"/>
        </w:rPr>
        <w:t>. Except as provided in Section 10 below, on or within fifteen (15)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days following the first to occur of (i) the first anniversary of the date of grant of the Stock Unit Award, or (ii) the Non-Employee Director’s Separation from Service, the Corporation shall deliver to the Non-Employee Director a number of shares of Common Stock (either by delivering one or more certificates for such shares or by entering such shares in book entry form, as determined by the Corporation in its sole discretion) equal to the number of Stock Units (if any) that vested with respect to the corresponding Stock Unit Award in accordance with the provisions hereof, subject to adjustment as provided in Section 7 of the Plan; provided, however, that, to the extent permitted by the Corporation’s Amended and Restated Deferred Compensation Plan, as it may be amended from time to time (the “</w:t>
      </w:r>
      <w:r>
        <w:rPr>
          <w:rFonts w:ascii="Arial" w:cs="Arial" w:eastAsia="Arial" w:hAnsi="Arial"/>
          <w:sz w:val="19"/>
          <w:szCs w:val="19"/>
          <w:b w:val="1"/>
          <w:bCs w:val="1"/>
          <w:color w:val="auto"/>
        </w:rPr>
        <w:t>Deferred Compensation Plan</w:t>
      </w:r>
      <w:r>
        <w:rPr>
          <w:rFonts w:ascii="Arial" w:cs="Arial" w:eastAsia="Arial" w:hAnsi="Arial"/>
          <w:sz w:val="19"/>
          <w:szCs w:val="19"/>
          <w:color w:val="auto"/>
        </w:rPr>
        <w:t>”), a Non-Employee Director may elect to defer receipt of any or all shares of Common Stock payable with respect to Stock Units that vest pursuant to the Program. Such elections shall be made, and any such deferral shall be effected and administered, in accordance with the Deferred Compensation Plan. The Corporation’s obligation to deliver shares of Common Stock with respect to vested Stock Units is subject to the condition precedent that the Non-Employee Director (or other person entitled under the Plan to receive any shares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375" w:right="279" w:bottom="1440" w:gutter="0" w:footer="0" w:header="0"/>
        </w:sectPr>
      </w:pPr>
    </w:p>
    <w:bookmarkStart w:id="140" w:name="page141"/>
    <w:bookmarkEnd w:id="140"/>
    <w:p>
      <w:pPr>
        <w:ind w:right="140"/>
        <w:spacing w:after="0" w:line="302" w:lineRule="auto"/>
        <w:rPr>
          <w:sz w:val="20"/>
          <w:szCs w:val="20"/>
          <w:color w:val="auto"/>
        </w:rPr>
      </w:pPr>
      <w:r>
        <w:rPr>
          <w:rFonts w:ascii="Arial" w:cs="Arial" w:eastAsia="Arial" w:hAnsi="Arial"/>
          <w:sz w:val="19"/>
          <w:szCs w:val="19"/>
          <w:color w:val="auto"/>
        </w:rPr>
        <w:t>with respect to the vested Stock Units) deliver to the Corporation any representations or other documents or assurances required pursuant to Section 8.1 of the Plan. A Non-Employee Director shall have no further rights with respect to any Stock Units that are paid or that are terminated pursuant to Section 8 hereof or Section 7 of the Plan, and such Stock Units shall be removed from the Non-Employee Director’s Program Account upon the date of such payment or termination.</w:t>
      </w:r>
    </w:p>
    <w:p>
      <w:pPr>
        <w:spacing w:after="0" w:line="137" w:lineRule="exact"/>
        <w:rPr>
          <w:sz w:val="20"/>
          <w:szCs w:val="20"/>
          <w:color w:val="auto"/>
        </w:rPr>
      </w:pPr>
    </w:p>
    <w:p>
      <w:pPr>
        <w:ind w:right="80" w:firstLine="8"/>
        <w:spacing w:after="0" w:line="295" w:lineRule="auto"/>
        <w:tabs>
          <w:tab w:leader="none" w:pos="450"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 Events</w:t>
      </w:r>
      <w:r>
        <w:rPr>
          <w:rFonts w:ascii="Arial" w:cs="Arial" w:eastAsia="Arial" w:hAnsi="Arial"/>
          <w:sz w:val="19"/>
          <w:szCs w:val="19"/>
          <w:color w:val="auto"/>
        </w:rPr>
        <w:t>. A Stock Unit Award may vest and become payable in connection with the occurrence of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events involving the Corporation as provided for in Section 7 of the Plan; provided, however, that, notwithstanding anything to the contrary in the Program or the Plan, if the event giving rise to such accelerated vesting is not also a “change in the ownership or effective control” of the Corporation or a “change in the ownership of a substantial portion of the assets” of the Corporation for purposes of Section 409A of the Code or an acceleration of payment of the award would otherwise result in any tax liability pursuant to Section 409A of the Code, then payment with respect to such vested Stock Unit Award shall not be made until such Stock Unit Award would have become vested and payable without regard to this Section 10 or Section 7 of the Plan.</w:t>
      </w:r>
    </w:p>
    <w:p>
      <w:pPr>
        <w:spacing w:after="0" w:line="145" w:lineRule="exact"/>
        <w:rPr>
          <w:rFonts w:ascii="Arial" w:cs="Arial" w:eastAsia="Arial" w:hAnsi="Arial"/>
          <w:sz w:val="19"/>
          <w:szCs w:val="19"/>
          <w:b w:val="1"/>
          <w:bCs w:val="1"/>
          <w:color w:val="auto"/>
        </w:rPr>
      </w:pPr>
    </w:p>
    <w:p>
      <w:pPr>
        <w:ind w:firstLine="8"/>
        <w:spacing w:after="0" w:line="286" w:lineRule="auto"/>
        <w:tabs>
          <w:tab w:leader="none" w:pos="438"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Maximum Number of Shares; Amendment; Administration; Construction</w:t>
      </w:r>
      <w:r>
        <w:rPr>
          <w:rFonts w:ascii="Arial" w:cs="Arial" w:eastAsia="Arial" w:hAnsi="Arial"/>
          <w:sz w:val="19"/>
          <w:szCs w:val="19"/>
          <w:color w:val="auto"/>
        </w:rPr>
        <w:t>. Stock Units granted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shall otherwise be subject to the terms of the Plan (including, without limitation, the provisions of Section 7 of the Plan). If Stock Unit Awards otherwise required pursuant to the Program would otherwise exceed any applicable share limit under Section 4.2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Stock Unit Award granted under the Program before the adoption of such amendment. The Board may amend, modify, suspend or terminate outstanding Stock Unit Awards; provided, however, that outstanding Stock Unit Awards shall not be amended, modified, suspended or terminated so as to impair any rights of the recipient of the award without the consent of such recipient. If any such amendment or modification to an outstanding Stock Unit Award has the result of accelerating the vesting of such award, then any election that had been made to defer receipt of payment with respect to any or all of the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the Program and awards granted hereunder. As provided in Section 3.2 of the Plan, any action taken by, or inaction of, the Administrator relating or pursuant to the Program and within its authority or under applicable law shall be within the absolute discretion of that entity or body and shall be conclusive and binding upon all persons. It is intended that the terms of the Program and all Stock Unit Awards granted under the Program will not result in the imposition of any tax liability pursuant to Section 409A of the Code. The Program and all Stock Unit Awards granted hereunder shall be construed and interpreted consistent with that intent.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375" w:right="2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10.3</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November 2,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306" w:lineRule="exact"/>
        <w:rPr>
          <w:sz w:val="20"/>
          <w:szCs w:val="20"/>
          <w:color w:val="auto"/>
        </w:rPr>
      </w:pPr>
    </w:p>
    <w:p>
      <w:pPr>
        <w:ind w:right="460" w:firstLine="432"/>
        <w:spacing w:after="0" w:line="311"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2017 Annual Meeting of Stockholders (the “Named Executive Officers”)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tcPr>
          <w:p>
            <w:pPr>
              <w:jc w:val="right"/>
              <w:ind w:right="819"/>
              <w:spacing w:after="0"/>
              <w:rPr>
                <w:sz w:val="20"/>
                <w:szCs w:val="20"/>
                <w:color w:val="auto"/>
              </w:rPr>
            </w:pPr>
            <w:r>
              <w:rPr>
                <w:rFonts w:ascii="Arial" w:cs="Arial" w:eastAsia="Arial" w:hAnsi="Arial"/>
                <w:sz w:val="16"/>
                <w:szCs w:val="16"/>
                <w:b w:val="1"/>
                <w:bCs w:val="1"/>
                <w:color w:val="auto"/>
              </w:rPr>
              <w:t>Current</w:t>
            </w:r>
          </w:p>
        </w:tc>
      </w:tr>
      <w:tr>
        <w:trPr>
          <w:trHeight w:val="230"/>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6020" w:type="dxa"/>
            <w:vAlign w:val="bottom"/>
          </w:tcPr>
          <w:p>
            <w:pPr>
              <w:ind w:left="3440"/>
              <w:spacing w:after="0"/>
              <w:rPr>
                <w:sz w:val="20"/>
                <w:szCs w:val="20"/>
                <w:color w:val="auto"/>
              </w:rPr>
            </w:pPr>
            <w:r>
              <w:rPr>
                <w:rFonts w:ascii="Arial" w:cs="Arial" w:eastAsia="Arial" w:hAnsi="Arial"/>
                <w:sz w:val="16"/>
                <w:szCs w:val="16"/>
                <w:b w:val="1"/>
                <w:bCs w:val="1"/>
                <w:color w:val="auto"/>
              </w:rPr>
              <w:t>Title</w:t>
            </w:r>
          </w:p>
        </w:tc>
        <w:tc>
          <w:tcPr>
            <w:tcW w:w="1340" w:type="dxa"/>
            <w:vAlign w:val="bottom"/>
          </w:tcPr>
          <w:p>
            <w:pPr>
              <w:spacing w:after="0"/>
              <w:rPr>
                <w:sz w:val="19"/>
                <w:szCs w:val="19"/>
                <w:color w:val="auto"/>
              </w:rPr>
            </w:pPr>
          </w:p>
        </w:tc>
        <w:tc>
          <w:tcPr>
            <w:tcW w:w="1920" w:type="dxa"/>
            <w:vAlign w:val="bottom"/>
          </w:tcPr>
          <w:p>
            <w:pPr>
              <w:jc w:val="right"/>
              <w:ind w:right="679"/>
              <w:spacing w:after="0"/>
              <w:rPr>
                <w:sz w:val="20"/>
                <w:szCs w:val="20"/>
                <w:color w:val="auto"/>
              </w:rPr>
            </w:pPr>
            <w:r>
              <w:rPr>
                <w:rFonts w:ascii="Arial" w:cs="Arial" w:eastAsia="Arial" w:hAnsi="Arial"/>
                <w:sz w:val="16"/>
                <w:szCs w:val="16"/>
                <w:b w:val="1"/>
                <w:bCs w:val="1"/>
                <w:color w:val="auto"/>
              </w:rPr>
              <w:t>Base Salary</w:t>
            </w:r>
          </w:p>
        </w:tc>
      </w:tr>
      <w:tr>
        <w:trPr>
          <w:trHeight w:val="33"/>
        </w:trPr>
        <w:tc>
          <w:tcPr>
            <w:tcW w:w="214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Stephen D. Milligan</w:t>
            </w:r>
          </w:p>
        </w:tc>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Chief Executive Officer</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1,250,000</w:t>
            </w:r>
          </w:p>
        </w:tc>
      </w:tr>
      <w:tr>
        <w:trPr>
          <w:trHeight w:val="237"/>
        </w:trPr>
        <w:tc>
          <w:tcPr>
            <w:tcW w:w="2140" w:type="dxa"/>
            <w:vAlign w:val="bottom"/>
          </w:tcPr>
          <w:p>
            <w:pPr>
              <w:ind w:left="60"/>
              <w:spacing w:after="0"/>
              <w:rPr>
                <w:sz w:val="20"/>
                <w:szCs w:val="20"/>
                <w:color w:val="auto"/>
              </w:rPr>
            </w:pPr>
            <w:r>
              <w:rPr>
                <w:rFonts w:ascii="Arial" w:cs="Arial" w:eastAsia="Arial" w:hAnsi="Arial"/>
                <w:sz w:val="16"/>
                <w:szCs w:val="16"/>
                <w:color w:val="auto"/>
              </w:rPr>
              <w:t>Michael D. Cordano</w:t>
            </w:r>
          </w:p>
        </w:tc>
        <w:tc>
          <w:tcPr>
            <w:tcW w:w="6020" w:type="dxa"/>
            <w:vAlign w:val="bottom"/>
          </w:tcPr>
          <w:p>
            <w:pPr>
              <w:ind w:left="320"/>
              <w:spacing w:after="0"/>
              <w:rPr>
                <w:sz w:val="20"/>
                <w:szCs w:val="20"/>
                <w:color w:val="auto"/>
              </w:rPr>
            </w:pPr>
            <w:r>
              <w:rPr>
                <w:rFonts w:ascii="Arial" w:cs="Arial" w:eastAsia="Arial" w:hAnsi="Arial"/>
                <w:sz w:val="16"/>
                <w:szCs w:val="16"/>
                <w:color w:val="auto"/>
              </w:rPr>
              <w:t>President and Chief Operating Officer</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800,000</w:t>
            </w:r>
          </w:p>
        </w:tc>
      </w:tr>
      <w:tr>
        <w:trPr>
          <w:trHeight w:val="33"/>
        </w:trPr>
        <w:tc>
          <w:tcPr>
            <w:tcW w:w="2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Mark P. Long</w:t>
            </w:r>
          </w:p>
        </w:tc>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President WD Capital, Chief Strategy Officer and Chief Financial Officer</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675,000</w:t>
            </w:r>
          </w:p>
        </w:tc>
      </w:tr>
      <w:tr>
        <w:trPr>
          <w:trHeight w:val="237"/>
        </w:trPr>
        <w:tc>
          <w:tcPr>
            <w:tcW w:w="2140" w:type="dxa"/>
            <w:vAlign w:val="bottom"/>
          </w:tcPr>
          <w:p>
            <w:pPr>
              <w:ind w:left="60"/>
              <w:spacing w:after="0"/>
              <w:rPr>
                <w:sz w:val="20"/>
                <w:szCs w:val="20"/>
                <w:color w:val="auto"/>
              </w:rPr>
            </w:pPr>
            <w:r>
              <w:rPr>
                <w:rFonts w:ascii="Arial" w:cs="Arial" w:eastAsia="Arial" w:hAnsi="Arial"/>
                <w:sz w:val="16"/>
                <w:szCs w:val="16"/>
                <w:color w:val="auto"/>
              </w:rPr>
              <w:t>Martin R. Fink</w:t>
            </w:r>
          </w:p>
        </w:tc>
        <w:tc>
          <w:tcPr>
            <w:tcW w:w="6020" w:type="dxa"/>
            <w:vAlign w:val="bottom"/>
          </w:tcPr>
          <w:p>
            <w:pPr>
              <w:ind w:left="320"/>
              <w:spacing w:after="0"/>
              <w:rPr>
                <w:sz w:val="20"/>
                <w:szCs w:val="20"/>
                <w:color w:val="auto"/>
              </w:rPr>
            </w:pPr>
            <w:r>
              <w:rPr>
                <w:rFonts w:ascii="Arial" w:cs="Arial" w:eastAsia="Arial" w:hAnsi="Arial"/>
                <w:sz w:val="16"/>
                <w:szCs w:val="16"/>
                <w:color w:val="auto"/>
              </w:rPr>
              <w:t>Executive Vice President and Chief Technology Officer</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600,000</w:t>
            </w:r>
          </w:p>
        </w:tc>
      </w:tr>
      <w:tr>
        <w:trPr>
          <w:trHeight w:val="33"/>
        </w:trPr>
        <w:tc>
          <w:tcPr>
            <w:tcW w:w="2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14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Michael C. Ray</w:t>
            </w:r>
          </w:p>
        </w:tc>
        <w:tc>
          <w:tcPr>
            <w:tcW w:w="6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Executive Vice President, Chief Legal Officer and Secretary</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575,000</w:t>
            </w:r>
          </w:p>
        </w:tc>
      </w:tr>
      <w:tr>
        <w:trPr>
          <w:trHeight w:val="33"/>
        </w:trPr>
        <w:tc>
          <w:tcPr>
            <w:tcW w:w="214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firstLine="432"/>
        <w:spacing w:after="0" w:line="306" w:lineRule="auto"/>
        <w:rPr>
          <w:sz w:val="20"/>
          <w:szCs w:val="20"/>
          <w:color w:val="auto"/>
        </w:rPr>
      </w:pPr>
      <w:r>
        <w:rPr>
          <w:rFonts w:ascii="Arial" w:cs="Arial" w:eastAsia="Arial" w:hAnsi="Arial"/>
          <w:sz w:val="18"/>
          <w:szCs w:val="18"/>
          <w:i w:val="1"/>
          <w:iCs w:val="1"/>
          <w:color w:val="auto"/>
        </w:rPr>
        <w:t>Semi-Annual Bonuses</w:t>
      </w:r>
      <w:r>
        <w:rPr>
          <w:rFonts w:ascii="Arial" w:cs="Arial" w:eastAsia="Arial" w:hAnsi="Arial"/>
          <w:sz w:val="18"/>
          <w:szCs w:val="18"/>
          <w:color w:val="auto"/>
        </w:rPr>
        <w:t>. The Named Executive Officers are also eligible to receive semi-annual cash bonus awards pursuant to the short-term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under the Company’s Incentive Compensation Plan. The cash bonus awards are determined based on the Company’s achievement of performance goals pre-established by the Compensation Committee (the “Committee”) of the Company’s Board of Directors (the “Board”) (for fiscal 2017, pre-established adjusted earnings per share goals) as well as other factors.</w:t>
      </w:r>
    </w:p>
    <w:p>
      <w:pPr>
        <w:spacing w:after="0" w:line="227" w:lineRule="exact"/>
        <w:rPr>
          <w:sz w:val="20"/>
          <w:szCs w:val="20"/>
          <w:color w:val="auto"/>
        </w:rPr>
      </w:pPr>
    </w:p>
    <w:p>
      <w:pPr>
        <w:ind w:firstLine="432"/>
        <w:spacing w:after="0" w:line="325" w:lineRule="auto"/>
        <w:rPr>
          <w:sz w:val="20"/>
          <w:szCs w:val="20"/>
          <w:color w:val="auto"/>
        </w:rPr>
      </w:pPr>
      <w:r>
        <w:rPr>
          <w:rFonts w:ascii="Arial" w:cs="Arial" w:eastAsia="Arial" w:hAnsi="Arial"/>
          <w:sz w:val="17"/>
          <w:szCs w:val="17"/>
          <w:i w:val="1"/>
          <w:iCs w:val="1"/>
          <w:color w:val="auto"/>
        </w:rPr>
        <w:t>Additional Compensation</w:t>
      </w:r>
      <w:r>
        <w:rPr>
          <w:rFonts w:ascii="Arial" w:cs="Arial" w:eastAsia="Arial" w:hAnsi="Arial"/>
          <w:sz w:val="17"/>
          <w:szCs w:val="17"/>
          <w:color w:val="auto"/>
        </w:rPr>
        <w:t>. The Named Executive Officers are also eligible to receive equity-based incentives as determined by the Committee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2017 Performance Incentive Plan and entitled to participate in various other Company plans, in each case as set forth in exhibits to the Company’s filings with the Securities and Exchange Commission or in accordance with plans available to the Company’s employees generally. In addition, the Named Executive Officers may be eligible to receive perquisites and other personal benefits as disclosed in the Company’s Proxy Statement filed with the Securities and Exchange Commission in connection with the Company’s 2017 Annual Meeting of Stockholders.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306" w:lineRule="exact"/>
        <w:rPr>
          <w:sz w:val="20"/>
          <w:szCs w:val="20"/>
          <w:color w:val="auto"/>
        </w:rPr>
      </w:pPr>
    </w:p>
    <w:p>
      <w:pPr>
        <w:ind w:right="280" w:firstLine="432"/>
        <w:spacing w:after="0" w:line="324"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ectPr>
          <w:pgSz w:w="11900" w:h="16838" w:orient="portrait"/>
          <w:cols w:equalWidth="0" w:num="1">
            <w:col w:w="11420"/>
          </w:cols>
          <w:pgMar w:left="240" w:top="39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0" w:type="dxa"/>
            <w:vAlign w:val="bottom"/>
          </w:tcPr>
          <w:p>
            <w:pPr>
              <w:jc w:val="right"/>
              <w:ind w:right="539"/>
              <w:spacing w:after="0"/>
              <w:rPr>
                <w:sz w:val="20"/>
                <w:szCs w:val="20"/>
                <w:color w:val="auto"/>
              </w:rPr>
            </w:pPr>
            <w:r>
              <w:rPr>
                <w:rFonts w:ascii="Arial" w:cs="Arial" w:eastAsia="Arial" w:hAnsi="Arial"/>
                <w:sz w:val="16"/>
                <w:szCs w:val="16"/>
                <w:b w:val="1"/>
                <w:bCs w:val="1"/>
                <w:color w:val="auto"/>
              </w:rPr>
              <w:t>Current Annual</w:t>
            </w:r>
          </w:p>
        </w:tc>
      </w:tr>
      <w:tr>
        <w:trPr>
          <w:trHeight w:val="230"/>
        </w:trPr>
        <w:tc>
          <w:tcPr>
            <w:tcW w:w="6380" w:type="dxa"/>
            <w:vAlign w:val="bottom"/>
            <w:gridSpan w:val="2"/>
          </w:tcPr>
          <w:p>
            <w:pPr>
              <w:ind w:left="60"/>
              <w:spacing w:after="0"/>
              <w:rPr>
                <w:sz w:val="20"/>
                <w:szCs w:val="20"/>
                <w:color w:val="auto"/>
              </w:rPr>
            </w:pPr>
            <w:r>
              <w:rPr>
                <w:rFonts w:ascii="Arial" w:cs="Arial" w:eastAsia="Arial" w:hAnsi="Arial"/>
                <w:sz w:val="16"/>
                <w:szCs w:val="16"/>
                <w:b w:val="1"/>
                <w:bCs w:val="1"/>
                <w:color w:val="auto"/>
              </w:rPr>
              <w:t>Type of Fee</w:t>
            </w:r>
          </w:p>
        </w:tc>
        <w:tc>
          <w:tcPr>
            <w:tcW w:w="3040" w:type="dxa"/>
            <w:vAlign w:val="bottom"/>
          </w:tcPr>
          <w:p>
            <w:pPr>
              <w:spacing w:after="0"/>
              <w:rPr>
                <w:sz w:val="19"/>
                <w:szCs w:val="19"/>
                <w:color w:val="auto"/>
              </w:rPr>
            </w:pPr>
          </w:p>
        </w:tc>
        <w:tc>
          <w:tcPr>
            <w:tcW w:w="2000" w:type="dxa"/>
            <w:vAlign w:val="bottom"/>
          </w:tcPr>
          <w:p>
            <w:pPr>
              <w:jc w:val="right"/>
              <w:ind w:right="619"/>
              <w:spacing w:after="0"/>
              <w:rPr>
                <w:sz w:val="20"/>
                <w:szCs w:val="20"/>
                <w:color w:val="auto"/>
              </w:rPr>
            </w:pPr>
            <w:r>
              <w:rPr>
                <w:rFonts w:ascii="Arial" w:cs="Arial" w:eastAsia="Arial" w:hAnsi="Arial"/>
                <w:sz w:val="16"/>
                <w:szCs w:val="16"/>
                <w:b w:val="1"/>
                <w:bCs w:val="1"/>
                <w:color w:val="auto"/>
              </w:rPr>
              <w:t>Retainer Fees</w:t>
            </w:r>
          </w:p>
        </w:tc>
      </w:tr>
      <w:tr>
        <w:trPr>
          <w:trHeight w:val="33"/>
        </w:trPr>
        <w:tc>
          <w:tcPr>
            <w:tcW w:w="6380" w:type="dxa"/>
            <w:vAlign w:val="bottom"/>
            <w:tcBorders>
              <w:bottom w:val="single" w:sz="8" w:color="auto"/>
            </w:tcBorders>
            <w:gridSpan w:val="2"/>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Annual Retainer</w:t>
            </w:r>
          </w:p>
        </w:tc>
        <w:tc>
          <w:tcPr>
            <w:tcW w:w="3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75,000</w:t>
            </w:r>
          </w:p>
        </w:tc>
      </w:tr>
      <w:tr>
        <w:trPr>
          <w:trHeight w:val="237"/>
        </w:trPr>
        <w:tc>
          <w:tcPr>
            <w:tcW w:w="6380" w:type="dxa"/>
            <w:vAlign w:val="bottom"/>
            <w:gridSpan w:val="2"/>
          </w:tcPr>
          <w:p>
            <w:pPr>
              <w:ind w:left="60"/>
              <w:spacing w:after="0"/>
              <w:rPr>
                <w:sz w:val="20"/>
                <w:szCs w:val="20"/>
                <w:color w:val="auto"/>
              </w:rPr>
            </w:pPr>
            <w:r>
              <w:rPr>
                <w:rFonts w:ascii="Arial" w:cs="Arial" w:eastAsia="Arial" w:hAnsi="Arial"/>
                <w:sz w:val="16"/>
                <w:szCs w:val="16"/>
                <w:color w:val="auto"/>
              </w:rPr>
              <w:t>Additional Non-Executive Chairman of Board Retainer</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100,000</w:t>
            </w:r>
          </w:p>
        </w:tc>
      </w:tr>
      <w:tr>
        <w:trPr>
          <w:trHeight w:val="33"/>
        </w:trPr>
        <w:tc>
          <w:tcPr>
            <w:tcW w:w="6380" w:type="dxa"/>
            <w:vAlign w:val="bottom"/>
            <w:gridSpan w:val="2"/>
          </w:tcPr>
          <w:p>
            <w:pPr>
              <w:spacing w:after="0"/>
              <w:rPr>
                <w:sz w:val="2"/>
                <w:szCs w:val="2"/>
                <w:color w:val="auto"/>
              </w:rPr>
            </w:pPr>
          </w:p>
        </w:tc>
        <w:tc>
          <w:tcPr>
            <w:tcW w:w="30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Additional Committee Retainers</w:t>
            </w:r>
          </w:p>
        </w:tc>
        <w:tc>
          <w:tcPr>
            <w:tcW w:w="30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0" w:type="dxa"/>
            <w:vAlign w:val="bottom"/>
          </w:tcPr>
          <w:p>
            <w:pPr>
              <w:ind w:left="420"/>
              <w:spacing w:after="0"/>
              <w:rPr>
                <w:sz w:val="20"/>
                <w:szCs w:val="20"/>
                <w:color w:val="auto"/>
              </w:rPr>
            </w:pPr>
            <w:r>
              <w:rPr>
                <w:rFonts w:ascii="Arial" w:cs="Arial" w:eastAsia="Arial" w:hAnsi="Arial"/>
                <w:sz w:val="16"/>
                <w:szCs w:val="16"/>
                <w:color w:val="auto"/>
              </w:rPr>
              <w:t>•</w:t>
            </w:r>
          </w:p>
        </w:tc>
        <w:tc>
          <w:tcPr>
            <w:tcW w:w="582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15,000</w:t>
            </w:r>
          </w:p>
        </w:tc>
      </w:tr>
      <w:tr>
        <w:trPr>
          <w:trHeight w:val="33"/>
        </w:trPr>
        <w:tc>
          <w:tcPr>
            <w:tcW w:w="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Compensation Committee</w:t>
            </w:r>
          </w:p>
        </w:tc>
        <w:tc>
          <w:tcPr>
            <w:tcW w:w="3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12,500</w:t>
            </w:r>
          </w:p>
        </w:tc>
      </w:tr>
      <w:tr>
        <w:trPr>
          <w:trHeight w:val="237"/>
        </w:trPr>
        <w:tc>
          <w:tcPr>
            <w:tcW w:w="560" w:type="dxa"/>
            <w:vAlign w:val="bottom"/>
          </w:tcPr>
          <w:p>
            <w:pPr>
              <w:ind w:left="420"/>
              <w:spacing w:after="0"/>
              <w:rPr>
                <w:sz w:val="20"/>
                <w:szCs w:val="20"/>
                <w:color w:val="auto"/>
              </w:rPr>
            </w:pPr>
            <w:r>
              <w:rPr>
                <w:rFonts w:ascii="Arial" w:cs="Arial" w:eastAsia="Arial" w:hAnsi="Arial"/>
                <w:sz w:val="16"/>
                <w:szCs w:val="16"/>
                <w:color w:val="auto"/>
              </w:rPr>
              <w:t>•</w:t>
            </w:r>
          </w:p>
        </w:tc>
        <w:tc>
          <w:tcPr>
            <w:tcW w:w="5820" w:type="dxa"/>
            <w:vAlign w:val="bottom"/>
          </w:tcPr>
          <w:p>
            <w:pPr>
              <w:ind w:left="120"/>
              <w:spacing w:after="0"/>
              <w:rPr>
                <w:sz w:val="20"/>
                <w:szCs w:val="20"/>
                <w:color w:val="auto"/>
              </w:rPr>
            </w:pPr>
            <w:r>
              <w:rPr>
                <w:rFonts w:ascii="Arial" w:cs="Arial" w:eastAsia="Arial" w:hAnsi="Arial"/>
                <w:sz w:val="16"/>
                <w:szCs w:val="16"/>
                <w:color w:val="auto"/>
              </w:rPr>
              <w:t>Governance Committee</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10,000</w:t>
            </w:r>
          </w:p>
        </w:tc>
      </w:tr>
      <w:tr>
        <w:trPr>
          <w:trHeight w:val="33"/>
        </w:trPr>
        <w:tc>
          <w:tcPr>
            <w:tcW w:w="6380" w:type="dxa"/>
            <w:vAlign w:val="bottom"/>
            <w:gridSpan w:val="2"/>
          </w:tcPr>
          <w:p>
            <w:pPr>
              <w:spacing w:after="0"/>
              <w:rPr>
                <w:sz w:val="2"/>
                <w:szCs w:val="2"/>
                <w:color w:val="auto"/>
              </w:rPr>
            </w:pPr>
          </w:p>
        </w:tc>
        <w:tc>
          <w:tcPr>
            <w:tcW w:w="30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Additional Committee Chairman Retainers</w:t>
            </w:r>
          </w:p>
        </w:tc>
        <w:tc>
          <w:tcPr>
            <w:tcW w:w="30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560" w:type="dxa"/>
            <w:vAlign w:val="bottom"/>
          </w:tcPr>
          <w:p>
            <w:pPr>
              <w:ind w:left="420"/>
              <w:spacing w:after="0"/>
              <w:rPr>
                <w:sz w:val="20"/>
                <w:szCs w:val="20"/>
                <w:color w:val="auto"/>
              </w:rPr>
            </w:pPr>
            <w:r>
              <w:rPr>
                <w:rFonts w:ascii="Arial" w:cs="Arial" w:eastAsia="Arial" w:hAnsi="Arial"/>
                <w:sz w:val="16"/>
                <w:szCs w:val="16"/>
                <w:color w:val="auto"/>
              </w:rPr>
              <w:t>•</w:t>
            </w:r>
          </w:p>
        </w:tc>
        <w:tc>
          <w:tcPr>
            <w:tcW w:w="582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25,000</w:t>
            </w:r>
          </w:p>
        </w:tc>
      </w:tr>
      <w:tr>
        <w:trPr>
          <w:trHeight w:val="33"/>
        </w:trPr>
        <w:tc>
          <w:tcPr>
            <w:tcW w:w="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Compensation Committee</w:t>
            </w:r>
          </w:p>
        </w:tc>
        <w:tc>
          <w:tcPr>
            <w:tcW w:w="3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22,500</w:t>
            </w:r>
          </w:p>
        </w:tc>
      </w:tr>
      <w:tr>
        <w:trPr>
          <w:trHeight w:val="237"/>
        </w:trPr>
        <w:tc>
          <w:tcPr>
            <w:tcW w:w="560" w:type="dxa"/>
            <w:vAlign w:val="bottom"/>
          </w:tcPr>
          <w:p>
            <w:pPr>
              <w:ind w:left="420"/>
              <w:spacing w:after="0"/>
              <w:rPr>
                <w:sz w:val="20"/>
                <w:szCs w:val="20"/>
                <w:color w:val="auto"/>
              </w:rPr>
            </w:pPr>
            <w:r>
              <w:rPr>
                <w:rFonts w:ascii="Arial" w:cs="Arial" w:eastAsia="Arial" w:hAnsi="Arial"/>
                <w:sz w:val="16"/>
                <w:szCs w:val="16"/>
                <w:color w:val="auto"/>
              </w:rPr>
              <w:t>•</w:t>
            </w:r>
          </w:p>
        </w:tc>
        <w:tc>
          <w:tcPr>
            <w:tcW w:w="5820" w:type="dxa"/>
            <w:vAlign w:val="bottom"/>
          </w:tcPr>
          <w:p>
            <w:pPr>
              <w:ind w:left="120"/>
              <w:spacing w:after="0"/>
              <w:rPr>
                <w:sz w:val="20"/>
                <w:szCs w:val="20"/>
                <w:color w:val="auto"/>
              </w:rPr>
            </w:pPr>
            <w:r>
              <w:rPr>
                <w:rFonts w:ascii="Arial" w:cs="Arial" w:eastAsia="Arial" w:hAnsi="Arial"/>
                <w:sz w:val="16"/>
                <w:szCs w:val="16"/>
                <w:color w:val="auto"/>
              </w:rPr>
              <w:t>Governance Committee</w:t>
            </w:r>
          </w:p>
        </w:tc>
        <w:tc>
          <w:tcPr>
            <w:tcW w:w="3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12,500</w:t>
            </w:r>
          </w:p>
        </w:tc>
      </w:tr>
    </w:tbl>
    <w:p>
      <w:pPr>
        <w:spacing w:after="0" w:line="262" w:lineRule="exact"/>
        <w:rPr>
          <w:sz w:val="20"/>
          <w:szCs w:val="20"/>
          <w:color w:val="auto"/>
        </w:rPr>
      </w:pPr>
    </w:p>
    <w:p>
      <w:pPr>
        <w:ind w:right="40" w:firstLine="432"/>
        <w:spacing w:after="0" w:line="304" w:lineRule="auto"/>
        <w:rPr>
          <w:sz w:val="20"/>
          <w:szCs w:val="20"/>
          <w:color w:val="auto"/>
        </w:rPr>
      </w:pPr>
      <w:r>
        <w:rPr>
          <w:rFonts w:ascii="Arial" w:cs="Arial" w:eastAsia="Arial" w:hAnsi="Arial"/>
          <w:sz w:val="18"/>
          <w:szCs w:val="18"/>
          <w:color w:val="auto"/>
        </w:rPr>
        <w:t>The annual retainer fees are paid immediately following the Annual Meeting of Stockholders. Directors who are appointed to the Board during the year are paid a pro-rata amount of the annual director retainer fees based on service to be rendered for the remaining part of the year after appointment. Non-employee directors do not receive a separate fee for each Board or committee meeting they attend. However, the Company reimburses all non-employee directors for reasonable out-of-pocket expenses incurred to attend each Board or committee meeting. Mr. Milligan, who is an employee of the Company, does not receive any compensation for his service on the Board or any Board committee.</w:t>
      </w:r>
    </w:p>
    <w:p>
      <w:pPr>
        <w:spacing w:after="0" w:line="229" w:lineRule="exact"/>
        <w:rPr>
          <w:sz w:val="20"/>
          <w:szCs w:val="20"/>
          <w:color w:val="auto"/>
        </w:rPr>
      </w:pPr>
    </w:p>
    <w:p>
      <w:pPr>
        <w:ind w:right="100" w:firstLine="432"/>
        <w:spacing w:after="0" w:line="311" w:lineRule="auto"/>
        <w:rPr>
          <w:sz w:val="20"/>
          <w:szCs w:val="20"/>
          <w:color w:val="auto"/>
        </w:rPr>
      </w:pPr>
      <w:r>
        <w:rPr>
          <w:rFonts w:ascii="Arial" w:cs="Arial" w:eastAsia="Arial" w:hAnsi="Arial"/>
          <w:sz w:val="18"/>
          <w:szCs w:val="18"/>
          <w:i w:val="1"/>
          <w:iCs w:val="1"/>
          <w:color w:val="auto"/>
        </w:rPr>
        <w:t>Additional Director Compensation</w:t>
      </w:r>
      <w:r>
        <w:rPr>
          <w:rFonts w:ascii="Arial" w:cs="Arial" w:eastAsia="Arial" w:hAnsi="Arial"/>
          <w:sz w:val="18"/>
          <w:szCs w:val="18"/>
          <w:color w:val="auto"/>
        </w:rPr>
        <w:t>. The Company’s non-employee directors are also entitled to participate in the following other Company plans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exhibits to the Company’s filings with the Securities and Exchange Commission: Non-Employee Director Restricted Stock Unit Grant Program, as adopted under the Company’s 2017 Performance Incentive Plan; and Deferred Compensation Plan.</w:t>
      </w:r>
    </w:p>
    <w:p>
      <w:pPr>
        <w:spacing w:after="0" w:line="181" w:lineRule="exact"/>
        <w:rPr>
          <w:sz w:val="20"/>
          <w:szCs w:val="20"/>
          <w:color w:val="auto"/>
        </w:rPr>
      </w:pPr>
    </w:p>
    <w:p>
      <w:pPr>
        <w:ind w:right="140" w:firstLine="432"/>
        <w:spacing w:after="0" w:line="343" w:lineRule="auto"/>
        <w:rPr>
          <w:sz w:val="20"/>
          <w:szCs w:val="20"/>
          <w:color w:val="auto"/>
        </w:rPr>
      </w:pPr>
      <w:r>
        <w:rPr>
          <w:rFonts w:ascii="Arial" w:cs="Arial" w:eastAsia="Arial" w:hAnsi="Arial"/>
          <w:sz w:val="16"/>
          <w:szCs w:val="16"/>
          <w:color w:val="auto"/>
        </w:rPr>
        <w:t>For fiscal 2018, the Board has provided that each of the Company’s non-employee directors automatically receive, immediately following each annual meeting of stockholders if he or she has been reelected as a director at that annual meeting, an award of restricted stock units under the Non-Employee Director Restricted Stock Unit Grant Program equal in value to $240,000 (or, in the case of our non-employee director serving as Chairman of the Board, $290,000, or Lead Independent Director, $270,000), based on the closing market value of an equivalent number of shares of our common stock on the grant date, rounded down to the nearest whole share. Upon first being appointed or elected to the Board, a new non-employee director who has not previously served on the Board is awarded a pro-rata award under the Non-Employee Director Restricted Stock Unit Grant Program based on the remaining part of the year after appointment. Each award of restricted stock units represents the right to receive an equivalent number of shares of our common stock on the applicable vesting date as provided in the Non-Employee Director Restricted Stock Unit Grant Program.</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from time to time amend the compensation arrangements for the Company’s non-employee directors.</w:t>
      </w:r>
    </w:p>
    <w:p>
      <w:pPr>
        <w:sectPr>
          <w:pgSz w:w="11900" w:h="16838" w:orient="portrait"/>
          <w:cols w:equalWidth="0" w:num="1">
            <w:col w:w="11420"/>
          </w:cols>
          <w:pgMar w:left="240" w:top="558" w:right="239" w:bottom="1440" w:gutter="0" w:footer="0" w:header="0"/>
        </w:sectPr>
      </w:pPr>
    </w:p>
    <w:bookmarkStart w:id="143" w:name="page144"/>
    <w:bookmarkEnd w:id="143"/>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FAL COMMITMENT AND EXTENSION AGREEMENT</w:t>
      </w:r>
    </w:p>
    <w:p>
      <w:pPr>
        <w:spacing w:after="0" w:line="28" w:lineRule="exact"/>
        <w:rPr>
          <w:sz w:val="20"/>
          <w:szCs w:val="20"/>
          <w:color w:val="auto"/>
        </w:rPr>
      </w:pPr>
    </w:p>
    <w:p>
      <w:pPr>
        <w:ind w:right="200" w:firstLine="648"/>
        <w:spacing w:after="0" w:line="295" w:lineRule="auto"/>
        <w:rPr>
          <w:sz w:val="20"/>
          <w:szCs w:val="20"/>
          <w:color w:val="auto"/>
        </w:rPr>
      </w:pPr>
      <w:r>
        <w:rPr>
          <w:rFonts w:ascii="Arial" w:cs="Arial" w:eastAsia="Arial" w:hAnsi="Arial"/>
          <w:sz w:val="19"/>
          <w:szCs w:val="19"/>
          <w:color w:val="auto"/>
        </w:rPr>
        <w:t>This FAL COMMITMENT AND EXTENSION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December 12, 2017, by and among Toshiba Memory Corporation, a Japanese corporation (“</w:t>
      </w:r>
      <w:r>
        <w:rPr>
          <w:rFonts w:ascii="Arial" w:cs="Arial" w:eastAsia="Arial" w:hAnsi="Arial"/>
          <w:sz w:val="19"/>
          <w:szCs w:val="19"/>
          <w:u w:val="single" w:color="auto"/>
          <w:color w:val="auto"/>
        </w:rPr>
        <w:t>TMC</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WD</w:t>
      </w:r>
      <w:r>
        <w:rPr>
          <w:rFonts w:ascii="Arial" w:cs="Arial" w:eastAsia="Arial" w:hAnsi="Arial"/>
          <w:sz w:val="19"/>
          <w:szCs w:val="19"/>
          <w:color w:val="auto"/>
        </w:rPr>
        <w:t>”), SanDisk LLC, a Delaware limited liability company (“</w:t>
      </w:r>
      <w:r>
        <w:rPr>
          <w:rFonts w:ascii="Arial" w:cs="Arial" w:eastAsia="Arial" w:hAnsi="Arial"/>
          <w:sz w:val="19"/>
          <w:szCs w:val="19"/>
          <w:u w:val="single" w:color="auto"/>
          <w:color w:val="auto"/>
        </w:rPr>
        <w:t>SanDisk</w:t>
      </w:r>
      <w:r>
        <w:rPr>
          <w:rFonts w:ascii="Arial" w:cs="Arial" w:eastAsia="Arial" w:hAnsi="Arial"/>
          <w:sz w:val="19"/>
          <w:szCs w:val="19"/>
          <w:color w:val="auto"/>
        </w:rPr>
        <w:t>”) and SanDisk (Ireland) Limited, a company organized under the laws of the Republic of Ireland (“</w:t>
      </w:r>
      <w:r>
        <w:rPr>
          <w:rFonts w:ascii="Arial" w:cs="Arial" w:eastAsia="Arial" w:hAnsi="Arial"/>
          <w:sz w:val="19"/>
          <w:szCs w:val="19"/>
          <w:u w:val="single" w:color="auto"/>
          <w:color w:val="auto"/>
        </w:rPr>
        <w:t>SanDisk Ireland</w:t>
      </w:r>
      <w:r>
        <w:rPr>
          <w:rFonts w:ascii="Arial" w:cs="Arial" w:eastAsia="Arial" w:hAnsi="Arial"/>
          <w:sz w:val="19"/>
          <w:szCs w:val="19"/>
          <w:color w:val="auto"/>
        </w:rPr>
        <w:t>” and, together with WD, SanDisk and TMC,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0"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WHEREAS, Toshiba Corporation (“</w:t>
      </w:r>
      <w:r>
        <w:rPr>
          <w:rFonts w:ascii="Arial" w:cs="Arial" w:eastAsia="Arial" w:hAnsi="Arial"/>
          <w:sz w:val="22"/>
          <w:szCs w:val="22"/>
          <w:u w:val="single" w:color="auto"/>
          <w:color w:val="auto"/>
        </w:rPr>
        <w:t>Toshiba</w:t>
      </w:r>
      <w:r>
        <w:rPr>
          <w:rFonts w:ascii="Arial" w:cs="Arial" w:eastAsia="Arial" w:hAnsi="Arial"/>
          <w:sz w:val="22"/>
          <w:szCs w:val="22"/>
          <w:color w:val="auto"/>
        </w:rPr>
        <w:t>”), SanDisk and SanDisk Ireland entered into that certain Flash Alliance Master Agreement on July 7, 2006 (as amended, the “</w:t>
      </w:r>
      <w:r>
        <w:rPr>
          <w:rFonts w:ascii="Arial" w:cs="Arial" w:eastAsia="Arial" w:hAnsi="Arial"/>
          <w:sz w:val="22"/>
          <w:szCs w:val="22"/>
          <w:u w:val="single" w:color="auto"/>
          <w:color w:val="auto"/>
        </w:rPr>
        <w:t>FA Master Agreement</w:t>
      </w:r>
      <w:r>
        <w:rPr>
          <w:rFonts w:ascii="Arial" w:cs="Arial" w:eastAsia="Arial" w:hAnsi="Arial"/>
          <w:sz w:val="22"/>
          <w:szCs w:val="22"/>
          <w:color w:val="auto"/>
        </w:rPr>
        <w:t xml:space="preserve">”), and the other FA Operative Documents, which collectively provide for the management and operation of Flash Alliance Limited, a Japanese </w:t>
      </w:r>
      <w:r>
        <w:rPr>
          <w:rFonts w:ascii="Arial" w:cs="Arial" w:eastAsia="Arial" w:hAnsi="Arial"/>
          <w:sz w:val="22"/>
          <w:szCs w:val="22"/>
          <w:i w:val="1"/>
          <w:iCs w:val="1"/>
          <w:color w:val="auto"/>
        </w:rPr>
        <w:t>tokurei yugen kaisha</w:t>
      </w:r>
      <w:r>
        <w:rPr>
          <w:rFonts w:ascii="Arial" w:cs="Arial" w:eastAsia="Arial" w:hAnsi="Arial"/>
          <w:sz w:val="22"/>
          <w:szCs w:val="22"/>
          <w:color w:val="auto"/>
        </w:rPr>
        <w:t xml:space="preserve"> (“</w:t>
      </w:r>
      <w:r>
        <w:rPr>
          <w:rFonts w:ascii="Arial" w:cs="Arial" w:eastAsia="Arial" w:hAnsi="Arial"/>
          <w:sz w:val="22"/>
          <w:szCs w:val="22"/>
          <w:u w:val="single" w:color="auto"/>
          <w:color w:val="auto"/>
        </w:rPr>
        <w:t>Flash Alliance</w:t>
      </w:r>
      <w:r>
        <w:rPr>
          <w:rFonts w:ascii="Arial" w:cs="Arial" w:eastAsia="Arial" w:hAnsi="Arial"/>
          <w:sz w:val="22"/>
          <w:szCs w:val="22"/>
          <w:color w:val="auto"/>
        </w:rPr>
        <w:t>”) and which by their terms are set to expire as of December 31, 2021;</w:t>
      </w:r>
    </w:p>
    <w:p>
      <w:pPr>
        <w:spacing w:after="0" w:line="188"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WHEREAS, on May 12, 2016, SanDisk Corporation, together with its Subsidiaries, became wholly owned indirect Subsidiaries of WD and SanDisk Corporation subsequently converted from a Delaware corporation to a Delaware limited liability company that is now known as SanDisk LLC;</w:t>
      </w:r>
    </w:p>
    <w:p>
      <w:pPr>
        <w:spacing w:after="0" w:line="186" w:lineRule="exact"/>
        <w:rPr>
          <w:sz w:val="20"/>
          <w:szCs w:val="20"/>
          <w:color w:val="auto"/>
        </w:rPr>
      </w:pPr>
    </w:p>
    <w:p>
      <w:pPr>
        <w:jc w:val="both"/>
        <w:ind w:right="600" w:firstLine="648"/>
        <w:spacing w:after="0" w:line="250" w:lineRule="auto"/>
        <w:rPr>
          <w:sz w:val="20"/>
          <w:szCs w:val="20"/>
          <w:color w:val="auto"/>
        </w:rPr>
      </w:pPr>
      <w:r>
        <w:rPr>
          <w:rFonts w:ascii="Arial" w:cs="Arial" w:eastAsia="Arial" w:hAnsi="Arial"/>
          <w:sz w:val="22"/>
          <w:szCs w:val="22"/>
          <w:color w:val="auto"/>
        </w:rPr>
        <w:t>WHEREAS, on even date herewith, WD, Toshiba, and TMC entered into the Parent Guarantee and Undertaking as to Collaboration, which sets forth, among other things, certain rights and obligations of the parties thereto with respect to WD’s participation in activities related to the Collaboration (as defined therein), including those contemplated by the FA Operative Documents;</w:t>
      </w:r>
    </w:p>
    <w:p>
      <w:pPr>
        <w:spacing w:after="0" w:line="188" w:lineRule="exact"/>
        <w:rPr>
          <w:sz w:val="20"/>
          <w:szCs w:val="20"/>
          <w:color w:val="auto"/>
        </w:rPr>
      </w:pPr>
    </w:p>
    <w:p>
      <w:pPr>
        <w:jc w:val="both"/>
        <w:ind w:right="640" w:firstLine="648"/>
        <w:spacing w:after="0" w:line="312" w:lineRule="auto"/>
        <w:rPr>
          <w:sz w:val="20"/>
          <w:szCs w:val="20"/>
          <w:color w:val="auto"/>
        </w:rPr>
      </w:pPr>
      <w:r>
        <w:rPr>
          <w:rFonts w:ascii="Arial" w:cs="Arial" w:eastAsia="Arial" w:hAnsi="Arial"/>
          <w:sz w:val="19"/>
          <w:szCs w:val="19"/>
          <w:color w:val="auto"/>
        </w:rPr>
        <w:t>WHEREAS, Toshiba and TMC claim that, effective as of April 1, 2017, Toshiba completed a corporate demerger by operation of law that transferred to TMC, Toshiba’s wholly-owned Subsidiary, substantially all of the assets and liabilities of Toshiba’s memory business, and that TMC has assumed Toshiba’s position as a party to the FA Operative Documents;</w:t>
      </w:r>
    </w:p>
    <w:p>
      <w:pPr>
        <w:spacing w:after="0" w:line="13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WHEREAS, following the execution of the Confidential Settlement and Mutual Release Agreement, dated as of even date herewith, by and among Toshiba, TMC, WD, SanDisk, and certain of SanDisk’s Subsidiaries, Toshiba intends to transfer certain other assets and liabilities related to Toshiba’s memory business to TMC, including Toshiba’s equity ownership interests in Flash Alliance; and</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WHEREAS, the Parties desire to extend the term of Flash Alliance, the FA Master Agreement and the other FA Operative Documents, and to specify the terms and conditions on which such extension is hereby agreed.</w:t>
      </w:r>
    </w:p>
    <w:p>
      <w:pPr>
        <w:spacing w:after="0" w:line="175"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NOW, THEREFORE, on the terms and subject to the conditions and limitations set forth in this Agreement, with reference to Section 2.1 of Appendix A to the FA Operative Documents and Section 2.4 of the FA Operating Agreement,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44" w:name="page145"/>
    <w:bookmarkEnd w:id="14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RELATION TO FA OPERATIVE DOCUMENTS</w:t>
      </w:r>
    </w:p>
    <w:p>
      <w:pPr>
        <w:spacing w:after="0" w:line="226"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Application of Appendix A</w:t>
      </w:r>
      <w:r>
        <w:rPr>
          <w:rFonts w:ascii="Arial" w:cs="Arial" w:eastAsia="Arial" w:hAnsi="Arial"/>
          <w:sz w:val="22"/>
          <w:szCs w:val="22"/>
          <w:color w:val="auto"/>
        </w:rPr>
        <w:t>. Appendix A to the FA Operative Documents, as amended by this Agreement (“</w:t>
      </w:r>
      <w:r>
        <w:rPr>
          <w:rFonts w:ascii="Arial" w:cs="Arial" w:eastAsia="Arial" w:hAnsi="Arial"/>
          <w:sz w:val="22"/>
          <w:szCs w:val="22"/>
          <w:u w:val="single" w:color="auto"/>
          <w:color w:val="auto"/>
        </w:rPr>
        <w:t>Appendix</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shall apply to this Agreement. The capitalized terms used but not defined in this Agreement shall have the respective meanings assigned to them in Appendix A (or, if not defined in Appendix A, the respective meanings assigned to them in the FA Master Agreement) and the rules of construction and documentary conventions set forth in Appendix A shall apply to this Agreement as if set forth herein.</w:t>
      </w:r>
    </w:p>
    <w:p>
      <w:pPr>
        <w:spacing w:after="0" w:line="190" w:lineRule="exact"/>
        <w:rPr>
          <w:sz w:val="20"/>
          <w:szCs w:val="20"/>
          <w:color w:val="auto"/>
        </w:rPr>
      </w:pPr>
    </w:p>
    <w:p>
      <w:pPr>
        <w:ind w:right="60" w:firstLine="648"/>
        <w:spacing w:after="0" w:line="262"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Effect of this Agreement</w:t>
      </w:r>
      <w:r>
        <w:rPr>
          <w:rFonts w:ascii="Arial" w:cs="Arial" w:eastAsia="Arial" w:hAnsi="Arial"/>
          <w:sz w:val="21"/>
          <w:szCs w:val="21"/>
          <w:color w:val="auto"/>
        </w:rPr>
        <w:t>. Except as expressly set forth in this Agreement, the FA Operative Documents shall be unaffected by this Agreement, and this Agreement shall be governed by and subject to the terms of the FA Operative Documents as amended hereby. From and after the date of this Agreement, each reference in any FA Operative Document to “this Agreement,” “hereof,” “hereunder” or words of like import, and all references to such FA Operative Document in any and all agreements, instruments, documents, notes, certificates and other writings of every kind of nature (other than in this Agreement or as otherwise expressly provided) shall be deemed to mean such FA Operative Document, as amended by and giving effect to this Agreement, whether or not such amendment is expressly referenced.</w:t>
      </w:r>
    </w:p>
    <w:p>
      <w:pPr>
        <w:spacing w:after="0" w:line="180" w:lineRule="exact"/>
        <w:rPr>
          <w:sz w:val="20"/>
          <w:szCs w:val="20"/>
          <w:color w:val="auto"/>
        </w:rPr>
      </w:pPr>
    </w:p>
    <w:p>
      <w:pPr>
        <w:ind w:right="520" w:firstLine="648"/>
        <w:spacing w:after="0" w:line="35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Addition to FA Operative Documents</w:t>
      </w:r>
      <w:r>
        <w:rPr>
          <w:rFonts w:ascii="Arial" w:cs="Arial" w:eastAsia="Arial" w:hAnsi="Arial"/>
          <w:sz w:val="19"/>
          <w:szCs w:val="19"/>
          <w:color w:val="auto"/>
        </w:rPr>
        <w:t>. This Agreement shall be deemed to be an FA Operative Document and the definition of “FA Operative Documents” as set forth in Appendix A is hereby amended so as to include this Agreement.</w:t>
      </w:r>
    </w:p>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EXTENSION</w:t>
      </w:r>
    </w:p>
    <w:p>
      <w:pPr>
        <w:spacing w:after="0" w:line="239"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FAL Term Extended</w:t>
      </w:r>
      <w:r>
        <w:rPr>
          <w:rFonts w:ascii="Arial" w:cs="Arial" w:eastAsia="Arial" w:hAnsi="Arial"/>
          <w:sz w:val="22"/>
          <w:szCs w:val="22"/>
          <w:color w:val="auto"/>
        </w:rPr>
        <w:t>. Section 2.4 (“Term; Extension”) of the FA Operating Agreement is hereby amended and restated in its entirety as follows:</w:t>
      </w:r>
    </w:p>
    <w:p>
      <w:pPr>
        <w:spacing w:after="0" w:line="161" w:lineRule="exact"/>
        <w:rPr>
          <w:sz w:val="20"/>
          <w:szCs w:val="20"/>
          <w:color w:val="auto"/>
        </w:rPr>
      </w:pPr>
    </w:p>
    <w:p>
      <w:pPr>
        <w:ind w:left="660" w:right="2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Extension</w:t>
      </w:r>
      <w:r>
        <w:rPr>
          <w:rFonts w:ascii="Arial" w:cs="Arial" w:eastAsia="Arial" w:hAnsi="Arial"/>
          <w:sz w:val="22"/>
          <w:szCs w:val="22"/>
          <w:color w:val="auto"/>
        </w:rPr>
        <w:t>. The Company shall be terminated on December 31, 2029, unless extended by mutual written agreement of all the Shareholders or earlier terminated in accordance with Section 11 (Dissolution). Any such extension shall be effective only upon the written agreement of all of the Shareholders and shall be on such terms and for such period as set forth in such agreement. The Shareholders agree to meet, no later than December 31, 2028, to discuss the possible extension of the term of the Company.”</w:t>
      </w:r>
    </w:p>
    <w:p>
      <w:pPr>
        <w:spacing w:after="0" w:line="192" w:lineRule="exact"/>
        <w:rPr>
          <w:sz w:val="20"/>
          <w:szCs w:val="20"/>
          <w:color w:val="auto"/>
        </w:rPr>
      </w:pPr>
    </w:p>
    <w:p>
      <w:pPr>
        <w:ind w:right="340" w:firstLine="648"/>
        <w:spacing w:after="0" w:line="35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Flash Alliance Articles of Incorporation</w:t>
      </w:r>
      <w:r>
        <w:rPr>
          <w:rFonts w:ascii="Arial" w:cs="Arial" w:eastAsia="Arial" w:hAnsi="Arial"/>
          <w:sz w:val="19"/>
          <w:szCs w:val="19"/>
          <w:color w:val="auto"/>
        </w:rPr>
        <w:t>. Promptly following the date hereof, the Parties shall cause Article 4 of the Articles of Incorporation of Flash Alliance to be amended to extend the term of Flash Alliance to December 31, 2029.</w:t>
      </w:r>
    </w:p>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OTHER COVENANTS AND AMENDMENTS</w:t>
      </w:r>
    </w:p>
    <w:p>
      <w:pPr>
        <w:spacing w:after="0" w:line="239"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Material Breach</w:t>
      </w:r>
      <w:r>
        <w:rPr>
          <w:rFonts w:ascii="Arial" w:cs="Arial" w:eastAsia="Arial" w:hAnsi="Arial"/>
          <w:sz w:val="22"/>
          <w:szCs w:val="22"/>
          <w:color w:val="auto"/>
        </w:rPr>
        <w:t>. Section 8.1 (“Termination”) of the FA Master Agreement is hereby amended to add the following provision as a new Section 8.1(l) thereof:</w:t>
      </w:r>
    </w:p>
    <w:p>
      <w:pPr>
        <w:spacing w:after="0" w:line="161" w:lineRule="exact"/>
        <w:rPr>
          <w:sz w:val="20"/>
          <w:szCs w:val="20"/>
          <w:color w:val="auto"/>
        </w:rPr>
      </w:pPr>
    </w:p>
    <w:p>
      <w:pPr>
        <w:ind w:left="660" w:right="160"/>
        <w:spacing w:after="0" w:line="263" w:lineRule="auto"/>
        <w:rPr>
          <w:sz w:val="20"/>
          <w:szCs w:val="20"/>
          <w:color w:val="auto"/>
        </w:rPr>
      </w:pPr>
      <w:r>
        <w:rPr>
          <w:rFonts w:ascii="Arial" w:cs="Arial" w:eastAsia="Arial" w:hAnsi="Arial"/>
          <w:sz w:val="22"/>
          <w:szCs w:val="22"/>
          <w:color w:val="auto"/>
        </w:rPr>
        <w:t>“(l) The Parties agree and acknowledge that in the event of a final determination by an arbitral tribunal under Section 2.5 of Appendix A that a Party has committed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120" w:firstLine="8"/>
        <w:spacing w:after="0" w:line="275" w:lineRule="auto"/>
        <w:tabs>
          <w:tab w:leader="none" w:pos="3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5" w:right="239" w:bottom="1440" w:gutter="0" w:footer="0" w:header="0"/>
        </w:sectPr>
      </w:pPr>
    </w:p>
    <w:bookmarkStart w:id="145" w:name="page146"/>
    <w:bookmarkEnd w:id="14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ind w:left="660" w:right="60"/>
        <w:spacing w:after="0" w:line="292" w:lineRule="auto"/>
        <w:rPr>
          <w:sz w:val="20"/>
          <w:szCs w:val="20"/>
          <w:color w:val="auto"/>
        </w:rPr>
      </w:pPr>
      <w:r>
        <w:rPr>
          <w:rFonts w:ascii="Arial" w:cs="Arial" w:eastAsia="Arial" w:hAnsi="Arial"/>
          <w:sz w:val="19"/>
          <w:szCs w:val="19"/>
          <w:color w:val="auto"/>
        </w:rPr>
        <w:t>committing a continuing material breach of any of **** of this Agreement that would reasonably be expected to cause material damage to Flash Alliance or the non-breaching Party (any such breach, a “</w:t>
      </w:r>
      <w:r>
        <w:rPr>
          <w:rFonts w:ascii="Arial" w:cs="Arial" w:eastAsia="Arial" w:hAnsi="Arial"/>
          <w:sz w:val="19"/>
          <w:szCs w:val="19"/>
          <w:u w:val="single" w:color="auto"/>
          <w:color w:val="auto"/>
        </w:rPr>
        <w:t>Material Breach</w:t>
      </w:r>
      <w:r>
        <w:rPr>
          <w:rFonts w:ascii="Arial" w:cs="Arial" w:eastAsia="Arial" w:hAnsi="Arial"/>
          <w:sz w:val="19"/>
          <w:szCs w:val="19"/>
          <w:color w:val="auto"/>
        </w:rPr>
        <w:t>”), and the breaching Party fails to cure such breach within **** after such determination, then the non-breaching Party shall have as a remedy for Material Breach the termination of Flash Alliance and of this Agreement and the FA Operative Documents, in addition to all other legal and equitable remedies available to such Party. Notwithstanding anything to the contrary in Appendix A, any such termination shall constitute an “Event of Default” of the breaching Party for all purposes of this Agreement and of that certain FAL Commitment and Extension Agreement dated as of December 12, 2017.</w:t>
      </w:r>
    </w:p>
    <w:p>
      <w:pPr>
        <w:spacing w:after="0" w:line="43"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 xml:space="preserve">In the event that a Party asserts a Material Breach in a written notice to the other Party, the dispute shall proceed as specified in Section 2.5 of Appendix 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67" w:lineRule="exact"/>
        <w:rPr>
          <w:sz w:val="20"/>
          <w:szCs w:val="20"/>
          <w:color w:val="auto"/>
        </w:rPr>
      </w:pPr>
    </w:p>
    <w:p>
      <w:pPr>
        <w:ind w:left="660" w:right="100" w:firstLine="645"/>
        <w:spacing w:after="0" w:line="253" w:lineRule="auto"/>
        <w:tabs>
          <w:tab w:leader="none" w:pos="172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 matters other than the existence of such Material Breach (and counterclaims and defenses directly related to the conduct or circumstances underlying the asserted Material Breach) shall be submitted to or determined by the arbitral tribunal;</w:t>
      </w:r>
    </w:p>
    <w:p>
      <w:pPr>
        <w:spacing w:after="0" w:line="77" w:lineRule="exact"/>
        <w:rPr>
          <w:rFonts w:ascii="Arial" w:cs="Arial" w:eastAsia="Arial" w:hAnsi="Arial"/>
          <w:sz w:val="22"/>
          <w:szCs w:val="22"/>
          <w:color w:val="auto"/>
        </w:rPr>
      </w:pPr>
    </w:p>
    <w:p>
      <w:pPr>
        <w:ind w:left="660" w:right="340" w:firstLine="645"/>
        <w:spacing w:after="0" w:line="263" w:lineRule="auto"/>
        <w:tabs>
          <w:tab w:leader="none" w:pos="178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Parties shall use their respective reasonable best efforts to complete and finalize the Terms of Reference within **** following such assertion of Material Breach; and</w:t>
      </w:r>
    </w:p>
    <w:p>
      <w:pPr>
        <w:spacing w:after="0" w:line="66" w:lineRule="exact"/>
        <w:rPr>
          <w:rFonts w:ascii="Arial" w:cs="Arial" w:eastAsia="Arial" w:hAnsi="Arial"/>
          <w:sz w:val="22"/>
          <w:szCs w:val="22"/>
          <w:color w:val="auto"/>
        </w:rPr>
      </w:pPr>
    </w:p>
    <w:p>
      <w:pPr>
        <w:jc w:val="both"/>
        <w:ind w:left="660" w:right="120" w:firstLine="645"/>
        <w:spacing w:after="0" w:line="265" w:lineRule="auto"/>
        <w:tabs>
          <w:tab w:leader="none" w:pos="184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Parties shall instruct the arbitral tribunal, with the full assistance and cooperation of the Parties, to endeavor to submit its draft award on the existence of the Material Breach to the Court of Arbitration of the ICC for approval within **** following the effective date of the Terms of Reference, provided, that any failure to issue an award in such time period shall not be considered a defense or objection to the enforcement of such award.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 to attempt in good faith to resolve any potential claim for Material Breach.”</w:t>
      </w:r>
    </w:p>
    <w:p>
      <w:pPr>
        <w:spacing w:after="0" w:line="112" w:lineRule="exact"/>
        <w:rPr>
          <w:sz w:val="20"/>
          <w:szCs w:val="20"/>
          <w:color w:val="auto"/>
        </w:rPr>
      </w:pPr>
    </w:p>
    <w:p>
      <w:pPr>
        <w:ind w:right="580" w:firstLine="648"/>
        <w:spacing w:after="0" w:line="27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Restructuring Costs</w:t>
      </w:r>
      <w:r>
        <w:rPr>
          <w:rFonts w:ascii="Arial" w:cs="Arial" w:eastAsia="Arial" w:hAnsi="Arial"/>
          <w:sz w:val="22"/>
          <w:szCs w:val="22"/>
          <w:color w:val="auto"/>
        </w:rPr>
        <w:t>. Section 8.1(j) of the FA Master Agreement is hereby amended and restated in its entirety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with any termination of Flash Alliance, the FA Master Agreement and/or the FA Operating Agreement:</w:t>
      </w:r>
    </w:p>
    <w:p>
      <w:pPr>
        <w:spacing w:after="0" w:line="254" w:lineRule="exact"/>
        <w:rPr>
          <w:sz w:val="20"/>
          <w:szCs w:val="20"/>
          <w:color w:val="auto"/>
        </w:rPr>
      </w:pPr>
    </w:p>
    <w:p>
      <w:pPr>
        <w:ind w:left="660" w:right="300" w:firstLine="645"/>
        <w:spacing w:after="0" w:line="263" w:lineRule="auto"/>
        <w:tabs>
          <w:tab w:leader="none" w:pos="1728"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Parties shall exercise their respective reasonable best efforts to plan such termination in advance with the goal of minimizing related costs;</w:t>
      </w:r>
    </w:p>
    <w:p>
      <w:pPr>
        <w:spacing w:after="0" w:line="66" w:lineRule="exact"/>
        <w:rPr>
          <w:rFonts w:ascii="Arial" w:cs="Arial" w:eastAsia="Arial" w:hAnsi="Arial"/>
          <w:sz w:val="22"/>
          <w:szCs w:val="22"/>
          <w:color w:val="auto"/>
        </w:rPr>
      </w:pPr>
    </w:p>
    <w:p>
      <w:pPr>
        <w:ind w:left="1780" w:hanging="475"/>
        <w:spacing w:after="0"/>
        <w:tabs>
          <w:tab w:leader="none" w:pos="178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with respect to employees of TMC and employees of WD or any of its Subsidiaries working at the Y4 Facility,</w:t>
      </w:r>
    </w:p>
    <w:p>
      <w:pPr>
        <w:spacing w:after="0" w:line="56" w:lineRule="exact"/>
        <w:rPr>
          <w:rFonts w:ascii="Arial" w:cs="Arial" w:eastAsia="Arial" w:hAnsi="Arial"/>
          <w:sz w:val="19"/>
          <w:szCs w:val="19"/>
          <w:color w:val="auto"/>
        </w:rPr>
      </w:pPr>
    </w:p>
    <w:p>
      <w:pPr>
        <w:ind w:left="660" w:right="300" w:hanging="4"/>
        <w:spacing w:after="0" w:line="244" w:lineRule="auto"/>
        <w:tabs>
          <w:tab w:leader="none" w:pos="101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 the case of those that are employees of TMC, TMC shall use its reasonable best efforts to retrain or relocate such individuals to other TMC facilities, and (B) in the case of those that are employees of WD or any of its Subsidiaries, WD shall use its reasonable best efforts to retrain or relocate such individuals to other WD facilities, in each case to the maximum extent possible;</w:t>
      </w:r>
    </w:p>
    <w:p>
      <w:pPr>
        <w:spacing w:after="0" w:line="87" w:lineRule="exact"/>
        <w:rPr>
          <w:rFonts w:ascii="Arial" w:cs="Arial" w:eastAsia="Arial" w:hAnsi="Arial"/>
          <w:sz w:val="22"/>
          <w:szCs w:val="22"/>
          <w:color w:val="auto"/>
        </w:rPr>
      </w:pPr>
    </w:p>
    <w:p>
      <w:pPr>
        <w:ind w:left="1900" w:hanging="595"/>
        <w:spacing w:after="0"/>
        <w:tabs>
          <w:tab w:leader="none" w:pos="19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120" w:firstLine="8"/>
        <w:spacing w:after="0" w:line="275" w:lineRule="auto"/>
        <w:tabs>
          <w:tab w:leader="none" w:pos="3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5" w:right="239" w:bottom="1440" w:gutter="0" w:footer="0" w:header="0"/>
        </w:sectPr>
      </w:pPr>
    </w:p>
    <w:bookmarkStart w:id="146" w:name="page147"/>
    <w:bookmarkEnd w:id="146"/>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ind w:left="1840" w:hanging="535"/>
        <w:spacing w:after="0"/>
        <w:tabs>
          <w:tab w:leader="none" w:pos="18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p>
    <w:p>
      <w:pPr>
        <w:spacing w:after="0" w:line="112" w:lineRule="exact"/>
        <w:rPr>
          <w:sz w:val="20"/>
          <w:szCs w:val="20"/>
          <w:color w:val="auto"/>
        </w:rPr>
      </w:pPr>
    </w:p>
    <w:p>
      <w:pPr>
        <w:ind w:right="60" w:firstLine="648"/>
        <w:spacing w:after="0" w:line="27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Consequences of Deadlock Termination</w:t>
      </w:r>
      <w:r>
        <w:rPr>
          <w:rFonts w:ascii="Arial" w:cs="Arial" w:eastAsia="Arial" w:hAnsi="Arial"/>
          <w:sz w:val="22"/>
          <w:szCs w:val="22"/>
          <w:color w:val="auto"/>
        </w:rPr>
        <w:t>. Section 8.1(f)(i) of the FA Master Agreement is hereby amended and restated in its entirety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(i) there shall be no capacity ramp-down rights or obligations,”.</w:t>
      </w:r>
    </w:p>
    <w:p>
      <w:pPr>
        <w:spacing w:after="0" w:line="213" w:lineRule="exact"/>
        <w:rPr>
          <w:sz w:val="20"/>
          <w:szCs w:val="20"/>
          <w:color w:val="auto"/>
        </w:rPr>
      </w:pPr>
    </w:p>
    <w:p>
      <w:pPr>
        <w:ind w:left="360" w:hanging="352"/>
        <w:spacing w:after="0"/>
        <w:tabs>
          <w:tab w:leader="none" w:pos="3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continue in full force and effect until the latest of (a) the termination of the FA Master Agreement, (b) the completion of the dissolution, liquidation and winding up of Flash Alliance, and (c) the date on which a single Party owns all of the Shares.</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California applicable to agreements made and to be performed entirely within such state without regard to the conflict of laws principles of such state, except where application of Japanese law is mandatory.</w:t>
      </w:r>
    </w:p>
    <w:p>
      <w:pPr>
        <w:spacing w:after="0" w:line="177" w:lineRule="exact"/>
        <w:rPr>
          <w:sz w:val="20"/>
          <w:szCs w:val="20"/>
          <w:color w:val="auto"/>
        </w:rPr>
      </w:pPr>
    </w:p>
    <w:p>
      <w:pPr>
        <w:jc w:val="center"/>
        <w:ind w:right="220"/>
        <w:spacing w:after="0"/>
        <w:tabs>
          <w:tab w:leader="none" w:pos="1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Party shall from time to time, and shall cause its Affiliates who are party to any FA</w:t>
      </w:r>
    </w:p>
    <w:p>
      <w:pPr>
        <w:spacing w:after="0" w:line="22"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Operative Document from time to time to, at the reasonable request of the other Parties, and without further consideration (unless otherwise provided for under the FA Operative Documents), execute and deliver such instruments, cooperate and take any other actions as may be reasonably necessary to effectuate (i) the provisions of this Agreement and (ii) the transactions contemplated herein.</w:t>
      </w:r>
    </w:p>
    <w:p>
      <w:pPr>
        <w:spacing w:after="0" w:line="192"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Other Terms</w:t>
      </w:r>
      <w:r>
        <w:rPr>
          <w:rFonts w:ascii="Arial" w:cs="Arial" w:eastAsia="Arial" w:hAnsi="Arial"/>
          <w:sz w:val="22"/>
          <w:szCs w:val="22"/>
          <w:color w:val="auto"/>
        </w:rPr>
        <w:t xml:space="preserve">. Further 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above, the general, miscellaneous, interpretive, non-disclosure and other terms and conditions provided in Appendix A shall apply to this Agreement as if set forth herein.</w:t>
      </w:r>
    </w:p>
    <w:p>
      <w:pPr>
        <w:spacing w:after="0" w:line="161"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No Admission</w:t>
      </w:r>
      <w:r>
        <w:rPr>
          <w:rFonts w:ascii="Arial" w:cs="Arial" w:eastAsia="Arial" w:hAnsi="Arial"/>
          <w:sz w:val="22"/>
          <w:szCs w:val="22"/>
          <w:color w:val="auto"/>
        </w:rPr>
        <w:t>. Nothing in this Agreement shall constitute or be used as an admission, acquiescence, acknowledgement, or agreement by anyone as to the merit of any claims or defenses, whether or not asserted in any arbitration or other litigation, except to enforce the provisions of this Agreement or any part of any other agreement expressly amended herein. In addition, nothing in this Agreement shall constitute or be used as an admission in any arbitration, litigation, or other proceeding regarding the interpretation of any other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page is intentionally left blank.</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firstLine="8"/>
        <w:spacing w:after="0" w:line="275" w:lineRule="auto"/>
        <w:tabs>
          <w:tab w:leader="none" w:pos="3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representatives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80" w:type="dxa"/>
        <w:tblCellMar>
          <w:top w:w="0" w:type="dxa"/>
          <w:left w:w="0" w:type="dxa"/>
          <w:bottom w:w="0" w:type="dxa"/>
          <w:right w:w="0" w:type="dxa"/>
        </w:tblCellMar>
      </w:tblPr>
      <w:tr>
        <w:trPr>
          <w:trHeight w:val="281"/>
        </w:trPr>
        <w:tc>
          <w:tcPr>
            <w:tcW w:w="4820" w:type="dxa"/>
            <w:vAlign w:val="bottom"/>
            <w:gridSpan w:val="3"/>
          </w:tcPr>
          <w:p>
            <w:pPr>
              <w:spacing w:after="0"/>
              <w:rPr>
                <w:sz w:val="20"/>
                <w:szCs w:val="20"/>
                <w:color w:val="auto"/>
              </w:rPr>
            </w:pPr>
            <w:r>
              <w:rPr>
                <w:rFonts w:ascii="Arial" w:cs="Arial" w:eastAsia="Arial" w:hAnsi="Arial"/>
                <w:sz w:val="22"/>
                <w:szCs w:val="22"/>
                <w:b w:val="1"/>
                <w:bCs w:val="1"/>
                <w:color w:val="auto"/>
              </w:rPr>
              <w:t>WESTERN DIGITAL CORPORATION</w:t>
            </w:r>
          </w:p>
        </w:tc>
        <w:tc>
          <w:tcPr>
            <w:tcW w:w="4800" w:type="dxa"/>
            <w:vAlign w:val="bottom"/>
            <w:gridSpan w:val="3"/>
          </w:tcPr>
          <w:p>
            <w:pPr>
              <w:ind w:left="1000"/>
              <w:spacing w:after="0"/>
              <w:rPr>
                <w:sz w:val="20"/>
                <w:szCs w:val="20"/>
                <w:color w:val="auto"/>
              </w:rPr>
            </w:pPr>
            <w:r>
              <w:rPr>
                <w:rFonts w:ascii="Arial" w:cs="Arial" w:eastAsia="Arial" w:hAnsi="Arial"/>
                <w:sz w:val="22"/>
                <w:szCs w:val="22"/>
                <w:b w:val="1"/>
                <w:bCs w:val="1"/>
                <w:color w:val="auto"/>
              </w:rPr>
              <w:t>TOSHIBA MEMORY CORPORATION</w:t>
            </w:r>
          </w:p>
        </w:tc>
      </w:tr>
      <w:tr>
        <w:trPr>
          <w:trHeight w:val="814"/>
        </w:trPr>
        <w:tc>
          <w:tcPr>
            <w:tcW w:w="4820" w:type="dxa"/>
            <w:vAlign w:val="bottom"/>
            <w:gridSpan w:val="3"/>
          </w:tcPr>
          <w:p>
            <w:pPr>
              <w:spacing w:after="0"/>
              <w:rPr>
                <w:sz w:val="20"/>
                <w:szCs w:val="20"/>
                <w:color w:val="auto"/>
              </w:rPr>
            </w:pPr>
            <w:r>
              <w:rPr>
                <w:rFonts w:ascii="Arial" w:cs="Arial" w:eastAsia="Arial" w:hAnsi="Arial"/>
                <w:sz w:val="22"/>
                <w:szCs w:val="22"/>
                <w:color w:val="auto"/>
              </w:rPr>
              <w:t>By: /s/ Michael C. Ray</w:t>
            </w:r>
          </w:p>
        </w:tc>
        <w:tc>
          <w:tcPr>
            <w:tcW w:w="4800" w:type="dxa"/>
            <w:vAlign w:val="bottom"/>
            <w:gridSpan w:val="3"/>
          </w:tcPr>
          <w:p>
            <w:pPr>
              <w:ind w:left="1000"/>
              <w:spacing w:after="0"/>
              <w:rPr>
                <w:sz w:val="20"/>
                <w:szCs w:val="20"/>
                <w:color w:val="auto"/>
              </w:rPr>
            </w:pPr>
            <w:r>
              <w:rPr>
                <w:rFonts w:ascii="Arial" w:cs="Arial" w:eastAsia="Arial" w:hAnsi="Arial"/>
                <w:sz w:val="22"/>
                <w:szCs w:val="22"/>
                <w:color w:val="auto"/>
              </w:rPr>
              <w:t>By: /s/ Yasuo Naruke</w:t>
            </w: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2"/>
        </w:trPr>
        <w:tc>
          <w:tcPr>
            <w:tcW w:w="4820" w:type="dxa"/>
            <w:vAlign w:val="bottom"/>
            <w:gridSpan w:val="3"/>
          </w:tcPr>
          <w:p>
            <w:pPr>
              <w:spacing w:after="0" w:line="242" w:lineRule="exact"/>
              <w:rPr>
                <w:sz w:val="20"/>
                <w:szCs w:val="20"/>
                <w:color w:val="auto"/>
              </w:rPr>
            </w:pPr>
            <w:r>
              <w:rPr>
                <w:rFonts w:ascii="Arial" w:cs="Arial" w:eastAsia="Arial" w:hAnsi="Arial"/>
                <w:sz w:val="22"/>
                <w:szCs w:val="22"/>
                <w:color w:val="auto"/>
              </w:rPr>
              <w:t>Name: Michael C. Ray</w:t>
            </w:r>
          </w:p>
        </w:tc>
        <w:tc>
          <w:tcPr>
            <w:tcW w:w="4800" w:type="dxa"/>
            <w:vAlign w:val="bottom"/>
            <w:gridSpan w:val="3"/>
          </w:tcPr>
          <w:p>
            <w:pPr>
              <w:ind w:left="1000"/>
              <w:spacing w:after="0" w:line="242" w:lineRule="exact"/>
              <w:rPr>
                <w:sz w:val="20"/>
                <w:szCs w:val="20"/>
                <w:color w:val="auto"/>
              </w:rPr>
            </w:pPr>
            <w:r>
              <w:rPr>
                <w:rFonts w:ascii="Arial" w:cs="Arial" w:eastAsia="Arial" w:hAnsi="Arial"/>
                <w:sz w:val="22"/>
                <w:szCs w:val="22"/>
                <w:color w:val="auto"/>
              </w:rPr>
              <w:t>Name: Yasuo Naruke</w:t>
            </w:r>
          </w:p>
        </w:tc>
      </w:tr>
      <w:tr>
        <w:trPr>
          <w:trHeight w:val="243"/>
        </w:trPr>
        <w:tc>
          <w:tcPr>
            <w:tcW w:w="4820" w:type="dxa"/>
            <w:vAlign w:val="bottom"/>
            <w:gridSpan w:val="3"/>
          </w:tcPr>
          <w:p>
            <w:pPr>
              <w:spacing w:after="0" w:line="243" w:lineRule="exact"/>
              <w:rPr>
                <w:sz w:val="20"/>
                <w:szCs w:val="20"/>
                <w:color w:val="auto"/>
              </w:rPr>
            </w:pPr>
            <w:r>
              <w:rPr>
                <w:rFonts w:ascii="Arial" w:cs="Arial" w:eastAsia="Arial" w:hAnsi="Arial"/>
                <w:sz w:val="22"/>
                <w:szCs w:val="22"/>
                <w:color w:val="auto"/>
              </w:rPr>
              <w:t>Title: Executive Vice President, Chief Legal</w:t>
            </w:r>
          </w:p>
        </w:tc>
        <w:tc>
          <w:tcPr>
            <w:tcW w:w="4800" w:type="dxa"/>
            <w:vAlign w:val="bottom"/>
            <w:gridSpan w:val="3"/>
          </w:tcPr>
          <w:p>
            <w:pPr>
              <w:ind w:left="1000"/>
              <w:spacing w:after="0" w:line="243" w:lineRule="exact"/>
              <w:rPr>
                <w:sz w:val="20"/>
                <w:szCs w:val="20"/>
                <w:color w:val="auto"/>
              </w:rPr>
            </w:pPr>
            <w:r>
              <w:rPr>
                <w:rFonts w:ascii="Arial" w:cs="Arial" w:eastAsia="Arial" w:hAnsi="Arial"/>
                <w:sz w:val="22"/>
                <w:szCs w:val="22"/>
                <w:color w:val="auto"/>
                <w:w w:val="90"/>
              </w:rPr>
              <w:t>Title: President and Chief Executive Officer</w:t>
            </w:r>
          </w:p>
        </w:tc>
      </w:tr>
      <w:tr>
        <w:trPr>
          <w:trHeight w:val="275"/>
        </w:trPr>
        <w:tc>
          <w:tcPr>
            <w:tcW w:w="360" w:type="dxa"/>
            <w:vAlign w:val="bottom"/>
          </w:tcPr>
          <w:p>
            <w:pPr>
              <w:spacing w:after="0"/>
              <w:rPr>
                <w:sz w:val="23"/>
                <w:szCs w:val="23"/>
                <w:color w:val="auto"/>
              </w:rPr>
            </w:pPr>
          </w:p>
        </w:tc>
        <w:tc>
          <w:tcPr>
            <w:tcW w:w="4460" w:type="dxa"/>
            <w:vAlign w:val="bottom"/>
            <w:gridSpan w:val="2"/>
          </w:tcPr>
          <w:p>
            <w:pPr>
              <w:ind w:left="360"/>
              <w:spacing w:after="0"/>
              <w:rPr>
                <w:sz w:val="20"/>
                <w:szCs w:val="20"/>
                <w:color w:val="auto"/>
              </w:rPr>
            </w:pPr>
            <w:r>
              <w:rPr>
                <w:rFonts w:ascii="Arial" w:cs="Arial" w:eastAsia="Arial" w:hAnsi="Arial"/>
                <w:sz w:val="22"/>
                <w:szCs w:val="22"/>
                <w:color w:val="auto"/>
              </w:rPr>
              <w:t>Officer and Secretary</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594"/>
        </w:trPr>
        <w:tc>
          <w:tcPr>
            <w:tcW w:w="4820" w:type="dxa"/>
            <w:vAlign w:val="bottom"/>
            <w:gridSpan w:val="3"/>
          </w:tcPr>
          <w:p>
            <w:pPr>
              <w:spacing w:after="0"/>
              <w:rPr>
                <w:sz w:val="20"/>
                <w:szCs w:val="20"/>
                <w:color w:val="auto"/>
              </w:rPr>
            </w:pPr>
            <w:r>
              <w:rPr>
                <w:rFonts w:ascii="Arial" w:cs="Arial" w:eastAsia="Arial" w:hAnsi="Arial"/>
                <w:sz w:val="22"/>
                <w:szCs w:val="22"/>
                <w:b w:val="1"/>
                <w:bCs w:val="1"/>
                <w:color w:val="auto"/>
              </w:rPr>
              <w:t>SANDISK LLC</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814"/>
        </w:trPr>
        <w:tc>
          <w:tcPr>
            <w:tcW w:w="4820" w:type="dxa"/>
            <w:vAlign w:val="bottom"/>
            <w:gridSpan w:val="3"/>
          </w:tcPr>
          <w:p>
            <w:pPr>
              <w:spacing w:after="0"/>
              <w:rPr>
                <w:sz w:val="20"/>
                <w:szCs w:val="20"/>
                <w:color w:val="auto"/>
              </w:rPr>
            </w:pPr>
            <w:r>
              <w:rPr>
                <w:rFonts w:ascii="Arial" w:cs="Arial" w:eastAsia="Arial" w:hAnsi="Arial"/>
                <w:sz w:val="22"/>
                <w:szCs w:val="22"/>
                <w:color w:val="auto"/>
              </w:rPr>
              <w:t>By: /s/ Michael C. Ray</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2"/>
        </w:trPr>
        <w:tc>
          <w:tcPr>
            <w:tcW w:w="4820" w:type="dxa"/>
            <w:vAlign w:val="bottom"/>
            <w:gridSpan w:val="3"/>
          </w:tcPr>
          <w:p>
            <w:pPr>
              <w:spacing w:after="0" w:line="242" w:lineRule="exact"/>
              <w:rPr>
                <w:sz w:val="20"/>
                <w:szCs w:val="20"/>
                <w:color w:val="auto"/>
              </w:rPr>
            </w:pPr>
            <w:r>
              <w:rPr>
                <w:rFonts w:ascii="Arial" w:cs="Arial" w:eastAsia="Arial" w:hAnsi="Arial"/>
                <w:sz w:val="22"/>
                <w:szCs w:val="22"/>
                <w:color w:val="auto"/>
              </w:rPr>
              <w:t>Name: Michael C. Ray</w:t>
            </w: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5"/>
        </w:trPr>
        <w:tc>
          <w:tcPr>
            <w:tcW w:w="4820" w:type="dxa"/>
            <w:vAlign w:val="bottom"/>
            <w:gridSpan w:val="3"/>
          </w:tcPr>
          <w:p>
            <w:pPr>
              <w:spacing w:after="0"/>
              <w:rPr>
                <w:sz w:val="20"/>
                <w:szCs w:val="20"/>
                <w:color w:val="auto"/>
              </w:rPr>
            </w:pPr>
            <w:r>
              <w:rPr>
                <w:rFonts w:ascii="Arial" w:cs="Arial" w:eastAsia="Arial" w:hAnsi="Arial"/>
                <w:sz w:val="22"/>
                <w:szCs w:val="22"/>
                <w:color w:val="auto"/>
              </w:rPr>
              <w:t>Title: Sole Manager</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SANDISK (IRELAND) LIMITED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C. Ray</w:t>
      </w:r>
    </w:p>
    <w:p>
      <w:pPr>
        <w:ind w:left="180"/>
        <w:spacing w:after="0" w:line="238" w:lineRule="auto"/>
        <w:rPr>
          <w:sz w:val="20"/>
          <w:szCs w:val="20"/>
          <w:color w:val="auto"/>
        </w:rPr>
      </w:pPr>
      <w:r>
        <w:rPr>
          <w:rFonts w:ascii="Arial" w:cs="Arial" w:eastAsia="Arial" w:hAnsi="Arial"/>
          <w:sz w:val="22"/>
          <w:szCs w:val="22"/>
          <w:color w:val="auto"/>
        </w:rPr>
        <w:t>Name: Michael C. Ray</w:t>
      </w:r>
    </w:p>
    <w:p>
      <w:pPr>
        <w:ind w:left="1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FAL Commitment and Extension Agreement]</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Y6 FACILITY AGREEMENT</w:t>
      </w:r>
    </w:p>
    <w:p>
      <w:pPr>
        <w:spacing w:after="0" w:line="26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color w:val="auto"/>
        </w:rPr>
        <w:t>This Y6 FACILITY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December 12, 2017, by and among Toshiba Memory Corporation, a Japanese corporation (“</w:t>
      </w:r>
      <w:r>
        <w:rPr>
          <w:rFonts w:ascii="Arial" w:cs="Arial" w:eastAsia="Arial" w:hAnsi="Arial"/>
          <w:sz w:val="19"/>
          <w:szCs w:val="19"/>
          <w:u w:val="single" w:color="auto"/>
          <w:color w:val="auto"/>
        </w:rPr>
        <w:t>TMC</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WD</w:t>
      </w:r>
      <w:r>
        <w:rPr>
          <w:rFonts w:ascii="Arial" w:cs="Arial" w:eastAsia="Arial" w:hAnsi="Arial"/>
          <w:sz w:val="19"/>
          <w:szCs w:val="19"/>
          <w:color w:val="auto"/>
        </w:rPr>
        <w:t>”) (together with TMC, the “</w:t>
      </w:r>
      <w:r>
        <w:rPr>
          <w:rFonts w:ascii="Arial" w:cs="Arial" w:eastAsia="Arial" w:hAnsi="Arial"/>
          <w:sz w:val="19"/>
          <w:szCs w:val="19"/>
          <w:u w:val="single" w:color="auto"/>
          <w:color w:val="auto"/>
        </w:rPr>
        <w:t>Parent Parties</w:t>
      </w:r>
      <w:r>
        <w:rPr>
          <w:rFonts w:ascii="Arial" w:cs="Arial" w:eastAsia="Arial" w:hAnsi="Arial"/>
          <w:sz w:val="19"/>
          <w:szCs w:val="19"/>
          <w:color w:val="auto"/>
        </w:rPr>
        <w:t>”), SanDisk LLC, a Delaware limited liability company (“</w:t>
      </w:r>
      <w:r>
        <w:rPr>
          <w:rFonts w:ascii="Arial" w:cs="Arial" w:eastAsia="Arial" w:hAnsi="Arial"/>
          <w:sz w:val="19"/>
          <w:szCs w:val="19"/>
          <w:u w:val="single" w:color="auto"/>
          <w:color w:val="auto"/>
        </w:rPr>
        <w:t>SanDisk LLC</w:t>
      </w:r>
      <w:r>
        <w:rPr>
          <w:rFonts w:ascii="Arial" w:cs="Arial" w:eastAsia="Arial" w:hAnsi="Arial"/>
          <w:sz w:val="19"/>
          <w:szCs w:val="19"/>
          <w:color w:val="auto"/>
        </w:rPr>
        <w:t>”), SanDisk (Cayman) Limited, a company organized under the laws of the Cayman Islands (“</w:t>
      </w:r>
      <w:r>
        <w:rPr>
          <w:rFonts w:ascii="Arial" w:cs="Arial" w:eastAsia="Arial" w:hAnsi="Arial"/>
          <w:sz w:val="19"/>
          <w:szCs w:val="19"/>
          <w:u w:val="single" w:color="auto"/>
          <w:color w:val="auto"/>
        </w:rPr>
        <w:t>SanDisk Cayman</w:t>
      </w:r>
      <w:r>
        <w:rPr>
          <w:rFonts w:ascii="Arial" w:cs="Arial" w:eastAsia="Arial" w:hAnsi="Arial"/>
          <w:sz w:val="19"/>
          <w:szCs w:val="19"/>
          <w:color w:val="auto"/>
        </w:rPr>
        <w:t>”), SanDisk (Ireland) Limited, a company organized under the laws of the Republic of Ireland (“</w:t>
      </w:r>
      <w:r>
        <w:rPr>
          <w:rFonts w:ascii="Arial" w:cs="Arial" w:eastAsia="Arial" w:hAnsi="Arial"/>
          <w:sz w:val="19"/>
          <w:szCs w:val="19"/>
          <w:u w:val="single" w:color="auto"/>
          <w:color w:val="auto"/>
        </w:rPr>
        <w:t>SanDisk Ireland</w:t>
      </w:r>
      <w:r>
        <w:rPr>
          <w:rFonts w:ascii="Arial" w:cs="Arial" w:eastAsia="Arial" w:hAnsi="Arial"/>
          <w:sz w:val="19"/>
          <w:szCs w:val="19"/>
          <w:color w:val="auto"/>
        </w:rPr>
        <w:t>”), SanDisk Flash B.V., a company organized under the laws of The Netherlands (“</w:t>
      </w:r>
      <w:r>
        <w:rPr>
          <w:rFonts w:ascii="Arial" w:cs="Arial" w:eastAsia="Arial" w:hAnsi="Arial"/>
          <w:sz w:val="19"/>
          <w:szCs w:val="19"/>
          <w:u w:val="single" w:color="auto"/>
          <w:color w:val="auto"/>
        </w:rPr>
        <w:t>SanDisk Flash</w:t>
      </w:r>
      <w:r>
        <w:rPr>
          <w:rFonts w:ascii="Arial" w:cs="Arial" w:eastAsia="Arial" w:hAnsi="Arial"/>
          <w:sz w:val="19"/>
          <w:szCs w:val="19"/>
          <w:color w:val="auto"/>
        </w:rPr>
        <w:t>,” and collectively with SanDisk LLC, SanDisk Cayman and SanDisk Ireland, “</w:t>
      </w:r>
      <w:r>
        <w:rPr>
          <w:rFonts w:ascii="Arial" w:cs="Arial" w:eastAsia="Arial" w:hAnsi="Arial"/>
          <w:sz w:val="19"/>
          <w:szCs w:val="19"/>
          <w:u w:val="single" w:color="auto"/>
          <w:color w:val="auto"/>
        </w:rPr>
        <w:t>SanDisk</w:t>
      </w:r>
      <w:r>
        <w:rPr>
          <w:rFonts w:ascii="Arial" w:cs="Arial" w:eastAsia="Arial" w:hAnsi="Arial"/>
          <w:sz w:val="19"/>
          <w:szCs w:val="19"/>
          <w:color w:val="auto"/>
        </w:rPr>
        <w:t xml:space="preserve">”), Flash Partners, Ltd., a Japanese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FPL</w:t>
      </w:r>
      <w:r>
        <w:rPr>
          <w:rFonts w:ascii="Arial" w:cs="Arial" w:eastAsia="Arial" w:hAnsi="Arial"/>
          <w:sz w:val="19"/>
          <w:szCs w:val="19"/>
          <w:color w:val="auto"/>
        </w:rPr>
        <w:t xml:space="preserve">”), Flash Alliance, Ltd., a Japanese </w:t>
      </w:r>
      <w:r>
        <w:rPr>
          <w:rFonts w:ascii="Arial" w:cs="Arial" w:eastAsia="Arial" w:hAnsi="Arial"/>
          <w:sz w:val="19"/>
          <w:szCs w:val="19"/>
          <w:i w:val="1"/>
          <w:iCs w:val="1"/>
          <w:color w:val="auto"/>
        </w:rPr>
        <w:t>tokurei yugen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FAL</w:t>
      </w:r>
      <w:r>
        <w:rPr>
          <w:rFonts w:ascii="Arial" w:cs="Arial" w:eastAsia="Arial" w:hAnsi="Arial"/>
          <w:sz w:val="19"/>
          <w:szCs w:val="19"/>
          <w:color w:val="auto"/>
        </w:rPr>
        <w:t xml:space="preserve">”), and Flash Forward, Ltd., a Japanese </w:t>
      </w:r>
      <w:r>
        <w:rPr>
          <w:rFonts w:ascii="Arial" w:cs="Arial" w:eastAsia="Arial" w:hAnsi="Arial"/>
          <w:sz w:val="19"/>
          <w:szCs w:val="19"/>
          <w:i w:val="1"/>
          <w:iCs w:val="1"/>
          <w:color w:val="auto"/>
        </w:rPr>
        <w:t>godo kaisha</w:t>
      </w:r>
      <w:r>
        <w:rPr>
          <w:rFonts w:ascii="Arial" w:cs="Arial" w:eastAsia="Arial" w:hAnsi="Arial"/>
          <w:sz w:val="19"/>
          <w:szCs w:val="19"/>
          <w:color w:val="auto"/>
        </w:rPr>
        <w:t xml:space="preserve"> (“</w:t>
      </w:r>
      <w:r>
        <w:rPr>
          <w:rFonts w:ascii="Arial" w:cs="Arial" w:eastAsia="Arial" w:hAnsi="Arial"/>
          <w:sz w:val="19"/>
          <w:szCs w:val="19"/>
          <w:u w:val="single" w:color="auto"/>
          <w:color w:val="auto"/>
        </w:rPr>
        <w:t>FFL</w:t>
      </w:r>
      <w:r>
        <w:rPr>
          <w:rFonts w:ascii="Arial" w:cs="Arial" w:eastAsia="Arial" w:hAnsi="Arial"/>
          <w:sz w:val="19"/>
          <w:szCs w:val="19"/>
          <w:color w:val="auto"/>
        </w:rPr>
        <w:t>,” and collectively with TMC, WD, SanDisk, FPL and FAL,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7"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Toshiba Corporation (“</w:t>
      </w:r>
      <w:r>
        <w:rPr>
          <w:rFonts w:ascii="Arial" w:cs="Arial" w:eastAsia="Arial" w:hAnsi="Arial"/>
          <w:sz w:val="22"/>
          <w:szCs w:val="22"/>
          <w:u w:val="single" w:color="auto"/>
          <w:color w:val="auto"/>
        </w:rPr>
        <w:t>Toshiba</w:t>
      </w:r>
      <w:r>
        <w:rPr>
          <w:rFonts w:ascii="Arial" w:cs="Arial" w:eastAsia="Arial" w:hAnsi="Arial"/>
          <w:sz w:val="22"/>
          <w:szCs w:val="22"/>
          <w:color w:val="auto"/>
        </w:rPr>
        <w:t xml:space="preserve">”) and TMC claim that, effective as of April 1, 2017, Toshiba completed a corporate demerger by operation of law that transferred to TMC, Toshiba’s wholly-owned Subsidiary, substantially all of the assets and liabilities of Toshiba’s memory business, and that TMC has assumed Toshiba’s position as a party to the Master Operative Documents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8" w:lineRule="exact"/>
        <w:rPr>
          <w:sz w:val="20"/>
          <w:szCs w:val="20"/>
          <w:color w:val="auto"/>
        </w:rPr>
      </w:pPr>
    </w:p>
    <w:p>
      <w:pPr>
        <w:ind w:right="380" w:firstLine="648"/>
        <w:spacing w:after="0" w:line="343" w:lineRule="auto"/>
        <w:rPr>
          <w:sz w:val="20"/>
          <w:szCs w:val="20"/>
          <w:color w:val="auto"/>
        </w:rPr>
      </w:pPr>
      <w:r>
        <w:rPr>
          <w:rFonts w:ascii="Arial" w:cs="Arial" w:eastAsia="Arial" w:hAnsi="Arial"/>
          <w:sz w:val="19"/>
          <w:szCs w:val="19"/>
          <w:color w:val="auto"/>
        </w:rPr>
        <w:t>WHEREAS, following the execution of the Settlement Agreement, Toshiba intends to transfer certain other assets and liabilities related to Toshiba’s memory business to TMC, including Toshiba’s equity ownership interests in FPL, FAL, and FFL;</w:t>
      </w:r>
    </w:p>
    <w:p>
      <w:pPr>
        <w:spacing w:after="0" w:line="105"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WHEREAS, on even date herewith, WD, Toshiba, TMC, SanDisk, and the JVs entered into the Undertaking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which sets forth, among other things, certain rights and obligations of the parties thereto with respect to WD’s participation in activities related to the Collaboration (as defined therein), including those contemplated by the Master Operative Documents;</w:t>
      </w:r>
    </w:p>
    <w:p>
      <w:pPr>
        <w:spacing w:after="0" w:line="188"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WHEREAS, FPL, FAL and FFL (collectively, with any future joint venture operations mutually agreed between TMC and WD, the “</w:t>
      </w:r>
      <w:r>
        <w:rPr>
          <w:rFonts w:ascii="Arial" w:cs="Arial" w:eastAsia="Arial" w:hAnsi="Arial"/>
          <w:sz w:val="19"/>
          <w:szCs w:val="19"/>
          <w:u w:val="single" w:color="auto"/>
          <w:color w:val="auto"/>
        </w:rPr>
        <w:t>JVs</w:t>
      </w:r>
      <w:r>
        <w:rPr>
          <w:rFonts w:ascii="Arial" w:cs="Arial" w:eastAsia="Arial" w:hAnsi="Arial"/>
          <w:sz w:val="19"/>
          <w:szCs w:val="19"/>
          <w:color w:val="auto"/>
        </w:rPr>
        <w:t>” and, each, a “</w:t>
      </w:r>
      <w:r>
        <w:rPr>
          <w:rFonts w:ascii="Arial" w:cs="Arial" w:eastAsia="Arial" w:hAnsi="Arial"/>
          <w:sz w:val="19"/>
          <w:szCs w:val="19"/>
          <w:u w:val="single" w:color="auto"/>
          <w:color w:val="auto"/>
        </w:rPr>
        <w:t>JV</w:t>
      </w:r>
      <w:r>
        <w:rPr>
          <w:rFonts w:ascii="Arial" w:cs="Arial" w:eastAsia="Arial" w:hAnsi="Arial"/>
          <w:sz w:val="19"/>
          <w:szCs w:val="19"/>
          <w:color w:val="auto"/>
        </w:rPr>
        <w:t>”) are engaged in the manufacture of NAND Flash Memory Products and BiCS Products;</w:t>
      </w:r>
    </w:p>
    <w:p>
      <w:pPr>
        <w:spacing w:after="0" w:line="105"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 xml:space="preserve">WHEREAS, TMC plans to build and facilitize the Y6 Facility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primarily for use in converting existing production capacity into capacity for the production of BiCS Products, and the Parties intend that the JVs acquire such BiCS Products and invest in tools for the manufacture of such BiCS Products in accordance with the production framework established in the New Y2 Agreement;</w:t>
      </w:r>
    </w:p>
    <w:p>
      <w:pPr>
        <w:spacing w:after="0" w:line="188"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WHEREAS, TMC has begun and will continue to unilaterally implement a portion of the Phase I Investment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with the resulting capacity to be Toshiba Capacity (such unilateral implementation, which constitutes in part a Yokkaichi Unilateral BiCS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660" w:right="240" w:hanging="647"/>
        <w:spacing w:after="0" w:line="469" w:lineRule="auto"/>
        <w:rPr>
          <w:sz w:val="20"/>
          <w:szCs w:val="20"/>
          <w:color w:val="auto"/>
        </w:rPr>
      </w:pPr>
      <w:r>
        <w:rPr>
          <w:rFonts w:ascii="Arial" w:cs="Arial" w:eastAsia="Arial" w:hAnsi="Arial"/>
          <w:sz w:val="21"/>
          <w:szCs w:val="21"/>
          <w:color w:val="auto"/>
        </w:rPr>
        <w:t>Expansion, and in part a BiCS Conversion and BiCS Technology Transition on Toshiba Capacity, the “</w:t>
      </w:r>
      <w:r>
        <w:rPr>
          <w:rFonts w:ascii="Arial" w:cs="Arial" w:eastAsia="Arial" w:hAnsi="Arial"/>
          <w:sz w:val="21"/>
          <w:szCs w:val="21"/>
          <w:u w:val="single" w:color="auto"/>
          <w:color w:val="auto"/>
        </w:rPr>
        <w:t>Phase I Implementation</w:t>
      </w:r>
      <w:r>
        <w:rPr>
          <w:rFonts w:ascii="Arial" w:cs="Arial" w:eastAsia="Arial" w:hAnsi="Arial"/>
          <w:sz w:val="21"/>
          <w:szCs w:val="21"/>
          <w:color w:val="auto"/>
        </w:rPr>
        <w:t>”); WHEREAS, the Parties desire to set forth the terms and conditions of the construction and use of the Y6 Facility; WHEREAS, WD and TMC are concurrently entering into the WD-TMC PCLA; and</w:t>
      </w:r>
    </w:p>
    <w:p>
      <w:pPr>
        <w:spacing w:after="0" w:line="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WHEREAS, some or all of the Parties, among others, are concurrently entering into this Agreement, the Amendment to the FPL Commitment and Extension Agreement, the FAL Commitment and Extension Agreement, the FFL Commitment and Extension Agreement, the Patent Indemnification Termination Agreement, the Amended JMDY Agreement and the Y6 MCEIA (each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New Agreements</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1"/>
          <w:szCs w:val="21"/>
          <w:color w:val="auto"/>
        </w:rPr>
        <w:t>FRAMEWORK</w:t>
      </w:r>
    </w:p>
    <w:p>
      <w:pPr>
        <w:spacing w:after="0" w:line="220"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u w:val="single" w:color="auto"/>
          <w:color w:val="auto"/>
        </w:rPr>
        <w:t>1.1 New Y2 Production Framework</w:t>
      </w:r>
      <w:r>
        <w:rPr>
          <w:rFonts w:ascii="Arial" w:cs="Arial" w:eastAsia="Arial" w:hAnsi="Arial"/>
          <w:sz w:val="22"/>
          <w:szCs w:val="22"/>
          <w:color w:val="auto"/>
        </w:rPr>
        <w:t>. The Parties acknowledge and agree that the terms and conditions set forth in Article 1 of the New Y2 Agreement apply to the manufacture of BiCS Products in the Y6 Facility; provided, however, to the extent any provision of Article 1 of the New Y2 Agreement expressly conflicts with any provision in this Agreement, the provision in this Agreement shall control as to such conflict.</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1"/>
          <w:szCs w:val="21"/>
          <w:color w:val="auto"/>
        </w:rPr>
        <w:t>Y6 FACILITY AND CONSTRUCTION</w:t>
      </w:r>
    </w:p>
    <w:p>
      <w:pPr>
        <w:spacing w:after="0" w:line="220"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u w:val="single" w:color="auto"/>
          <w:color w:val="auto"/>
        </w:rPr>
        <w:t>2.1 Purpose of Y6</w:t>
      </w:r>
      <w:r>
        <w:rPr>
          <w:rFonts w:ascii="Arial" w:cs="Arial" w:eastAsia="Arial" w:hAnsi="Arial"/>
          <w:sz w:val="22"/>
          <w:szCs w:val="22"/>
          <w:color w:val="auto"/>
        </w:rPr>
        <w:t>. The Parties acknowledge and agree that (a) the primary purpose of the Y6 Facility is the installation of tools that, as operated by TMC in conjunction with other Yokkaichi Facility tools, enable the Parties to convert their then-existing production capacity for NAND Flash Memory Products (including NAND capacity in the JVs and Toshiba Capacity) into production capacity for BiCS Products (“</w:t>
      </w:r>
      <w:r>
        <w:rPr>
          <w:rFonts w:ascii="Arial" w:cs="Arial" w:eastAsia="Arial" w:hAnsi="Arial"/>
          <w:sz w:val="22"/>
          <w:szCs w:val="22"/>
          <w:u w:val="single" w:color="auto"/>
          <w:color w:val="auto"/>
        </w:rPr>
        <w:t>BiCS Conversion</w:t>
      </w:r>
      <w:r>
        <w:rPr>
          <w:rFonts w:ascii="Arial" w:cs="Arial" w:eastAsia="Arial" w:hAnsi="Arial"/>
          <w:sz w:val="22"/>
          <w:szCs w:val="22"/>
          <w:color w:val="auto"/>
        </w:rPr>
        <w:t>”) and (b) the Y6 Facility may also be used by the Parties for (i) transitions of their then-existing production capacity for a given BiCS Product to production capacity for another technology node of such BiCS Product (“</w:t>
      </w:r>
      <w:r>
        <w:rPr>
          <w:rFonts w:ascii="Arial" w:cs="Arial" w:eastAsia="Arial" w:hAnsi="Arial"/>
          <w:sz w:val="22"/>
          <w:szCs w:val="22"/>
          <w:u w:val="single" w:color="auto"/>
          <w:color w:val="auto"/>
        </w:rPr>
        <w:t>BiCS Technology Transitions</w:t>
      </w:r>
      <w:r>
        <w:rPr>
          <w:rFonts w:ascii="Arial" w:cs="Arial" w:eastAsia="Arial" w:hAnsi="Arial"/>
          <w:sz w:val="22"/>
          <w:szCs w:val="22"/>
          <w:color w:val="auto"/>
        </w:rPr>
        <w:t xml:space="preserve">”), and BiCS Expansions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(ii) the manufacture of other products (including supporting capacity expansions and technology transitions of such other products) and (iii) the development of new technologies or products, in each case of (ii) and (iii), as mutually agreed between the Parent Parties from time to time.</w:t>
      </w:r>
    </w:p>
    <w:p>
      <w:pPr>
        <w:spacing w:after="0" w:line="192" w:lineRule="exact"/>
        <w:rPr>
          <w:sz w:val="20"/>
          <w:szCs w:val="20"/>
          <w:color w:val="auto"/>
        </w:rPr>
      </w:pPr>
    </w:p>
    <w:p>
      <w:pPr>
        <w:ind w:right="420" w:firstLine="648"/>
        <w:spacing w:after="0" w:line="287" w:lineRule="auto"/>
        <w:rPr>
          <w:sz w:val="20"/>
          <w:szCs w:val="20"/>
          <w:color w:val="auto"/>
        </w:rPr>
      </w:pPr>
      <w:r>
        <w:rPr>
          <w:rFonts w:ascii="Arial" w:cs="Arial" w:eastAsia="Arial" w:hAnsi="Arial"/>
          <w:sz w:val="21"/>
          <w:szCs w:val="21"/>
          <w:u w:val="single" w:color="auto"/>
          <w:color w:val="auto"/>
        </w:rPr>
        <w:t>2.2 First JV Wafer Out</w:t>
      </w:r>
      <w:r>
        <w:rPr>
          <w:rFonts w:ascii="Arial" w:cs="Arial" w:eastAsia="Arial" w:hAnsi="Arial"/>
          <w:sz w:val="21"/>
          <w:szCs w:val="21"/>
          <w:color w:val="auto"/>
        </w:rPr>
        <w:t>. The Parties target Y6 Facility cleanroom readiness to occur **** with respect to wafer capacity from the implementation of the Minimum Commitment, with a First JV Wafer Out Date targeted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2.3 Rights and Responsibilities in Construction</w:t>
      </w:r>
      <w:r>
        <w:rPr>
          <w:rFonts w:ascii="Arial" w:cs="Arial" w:eastAsia="Arial" w:hAnsi="Arial"/>
          <w:sz w:val="22"/>
          <w:szCs w:val="22"/>
          <w:color w:val="auto"/>
        </w:rPr>
        <w:t>.</w:t>
      </w:r>
    </w:p>
    <w:p>
      <w:pPr>
        <w:spacing w:after="0" w:line="220" w:lineRule="exact"/>
        <w:rPr>
          <w:sz w:val="20"/>
          <w:szCs w:val="20"/>
          <w:color w:val="auto"/>
        </w:rPr>
      </w:pPr>
    </w:p>
    <w:p>
      <w:pPr>
        <w:ind w:right="20" w:firstLine="1305"/>
        <w:spacing w:after="0" w:line="253" w:lineRule="auto"/>
        <w:tabs>
          <w:tab w:leader="none" w:pos="1752"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TMC</w:t>
      </w:r>
      <w:r>
        <w:rPr>
          <w:rFonts w:ascii="Arial" w:cs="Arial" w:eastAsia="Arial" w:hAnsi="Arial"/>
          <w:sz w:val="22"/>
          <w:szCs w:val="22"/>
          <w:color w:val="auto"/>
        </w:rPr>
        <w:t>. TMC shall (i) direct the design, construction and facilitization of the Y6 Facility and (ii) exercise commercially reasonable efforts to ensure that the Y6 Facility is (A) insurable, (B) designed and constructed to mutually acceptable high levels of risk control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ind w:right="120" w:firstLine="8"/>
        <w:spacing w:after="0" w:line="275" w:lineRule="auto"/>
        <w:tabs>
          <w:tab w:leader="none" w:pos="36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150" w:name="page151"/>
    <w:bookmarkEnd w:id="150"/>
    <w:p>
      <w:pPr>
        <w:spacing w:after="0" w:line="6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 xml:space="preserve">standards and (C) completed on a schedule consistent with achieving the First JV Wafer Out Date provided for in </w:t>
      </w:r>
      <w:r>
        <w:rPr>
          <w:rFonts w:ascii="Arial" w:cs="Arial" w:eastAsia="Arial" w:hAnsi="Arial"/>
          <w:sz w:val="19"/>
          <w:szCs w:val="19"/>
          <w:u w:val="single" w:color="auto"/>
          <w:color w:val="auto"/>
        </w:rPr>
        <w:t>Section 2.2</w:t>
      </w:r>
      <w:r>
        <w:rPr>
          <w:rFonts w:ascii="Arial" w:cs="Arial" w:eastAsia="Arial" w:hAnsi="Arial"/>
          <w:sz w:val="19"/>
          <w:szCs w:val="19"/>
          <w:color w:val="auto"/>
        </w:rPr>
        <w:t>. TMC shall maintain the Y6 Facility at mutually acceptable high levels of risk control standards in accordance with current practice.</w:t>
      </w:r>
    </w:p>
    <w:p>
      <w:pPr>
        <w:spacing w:after="0" w:line="105" w:lineRule="exact"/>
        <w:rPr>
          <w:sz w:val="20"/>
          <w:szCs w:val="20"/>
          <w:color w:val="auto"/>
        </w:rPr>
      </w:pPr>
    </w:p>
    <w:p>
      <w:pPr>
        <w:ind w:right="60" w:firstLine="1305"/>
        <w:spacing w:after="0" w:line="247" w:lineRule="auto"/>
        <w:tabs>
          <w:tab w:leader="none" w:pos="1765"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WD</w:t>
      </w:r>
      <w:r>
        <w:rPr>
          <w:rFonts w:ascii="Arial" w:cs="Arial" w:eastAsia="Arial" w:hAnsi="Arial"/>
          <w:sz w:val="22"/>
          <w:szCs w:val="22"/>
          <w:color w:val="auto"/>
        </w:rPr>
        <w:t xml:space="preserve">. In connection with the construction and facilitization of the Y6 Facility, (i) WD shall (and the Parent Parties shall cause the JVs to) assist TMC in minimizing the time required to obtain required administrative approvals, and (ii) WD and its agents shall have (with prior coordination with TMC and the construction coordinators for the Y6 Facility) reasonable access to the Y6 Facility construction site and to all appropriate information pertaining to the construction of the Y6 Facility and necessary for WD to participate in the JV operations in the Y6 Facility; </w:t>
      </w:r>
      <w:r>
        <w:rPr>
          <w:rFonts w:ascii="Arial" w:cs="Arial" w:eastAsia="Arial" w:hAnsi="Arial"/>
          <w:sz w:val="22"/>
          <w:szCs w:val="22"/>
          <w:u w:val="single" w:color="auto"/>
          <w:color w:val="auto"/>
        </w:rPr>
        <w:t>provided</w:t>
      </w:r>
      <w:r>
        <w:rPr>
          <w:rFonts w:ascii="Arial" w:cs="Arial" w:eastAsia="Arial" w:hAnsi="Arial"/>
          <w:sz w:val="22"/>
          <w:szCs w:val="22"/>
          <w:color w:val="auto"/>
        </w:rPr>
        <w:t>, that WD shall be solely responsible for all damage caused by such access.</w:t>
      </w:r>
    </w:p>
    <w:p>
      <w:pPr>
        <w:spacing w:after="0" w:line="194" w:lineRule="exact"/>
        <w:rPr>
          <w:sz w:val="20"/>
          <w:szCs w:val="20"/>
          <w:color w:val="auto"/>
        </w:rPr>
      </w:pPr>
    </w:p>
    <w:p>
      <w:pPr>
        <w:ind w:right="400" w:firstLine="648"/>
        <w:spacing w:after="0" w:line="343" w:lineRule="auto"/>
        <w:rPr>
          <w:sz w:val="20"/>
          <w:szCs w:val="20"/>
          <w:color w:val="auto"/>
        </w:rPr>
      </w:pPr>
      <w:r>
        <w:rPr>
          <w:rFonts w:ascii="Arial" w:cs="Arial" w:eastAsia="Arial" w:hAnsi="Arial"/>
          <w:sz w:val="19"/>
          <w:szCs w:val="19"/>
          <w:u w:val="single" w:color="auto"/>
          <w:color w:val="auto"/>
        </w:rPr>
        <w:t>2.4 Phases of Construction</w:t>
      </w:r>
      <w:r>
        <w:rPr>
          <w:rFonts w:ascii="Arial" w:cs="Arial" w:eastAsia="Arial" w:hAnsi="Arial"/>
          <w:sz w:val="19"/>
          <w:szCs w:val="19"/>
          <w:color w:val="auto"/>
        </w:rPr>
        <w:t>. The shell of the Y6 Facility shall be built in two phases of substantially similar size, and the cleanroom within each such phase shall be built in two phases of substantially similar size (i.e., a total of four phases). ****</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2.5 Construction Costs and Related Costs</w:t>
      </w:r>
      <w:r>
        <w:rPr>
          <w:rFonts w:ascii="Arial" w:cs="Arial" w:eastAsia="Arial" w:hAnsi="Arial"/>
          <w:sz w:val="22"/>
          <w:szCs w:val="22"/>
          <w:color w:val="auto"/>
        </w:rPr>
        <w:t>.</w:t>
      </w:r>
    </w:p>
    <w:p>
      <w:pPr>
        <w:spacing w:after="0" w:line="220" w:lineRule="exact"/>
        <w:rPr>
          <w:sz w:val="20"/>
          <w:szCs w:val="20"/>
          <w:color w:val="auto"/>
        </w:rPr>
      </w:pPr>
    </w:p>
    <w:p>
      <w:pPr>
        <w:ind w:right="100" w:firstLine="1305"/>
        <w:spacing w:after="0" w:line="312" w:lineRule="auto"/>
        <w:tabs>
          <w:tab w:leader="none" w:pos="175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Building Depreciation Prepayment</w:t>
      </w:r>
      <w:r>
        <w:rPr>
          <w:rFonts w:ascii="Arial" w:cs="Arial" w:eastAsia="Arial" w:hAnsi="Arial"/>
          <w:sz w:val="19"/>
          <w:szCs w:val="19"/>
          <w:color w:val="auto"/>
        </w:rPr>
        <w:t>. Each of the Parent Parties agrees to prepay 6,750,000,000 Japanese Yen to FFL as a prepayment for the Y6 building depreciation (such prepayment amount, the “</w:t>
      </w:r>
      <w:r>
        <w:rPr>
          <w:rFonts w:ascii="Arial" w:cs="Arial" w:eastAsia="Arial" w:hAnsi="Arial"/>
          <w:sz w:val="19"/>
          <w:szCs w:val="19"/>
          <w:u w:val="single" w:color="auto"/>
          <w:color w:val="auto"/>
        </w:rPr>
        <w:t>Building Depreciation Prepayment</w:t>
      </w:r>
      <w:r>
        <w:rPr>
          <w:rFonts w:ascii="Arial" w:cs="Arial" w:eastAsia="Arial" w:hAnsi="Arial"/>
          <w:sz w:val="19"/>
          <w:szCs w:val="19"/>
          <w:color w:val="auto"/>
        </w:rPr>
        <w:t>”) ****. The Building Depreciation Prepayment shall be made **** within 30 days after the date hereof; ****.</w:t>
      </w:r>
    </w:p>
    <w:p>
      <w:pPr>
        <w:spacing w:after="0" w:line="133" w:lineRule="exact"/>
        <w:rPr>
          <w:rFonts w:ascii="Arial" w:cs="Arial" w:eastAsia="Arial" w:hAnsi="Arial"/>
          <w:sz w:val="19"/>
          <w:szCs w:val="19"/>
          <w:color w:val="auto"/>
        </w:rPr>
      </w:pPr>
    </w:p>
    <w:p>
      <w:pPr>
        <w:ind w:firstLine="1305"/>
        <w:spacing w:after="0" w:line="258" w:lineRule="auto"/>
        <w:tabs>
          <w:tab w:leader="none" w:pos="1765"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Start-Up Costs</w:t>
      </w:r>
      <w:r>
        <w:rPr>
          <w:rFonts w:ascii="Arial" w:cs="Arial" w:eastAsia="Arial" w:hAnsi="Arial"/>
          <w:sz w:val="21"/>
          <w:szCs w:val="21"/>
          <w:color w:val="auto"/>
        </w:rPr>
        <w:t>. The Parties acknowledge that one or more of the Parties have incurred or will incur actual costs in connection with constructing the Y6 Facility and preparing the Y6 Facility for production during the period prior to the start of volume production at the Y6 Facility (the “</w:t>
      </w:r>
      <w:r>
        <w:rPr>
          <w:rFonts w:ascii="Arial" w:cs="Arial" w:eastAsia="Arial" w:hAnsi="Arial"/>
          <w:sz w:val="21"/>
          <w:szCs w:val="21"/>
          <w:u w:val="single" w:color="auto"/>
          <w:color w:val="auto"/>
        </w:rPr>
        <w:t>Start-Up Period</w:t>
      </w:r>
      <w:r>
        <w:rPr>
          <w:rFonts w:ascii="Arial" w:cs="Arial" w:eastAsia="Arial" w:hAnsi="Arial"/>
          <w:sz w:val="21"/>
          <w:szCs w:val="21"/>
          <w:color w:val="auto"/>
        </w:rPr>
        <w:t>”), including such actual costs incurred by TMC in connection with the Phase I Implementation, and personnel costs, materials costs and other operating expenses, for which each Parent Party has the obligation ultimately to bear 50% (“</w:t>
      </w:r>
      <w:r>
        <w:rPr>
          <w:rFonts w:ascii="Arial" w:cs="Arial" w:eastAsia="Arial" w:hAnsi="Arial"/>
          <w:sz w:val="21"/>
          <w:szCs w:val="21"/>
          <w:u w:val="single" w:color="auto"/>
          <w:color w:val="auto"/>
        </w:rPr>
        <w:t>Start-Up Costs</w:t>
      </w:r>
      <w:r>
        <w:rPr>
          <w:rFonts w:ascii="Arial" w:cs="Arial" w:eastAsia="Arial" w:hAnsi="Arial"/>
          <w:sz w:val="21"/>
          <w:szCs w:val="21"/>
          <w:color w:val="auto"/>
        </w:rPr>
        <w:t xml:space="preserve">”). The Parent Parties shall discuss in good faith and agree upon the Start-Up Costs borne by the Parties and the means and timing by which each Party, as applicable, shall be reimbursed or credited for having incurred more than 50% of the Start-Up Costs or shall make payments due for having incurred less than 50% of the Start-Up Costs; </w:t>
      </w:r>
      <w:r>
        <w:rPr>
          <w:rFonts w:ascii="Arial" w:cs="Arial" w:eastAsia="Arial" w:hAnsi="Arial"/>
          <w:sz w:val="21"/>
          <w:szCs w:val="21"/>
          <w:u w:val="single" w:color="auto"/>
          <w:color w:val="auto"/>
        </w:rPr>
        <w:t>provided</w:t>
      </w:r>
      <w:r>
        <w:rPr>
          <w:rFonts w:ascii="Arial" w:cs="Arial" w:eastAsia="Arial" w:hAnsi="Arial"/>
          <w:sz w:val="21"/>
          <w:szCs w:val="21"/>
          <w:color w:val="auto"/>
        </w:rPr>
        <w:t>, that the determination and allocation of Start-Up Costs and the means and timing of reimbursement shall be in a manner substantially similar to that utilized in connection with the start-up costs of the New Y2 Facility. Start-Up Costs will be excluded from Y6 Manufacturing Costs.</w:t>
      </w:r>
    </w:p>
    <w:p>
      <w:pPr>
        <w:spacing w:after="0" w:line="186" w:lineRule="exact"/>
        <w:rPr>
          <w:rFonts w:ascii="Arial" w:cs="Arial" w:eastAsia="Arial" w:hAnsi="Arial"/>
          <w:sz w:val="21"/>
          <w:szCs w:val="21"/>
          <w:color w:val="auto"/>
        </w:rPr>
      </w:pPr>
    </w:p>
    <w:p>
      <w:pPr>
        <w:ind w:left="1760" w:hanging="455"/>
        <w:spacing w:after="0"/>
        <w:tabs>
          <w:tab w:leader="none" w:pos="17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Land Costs</w:t>
      </w:r>
      <w:r>
        <w:rPr>
          <w:rFonts w:ascii="Arial" w:cs="Arial" w:eastAsia="Arial" w:hAnsi="Arial"/>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2.6 Incentives</w:t>
      </w:r>
      <w:r>
        <w:rPr>
          <w:rFonts w:ascii="Arial" w:cs="Arial" w:eastAsia="Arial" w:hAnsi="Arial"/>
          <w:sz w:val="22"/>
          <w:szCs w:val="22"/>
          <w:color w:val="auto"/>
        </w:rPr>
        <w:t>. ****</w:t>
      </w:r>
    </w:p>
    <w:p>
      <w:pPr>
        <w:spacing w:after="0" w:line="220"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u w:val="single" w:color="auto"/>
          <w:color w:val="auto"/>
        </w:rPr>
        <w:t>2.7 Insurance</w:t>
      </w:r>
      <w:r>
        <w:rPr>
          <w:rFonts w:ascii="Arial" w:cs="Arial" w:eastAsia="Arial" w:hAnsi="Arial"/>
          <w:sz w:val="19"/>
          <w:szCs w:val="19"/>
          <w:color w:val="auto"/>
        </w:rPr>
        <w:t>. TMC shall maintain or arrange property insurance covering the JV assets in the Y6 Facility and business interruption insurance in respect of the business conducted at the Y6 Facility, the scope and amounts of which shall be consistent with existing practices at the Yokkaichi Facility and as required by any lender or carrier to secure such coverage. This coverage shall provide basically full replacement value of all JV equipment installed in the Y6 Facility, subject to valuation as part of TMC’s annual insurance policy renewal, and shall name the applicable JV as a beneficiary in respect of assets owned or leased by it and Y6 employee expenses covered by business interruption insurance. On an annual basis, or when requested by either Party, the Y6 Operating Committee shall discuss and review the current insurance coverage and/or the need for any additional property or business interruption insurance in respect of the JV assets in and operations of the Y6 Facility. Further, WD reserves the right to seek to arrange additional property or business interruption insurance for its own account in respect of such assets or operations, and TMC shall cooperate in good faith to provide such information and access as is reasonably necessary for WD to arrange such insurance. If TMC makes a recovery from a third party (other than an insurer per the above) in respect of both assets in the Y6 Facility and other assets, then TMC shall allocate to the applicable JVs a share of the net amount of such recovery in proportion to the losses suffered by such JVs and total losses suffered by such JVs and TMC.</w:t>
      </w:r>
    </w:p>
    <w:p>
      <w:pPr>
        <w:spacing w:after="0" w:line="167" w:lineRule="exact"/>
        <w:rPr>
          <w:sz w:val="20"/>
          <w:szCs w:val="20"/>
          <w:color w:val="auto"/>
        </w:rPr>
      </w:pPr>
    </w:p>
    <w:p>
      <w:pPr>
        <w:ind w:left="660" w:right="5740" w:hanging="652"/>
        <w:spacing w:after="0" w:line="448" w:lineRule="auto"/>
        <w:tabs>
          <w:tab w:leader="none" w:pos="39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PRODUCTS; RIGHTS TO CLEANROOM SPACE; TOOLS </w:t>
      </w:r>
      <w:r>
        <w:rPr>
          <w:rFonts w:ascii="Arial" w:cs="Arial" w:eastAsia="Arial" w:hAnsi="Arial"/>
          <w:sz w:val="22"/>
          <w:szCs w:val="22"/>
          <w:u w:val="single" w:color="auto"/>
          <w:color w:val="auto"/>
        </w:rPr>
        <w:t>3.1 BiCS Products</w:t>
      </w:r>
      <w:r>
        <w:rPr>
          <w:rFonts w:ascii="Arial" w:cs="Arial" w:eastAsia="Arial" w:hAnsi="Arial"/>
          <w:sz w:val="22"/>
          <w:szCs w:val="22"/>
          <w:color w:val="auto"/>
        </w:rPr>
        <w:t>.</w:t>
      </w:r>
    </w:p>
    <w:p>
      <w:pPr>
        <w:ind w:left="1760" w:hanging="455"/>
        <w:spacing w:after="0"/>
        <w:tabs>
          <w:tab w:leader="none" w:pos="17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JVs may produce BiCS Products at the Y6 Facility.</w:t>
      </w:r>
    </w:p>
    <w:p>
      <w:pPr>
        <w:spacing w:after="0" w:line="219" w:lineRule="exact"/>
        <w:rPr>
          <w:rFonts w:ascii="Arial" w:cs="Arial" w:eastAsia="Arial" w:hAnsi="Arial"/>
          <w:sz w:val="22"/>
          <w:szCs w:val="22"/>
          <w:color w:val="auto"/>
        </w:rPr>
      </w:pPr>
    </w:p>
    <w:p>
      <w:pPr>
        <w:ind w:right="100" w:firstLine="1305"/>
        <w:spacing w:after="0" w:line="248" w:lineRule="auto"/>
        <w:tabs>
          <w:tab w:leader="none" w:pos="1765" w:val="left"/>
        </w:tabs>
        <w:numPr>
          <w:ilvl w:val="1"/>
          <w:numId w:val="133"/>
        </w:numPr>
        <w:rPr>
          <w:rFonts w:ascii="Arial" w:cs="Arial" w:eastAsia="Arial" w:hAnsi="Arial"/>
          <w:sz w:val="22"/>
          <w:szCs w:val="22"/>
          <w:color w:val="auto"/>
        </w:rPr>
      </w:pPr>
      <w:r>
        <w:rPr>
          <w:rFonts w:ascii="Arial" w:cs="Arial" w:eastAsia="Arial" w:hAnsi="Arial"/>
          <w:sz w:val="22"/>
          <w:szCs w:val="22"/>
          <w:color w:val="auto"/>
        </w:rPr>
        <w:t>BiCS Products manufactured at the Yokkaichi Facility and that are identified **** as Y6 lots are referred to as “</w:t>
      </w:r>
      <w:r>
        <w:rPr>
          <w:rFonts w:ascii="Arial" w:cs="Arial" w:eastAsia="Arial" w:hAnsi="Arial"/>
          <w:sz w:val="22"/>
          <w:szCs w:val="22"/>
          <w:u w:val="single" w:color="auto"/>
          <w:color w:val="auto"/>
        </w:rPr>
        <w:t>Y6 BiCS Products</w:t>
      </w:r>
      <w:r>
        <w:rPr>
          <w:rFonts w:ascii="Arial" w:cs="Arial" w:eastAsia="Arial" w:hAnsi="Arial"/>
          <w:sz w:val="22"/>
          <w:szCs w:val="22"/>
          <w:color w:val="auto"/>
        </w:rPr>
        <w:t>.” “</w:t>
      </w:r>
      <w:r>
        <w:rPr>
          <w:rFonts w:ascii="Arial" w:cs="Arial" w:eastAsia="Arial" w:hAnsi="Arial"/>
          <w:sz w:val="22"/>
          <w:szCs w:val="22"/>
          <w:u w:val="single" w:color="auto"/>
          <w:color w:val="auto"/>
        </w:rPr>
        <w:t>JV Y6 BiCS Products</w:t>
      </w:r>
      <w:r>
        <w:rPr>
          <w:rFonts w:ascii="Arial" w:cs="Arial" w:eastAsia="Arial" w:hAnsi="Arial"/>
          <w:sz w:val="22"/>
          <w:szCs w:val="22"/>
          <w:color w:val="auto"/>
        </w:rPr>
        <w:t>” are Y6 BiCS Products allocated to a JV under the applicable JV’s JV Master Agreement. “</w:t>
      </w:r>
      <w:r>
        <w:rPr>
          <w:rFonts w:ascii="Arial" w:cs="Arial" w:eastAsia="Arial" w:hAnsi="Arial"/>
          <w:sz w:val="22"/>
          <w:szCs w:val="22"/>
          <w:u w:val="single" w:color="auto"/>
          <w:color w:val="auto"/>
        </w:rPr>
        <w:t>Y6 Unilateral BiCS Products</w:t>
      </w:r>
      <w:r>
        <w:rPr>
          <w:rFonts w:ascii="Arial" w:cs="Arial" w:eastAsia="Arial" w:hAnsi="Arial"/>
          <w:sz w:val="22"/>
          <w:szCs w:val="22"/>
          <w:color w:val="auto"/>
        </w:rPr>
        <w:t>” are Y6 BiCS Products allocated to ****. The reference to “Yokkaichi Unilateral BiCS Expansions” in Section 3.1(b) of the New Y2 Agreement is hereby amended to include Yokkaichi Unilateral BiCS Expansions as defined in this Agreement.</w:t>
      </w:r>
    </w:p>
    <w:p>
      <w:pPr>
        <w:spacing w:after="0" w:line="192" w:lineRule="exact"/>
        <w:rPr>
          <w:rFonts w:ascii="Arial" w:cs="Arial" w:eastAsia="Arial" w:hAnsi="Arial"/>
          <w:sz w:val="22"/>
          <w:szCs w:val="22"/>
          <w:color w:val="auto"/>
        </w:rPr>
      </w:pPr>
    </w:p>
    <w:p>
      <w:pPr>
        <w:ind w:left="1760" w:hanging="455"/>
        <w:spacing w:after="0"/>
        <w:tabs>
          <w:tab w:leader="none" w:pos="17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For the avoidance of doubt,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3.2 Rights to Cleanroom Space</w:t>
      </w:r>
      <w:r>
        <w:rPr>
          <w:rFonts w:ascii="Arial" w:cs="Arial" w:eastAsia="Arial" w:hAnsi="Arial"/>
          <w:sz w:val="22"/>
          <w:szCs w:val="22"/>
          <w:color w:val="auto"/>
        </w:rPr>
        <w:t>.</w:t>
      </w:r>
    </w:p>
    <w:p>
      <w:pPr>
        <w:sectPr>
          <w:pgSz w:w="11900" w:h="16899" w:orient="portrait"/>
          <w:cols w:equalWidth="0" w:num="1">
            <w:col w:w="11420"/>
          </w:cols>
          <w:pgMar w:left="240" w:top="126" w:right="239" w:bottom="0" w:gutter="0" w:footer="0" w:header="0"/>
        </w:sectPr>
      </w:pPr>
    </w:p>
    <w:bookmarkStart w:id="151" w:name="page152"/>
    <w:bookmarkEnd w:id="151"/>
    <w:p>
      <w:pPr>
        <w:ind w:left="-8" w:firstLine="1305"/>
        <w:spacing w:after="0" w:line="248" w:lineRule="auto"/>
        <w:tabs>
          <w:tab w:leader="none" w:pos="1744"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JV BiCS Space</w:t>
      </w:r>
      <w:r>
        <w:rPr>
          <w:rFonts w:ascii="Arial" w:cs="Arial" w:eastAsia="Arial" w:hAnsi="Arial"/>
          <w:sz w:val="22"/>
          <w:szCs w:val="22"/>
          <w:color w:val="auto"/>
        </w:rPr>
        <w:t>. The Parties acknowledge that each of the JVs has the right to invest in and secure production capacity and/or cleanroom space in the Y6 Facility for the production of JV BiCS Products. The definition of “</w:t>
      </w:r>
      <w:r>
        <w:rPr>
          <w:rFonts w:ascii="Arial" w:cs="Arial" w:eastAsia="Arial" w:hAnsi="Arial"/>
          <w:sz w:val="22"/>
          <w:szCs w:val="22"/>
          <w:u w:val="single" w:color="auto"/>
          <w:color w:val="auto"/>
        </w:rPr>
        <w:t>JV BiCS Space</w:t>
      </w:r>
      <w:r>
        <w:rPr>
          <w:rFonts w:ascii="Arial" w:cs="Arial" w:eastAsia="Arial" w:hAnsi="Arial"/>
          <w:sz w:val="22"/>
          <w:szCs w:val="22"/>
          <w:color w:val="auto"/>
        </w:rPr>
        <w:t>,” as defined in the New Y2 Agreement, is hereby amended to include the cleanroom space in the Y6 Facility actually so utilized by the JVs for production of BiCS Products at any time. In the event of an expiration or dissolution of a JV or termination of a JV Master Agreement for any reason, without 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8" w:right="20" w:firstLine="8"/>
        <w:spacing w:after="0" w:line="275" w:lineRule="auto"/>
        <w:tabs>
          <w:tab w:leader="none" w:pos="35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-359410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12"/>
          </w:cols>
          <w:pgMar w:left="248" w:top="34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limitation on TMC’s use or disposal of the facilities or assets of such JV, each Parent Party shall consider in good faith potential negative impacts on the remaining JVs’ respective production capacities and utilization of their respective JV Space in the Yokkaichi Facility.</w:t>
      </w:r>
    </w:p>
    <w:p>
      <w:pPr>
        <w:spacing w:after="0" w:line="186" w:lineRule="exact"/>
        <w:rPr>
          <w:sz w:val="20"/>
          <w:szCs w:val="20"/>
          <w:color w:val="auto"/>
        </w:rPr>
      </w:pPr>
    </w:p>
    <w:p>
      <w:pPr>
        <w:ind w:right="780" w:firstLine="1305"/>
        <w:spacing w:after="0" w:line="263" w:lineRule="auto"/>
        <w:tabs>
          <w:tab w:leader="none" w:pos="1765"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Y6 Non-JV Space</w:t>
      </w:r>
      <w:r>
        <w:rPr>
          <w:rFonts w:ascii="Arial" w:cs="Arial" w:eastAsia="Arial" w:hAnsi="Arial"/>
          <w:sz w:val="22"/>
          <w:szCs w:val="22"/>
          <w:color w:val="auto"/>
        </w:rPr>
        <w:t>. The Parent Parties have the right to invest in and secure production capacity and/or cleanroom space in the Y6 Facility as follows:</w:t>
      </w:r>
    </w:p>
    <w:p>
      <w:pPr>
        <w:spacing w:after="0" w:line="174" w:lineRule="exact"/>
        <w:rPr>
          <w:rFonts w:ascii="Arial" w:cs="Arial" w:eastAsia="Arial" w:hAnsi="Arial"/>
          <w:sz w:val="22"/>
          <w:szCs w:val="22"/>
          <w:color w:val="auto"/>
        </w:rPr>
      </w:pPr>
    </w:p>
    <w:p>
      <w:pPr>
        <w:ind w:left="2380" w:hanging="427"/>
        <w:spacing w:after="0"/>
        <w:tabs>
          <w:tab w:leader="none" w:pos="238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440" w:hanging="487"/>
        <w:spacing w:after="0"/>
        <w:tabs>
          <w:tab w:leader="none" w:pos="2440"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Yokkaichi Unilateral BiCS Expansion Space</w:t>
      </w:r>
      <w:r>
        <w:rPr>
          <w:rFonts w:ascii="Arial" w:cs="Arial" w:eastAsia="Arial" w:hAnsi="Arial"/>
          <w:sz w:val="22"/>
          <w:szCs w:val="22"/>
          <w:color w:val="auto"/>
        </w:rPr>
        <w:t>. ****</w:t>
      </w:r>
    </w:p>
    <w:p>
      <w:pPr>
        <w:spacing w:after="0" w:line="219" w:lineRule="exact"/>
        <w:rPr>
          <w:rFonts w:ascii="Arial" w:cs="Arial" w:eastAsia="Arial" w:hAnsi="Arial"/>
          <w:sz w:val="22"/>
          <w:szCs w:val="22"/>
          <w:color w:val="auto"/>
        </w:rPr>
      </w:pPr>
    </w:p>
    <w:p>
      <w:pPr>
        <w:ind w:left="2500" w:hanging="547"/>
        <w:spacing w:after="0"/>
        <w:tabs>
          <w:tab w:leader="none" w:pos="2500"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TMC Capacity Conversion</w:t>
      </w:r>
      <w:r>
        <w:rPr>
          <w:rFonts w:ascii="Arial" w:cs="Arial" w:eastAsia="Arial" w:hAnsi="Arial"/>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3.3 Tool Acquisition, Usage and Layout</w:t>
      </w:r>
      <w:r>
        <w:rPr>
          <w:rFonts w:ascii="Arial" w:cs="Arial" w:eastAsia="Arial" w:hAnsi="Arial"/>
          <w:sz w:val="22"/>
          <w:szCs w:val="22"/>
          <w:color w:val="auto"/>
        </w:rPr>
        <w:t>.</w:t>
      </w:r>
    </w:p>
    <w:p>
      <w:pPr>
        <w:spacing w:after="0" w:line="220" w:lineRule="exact"/>
        <w:rPr>
          <w:sz w:val="20"/>
          <w:szCs w:val="20"/>
          <w:color w:val="auto"/>
        </w:rPr>
      </w:pPr>
    </w:p>
    <w:p>
      <w:pPr>
        <w:ind w:right="20" w:firstLine="1305"/>
        <w:spacing w:after="0" w:line="253" w:lineRule="auto"/>
        <w:tabs>
          <w:tab w:leader="none" w:pos="175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JV Tools</w:t>
      </w:r>
      <w:r>
        <w:rPr>
          <w:rFonts w:ascii="Arial" w:cs="Arial" w:eastAsia="Arial" w:hAnsi="Arial"/>
          <w:sz w:val="22"/>
          <w:szCs w:val="22"/>
          <w:color w:val="auto"/>
        </w:rPr>
        <w:t>. Acquisitions of JV BiCS Tools shall be made in accordance with the terms for NAND Flash Memory Products tool acquisitions in the applicable JV Master Agreement, and JV BiCS Tools may be installed in the Y6 Facility as mutually agreed by the Parent Parties.</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Toshiba R&amp;D Tools</w:t>
      </w:r>
      <w:r>
        <w:rPr>
          <w:rFonts w:ascii="Arial" w:cs="Arial" w:eastAsia="Arial" w:hAnsi="Arial"/>
          <w:sz w:val="22"/>
          <w:szCs w:val="22"/>
          <w:color w:val="auto"/>
        </w:rPr>
        <w:t>. ****</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BiCS Unilateral Tools</w:t>
      </w:r>
      <w:r>
        <w:rPr>
          <w:rFonts w:ascii="Arial" w:cs="Arial" w:eastAsia="Arial" w:hAnsi="Arial"/>
          <w:sz w:val="22"/>
          <w:szCs w:val="22"/>
          <w:color w:val="auto"/>
        </w:rPr>
        <w:t>. ****</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Tool Layout</w:t>
      </w:r>
      <w:r>
        <w:rPr>
          <w:rFonts w:ascii="Arial" w:cs="Arial" w:eastAsia="Arial" w:hAnsi="Arial"/>
          <w:sz w:val="22"/>
          <w:szCs w:val="22"/>
          <w:color w:val="auto"/>
        </w:rPr>
        <w:t>. ****</w:t>
      </w:r>
    </w:p>
    <w:p>
      <w:pPr>
        <w:spacing w:after="0" w:line="220"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u w:val="single" w:color="auto"/>
          <w:color w:val="auto"/>
        </w:rPr>
        <w:t>3.4 NAND Flash Memory Products</w:t>
      </w:r>
      <w:r>
        <w:rPr>
          <w:rFonts w:ascii="Arial" w:cs="Arial" w:eastAsia="Arial" w:hAnsi="Arial"/>
          <w:sz w:val="19"/>
          <w:szCs w:val="19"/>
          <w:color w:val="auto"/>
        </w:rPr>
        <w:t>. Notwithstanding anything to the contrary in this Agreement, the Parties acknowledge that NAND Flash Memory Products may be manufactured using tools installed in the Y6 Facility cleanroom space if and to the extent agreed in a JV Business Plan or by the applicable JV Operating Committee. Any such manufacture of NAND Flash Memory Products (including as to expansion or technology transition) shall be conducted pursuant to the terms of the applicable JV’s JV Agreements as if such JV Agreements contemplated the manufacture of NAND Flash Memory Products in the Y6 Facility. Any NAND Flash Memory Products manufactured at the Yokkaichi Facility and that are **** as Y6 lots are referred to as “</w:t>
      </w:r>
      <w:r>
        <w:rPr>
          <w:rFonts w:ascii="Arial" w:cs="Arial" w:eastAsia="Arial" w:hAnsi="Arial"/>
          <w:sz w:val="19"/>
          <w:szCs w:val="19"/>
          <w:u w:val="single" w:color="auto"/>
          <w:color w:val="auto"/>
        </w:rPr>
        <w:t>Y6 NAND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Flash Memory Products</w:t>
      </w:r>
      <w:r>
        <w:rPr>
          <w:rFonts w:ascii="Arial" w:cs="Arial" w:eastAsia="Arial" w:hAnsi="Arial"/>
          <w:sz w:val="19"/>
          <w:szCs w:val="19"/>
          <w:color w:val="auto"/>
        </w:rPr>
        <w:t>.” “</w:t>
      </w:r>
      <w:r>
        <w:rPr>
          <w:rFonts w:ascii="Arial" w:cs="Arial" w:eastAsia="Arial" w:hAnsi="Arial"/>
          <w:sz w:val="19"/>
          <w:szCs w:val="19"/>
          <w:u w:val="single" w:color="auto"/>
          <w:color w:val="auto"/>
        </w:rPr>
        <w:t>JV Y6 NAND Flash Memory Products</w:t>
      </w:r>
      <w:r>
        <w:rPr>
          <w:rFonts w:ascii="Arial" w:cs="Arial" w:eastAsia="Arial" w:hAnsi="Arial"/>
          <w:sz w:val="19"/>
          <w:szCs w:val="19"/>
          <w:color w:val="auto"/>
        </w:rPr>
        <w:t xml:space="preserve">” are Y6 NAND Flash Memory Products allocated to a JV under the applicable JV’s JV Master Agreement. Allocation of monthly lot output of NAND Flash Memory Products under the JV Master Agreements is hereby amended to include the following: the actual monthly lot output of Y6 NAND Flash Memory Products will be allocated between the Parent Parties in the manner set forth in this Agreement as if all of such output were BiCS Product output from the Y6 Facility; </w:t>
      </w:r>
      <w:r>
        <w:rPr>
          <w:rFonts w:ascii="Arial" w:cs="Arial" w:eastAsia="Arial" w:hAnsi="Arial"/>
          <w:sz w:val="19"/>
          <w:szCs w:val="19"/>
          <w:u w:val="single" w:color="auto"/>
          <w:color w:val="auto"/>
        </w:rPr>
        <w:t>provided</w:t>
      </w:r>
      <w:r>
        <w:rPr>
          <w:rFonts w:ascii="Arial" w:cs="Arial" w:eastAsia="Arial" w:hAnsi="Arial"/>
          <w:sz w:val="19"/>
          <w:szCs w:val="19"/>
          <w:color w:val="auto"/>
        </w:rPr>
        <w:t>, that during any month in which the planned production of NAND Flash Memory Products is **** output will be allocated between the Parent Parties ****.</w:t>
      </w:r>
    </w:p>
    <w:p>
      <w:pPr>
        <w:spacing w:after="0" w:line="200" w:lineRule="exact"/>
        <w:rPr>
          <w:sz w:val="20"/>
          <w:szCs w:val="20"/>
          <w:color w:val="auto"/>
        </w:rPr>
      </w:pP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RAMP-UP PROCESS</w:t>
      </w:r>
    </w:p>
    <w:p>
      <w:pPr>
        <w:spacing w:after="0" w:line="220"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u w:val="single" w:color="auto"/>
          <w:color w:val="auto"/>
        </w:rPr>
        <w:t>4.1 Minimum Commitment</w:t>
      </w:r>
      <w:r>
        <w:rPr>
          <w:rFonts w:ascii="Arial" w:cs="Arial" w:eastAsia="Arial" w:hAnsi="Arial"/>
          <w:sz w:val="19"/>
          <w:szCs w:val="19"/>
          <w:color w:val="auto"/>
        </w:rPr>
        <w:t>. Unless otherwise agreed in writing between the Parent Parties, the Parent Parties shall, through the JVs, make the investments necessary for **** L/M in aggregate JV production capacity using the Y6 Facility for BiCS Products, of which (i) **** L/M shall be implemented **** and (ii) **** L/M shall be implemented ****, the investments for both</w:t>
      </w:r>
    </w:p>
    <w:p>
      <w:pPr>
        <w:spacing w:after="0" w:line="1" w:lineRule="exact"/>
        <w:rPr>
          <w:sz w:val="20"/>
          <w:szCs w:val="20"/>
          <w:color w:val="auto"/>
        </w:rPr>
      </w:pPr>
    </w:p>
    <w:p>
      <w:pPr>
        <w:ind w:right="1260" w:firstLine="8"/>
        <w:spacing w:after="0" w:line="246" w:lineRule="auto"/>
        <w:tabs>
          <w:tab w:leader="none" w:pos="25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and (ii) to be divided equally between the Parent Parties (the foregoing, as further described below, the “</w:t>
      </w:r>
      <w:r>
        <w:rPr>
          <w:rFonts w:ascii="Arial" w:cs="Arial" w:eastAsia="Arial" w:hAnsi="Arial"/>
          <w:sz w:val="22"/>
          <w:szCs w:val="22"/>
          <w:u w:val="single" w:color="auto"/>
          <w:color w:val="auto"/>
        </w:rPr>
        <w:t>Minimum</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760" w:hanging="455"/>
        <w:spacing w:after="0"/>
        <w:tabs>
          <w:tab w:leader="none" w:pos="176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(c)</w:t>
        <w:tab/>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4.2 Yokkaichi BiCS Expansion</w:t>
      </w:r>
      <w:r>
        <w:rPr>
          <w:rFonts w:ascii="Arial" w:cs="Arial" w:eastAsia="Arial" w:hAnsi="Arial"/>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4.3 Other Facility Expansions</w:t>
      </w:r>
      <w:r>
        <w:rPr>
          <w:rFonts w:ascii="Arial" w:cs="Arial" w:eastAsia="Arial" w:hAnsi="Arial"/>
          <w:sz w:val="22"/>
          <w:szCs w:val="22"/>
          <w:color w:val="auto"/>
        </w:rPr>
        <w:t>. ****</w:t>
      </w:r>
    </w:p>
    <w:p>
      <w:pPr>
        <w:spacing w:after="0" w:line="220"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u w:val="single" w:color="auto"/>
          <w:color w:val="auto"/>
        </w:rPr>
        <w:t>4.4 BiCS Conversions and BiCS Technology Transitions</w:t>
      </w:r>
      <w:r>
        <w:rPr>
          <w:rFonts w:ascii="Arial" w:cs="Arial" w:eastAsia="Arial" w:hAnsi="Arial"/>
          <w:sz w:val="19"/>
          <w:szCs w:val="19"/>
          <w:color w:val="auto"/>
        </w:rPr>
        <w:t>. Without limiting TMC’s implementation of BiCS Conversions or BiCS Technology Transitions as part of the Phase I Implementation, the JVs shall be given priority for any BiCS Conversion or BiCS Technology Transition. Should any of FPL, FAL or FFL not accept any proposal for a BiCS Conversion or BiCS Technology Transition, the non-rejecting Parent Party may implement such BiCS Conversion or BiCS Technology Transition on its capacity, and ****. Subject to the foregoing priority granted to the JVs, nothing in this Agreement shall in any way limit TMC’s ability to implement BiCS Conversions or BiCS Technology Transitions within the Toshiba Capacity, which shall be made in TMC’s sole discretion. For the avoidance of doubt, any BiCS Conversion or BiCS Technology Transition involving the use of the New Y2 Facility or the Y6 Facility shall be managed as a technology transition by the Operating Committees in accordance with the JV Agreements and past practices at the Yokkaichi Facility.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4.5 Failure to Invest</w:t>
      </w:r>
      <w:r>
        <w:rPr>
          <w:rFonts w:ascii="Arial" w:cs="Arial" w:eastAsia="Arial" w:hAnsi="Arial"/>
          <w:sz w:val="22"/>
          <w:szCs w:val="22"/>
          <w:color w:val="auto"/>
        </w:rPr>
        <w:t>.</w:t>
      </w:r>
    </w:p>
    <w:p>
      <w:pPr>
        <w:spacing w:after="0" w:line="220" w:lineRule="exact"/>
        <w:rPr>
          <w:sz w:val="20"/>
          <w:szCs w:val="20"/>
          <w:color w:val="auto"/>
        </w:rPr>
      </w:pPr>
    </w:p>
    <w:p>
      <w:pPr>
        <w:ind w:right="480" w:firstLine="1305"/>
        <w:spacing w:after="0" w:line="263" w:lineRule="auto"/>
        <w:tabs>
          <w:tab w:leader="none" w:pos="175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Minimum Commitment</w:t>
      </w:r>
      <w:r>
        <w:rPr>
          <w:rFonts w:ascii="Arial" w:cs="Arial" w:eastAsia="Arial" w:hAnsi="Arial"/>
          <w:sz w:val="22"/>
          <w:szCs w:val="22"/>
          <w:color w:val="auto"/>
        </w:rPr>
        <w:t>. If WD fails for any reason to make (or authorize the JVs to make) the investment necessary to implement its 50% share of the Minimum Commitment ****, then ****</w:t>
      </w:r>
    </w:p>
    <w:p>
      <w:pPr>
        <w:spacing w:after="0" w:line="174" w:lineRule="exact"/>
        <w:rPr>
          <w:rFonts w:ascii="Arial" w:cs="Arial" w:eastAsia="Arial" w:hAnsi="Arial"/>
          <w:sz w:val="22"/>
          <w:szCs w:val="22"/>
          <w:color w:val="auto"/>
        </w:rPr>
      </w:pPr>
    </w:p>
    <w:p>
      <w:pPr>
        <w:ind w:right="220" w:firstLine="1305"/>
        <w:spacing w:after="0" w:line="312" w:lineRule="auto"/>
        <w:tabs>
          <w:tab w:leader="none" w:pos="176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Ramp-Up Commitment</w:t>
      </w:r>
      <w:r>
        <w:rPr>
          <w:rFonts w:ascii="Arial" w:cs="Arial" w:eastAsia="Arial" w:hAnsi="Arial"/>
          <w:sz w:val="19"/>
          <w:szCs w:val="19"/>
          <w:color w:val="auto"/>
        </w:rPr>
        <w:t>. If a Parent Party fails for any reason to make (or authorize the JVs to make) the investment necessary to implement its 50% share of a Ramp-Up Commitment, then the other Parent Party (so long as it has made and authorized the investment necessary to implement its 50% share of the Minimum Commitment) may ****.</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1020" w:firstLine="648"/>
        <w:spacing w:after="0" w:line="263" w:lineRule="auto"/>
        <w:rPr>
          <w:sz w:val="20"/>
          <w:szCs w:val="20"/>
          <w:color w:val="auto"/>
        </w:rPr>
      </w:pPr>
      <w:r>
        <w:rPr>
          <w:rFonts w:ascii="Arial" w:cs="Arial" w:eastAsia="Arial" w:hAnsi="Arial"/>
          <w:sz w:val="22"/>
          <w:szCs w:val="22"/>
          <w:u w:val="single" w:color="auto"/>
          <w:color w:val="auto"/>
        </w:rPr>
        <w:t>4.6 Phase I Investment Cost Sharing</w:t>
      </w:r>
      <w:r>
        <w:rPr>
          <w:rFonts w:ascii="Arial" w:cs="Arial" w:eastAsia="Arial" w:hAnsi="Arial"/>
          <w:sz w:val="22"/>
          <w:szCs w:val="22"/>
          <w:color w:val="auto"/>
        </w:rPr>
        <w:t>. With respect to TMC’s unilateral implementation of its share of the Phase I Investment: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u w:val="single" w:color="auto"/>
          <w:color w:val="auto"/>
        </w:rPr>
        <w:t>4.7 Iwate Facility</w:t>
      </w:r>
      <w:r>
        <w:rPr>
          <w:rFonts w:ascii="Arial" w:cs="Arial" w:eastAsia="Arial" w:hAnsi="Arial"/>
          <w:sz w:val="21"/>
          <w:szCs w:val="21"/>
          <w:color w:val="auto"/>
        </w:rPr>
        <w:t>. The Parent Parties will discuss in good faith WD’s participation in BiCS Expansions, BiCS Conversions and BiCS Technology Transitions at TMC’s fabrication facility under construction in Iwate, Japan (the “</w:t>
      </w:r>
      <w:r>
        <w:rPr>
          <w:rFonts w:ascii="Arial" w:cs="Arial" w:eastAsia="Arial" w:hAnsi="Arial"/>
          <w:sz w:val="21"/>
          <w:szCs w:val="21"/>
          <w:u w:val="single" w:color="auto"/>
          <w:color w:val="auto"/>
        </w:rPr>
        <w:t>Iwate Facility</w:t>
      </w:r>
      <w:r>
        <w:rPr>
          <w:rFonts w:ascii="Arial" w:cs="Arial" w:eastAsia="Arial" w:hAnsi="Arial"/>
          <w:sz w:val="21"/>
          <w:szCs w:val="21"/>
          <w:color w:val="auto"/>
        </w:rPr>
        <w:t xml:space="preserve">”). Without limiting </w:t>
      </w:r>
      <w:r>
        <w:rPr>
          <w:rFonts w:ascii="Arial" w:cs="Arial" w:eastAsia="Arial" w:hAnsi="Arial"/>
          <w:sz w:val="21"/>
          <w:szCs w:val="21"/>
          <w:u w:val="single" w:color="auto"/>
          <w:color w:val="auto"/>
        </w:rPr>
        <w:t>Sections 4.3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4.4</w:t>
      </w:r>
      <w:r>
        <w:rPr>
          <w:rFonts w:ascii="Arial" w:cs="Arial" w:eastAsia="Arial" w:hAnsi="Arial"/>
          <w:sz w:val="21"/>
          <w:szCs w:val="21"/>
          <w:color w:val="auto"/>
        </w:rPr>
        <w:t>, ****, the terms for any BiCS Expansion, BiCS Conversion or BiCS Technology Transition at the Iwate Facility (including with respect to cost allocations) shall, except as set forth below, be substantially the same as the terms that apply to the manufacture of BiCS Products at the Yokkaichi Facility under the Master Operative Documents. The parties acknowledge and agree that the foregoing terms shall be reasonably adjusted if the Parent Parties’ respective investment levels in the Iwate Facility ****. Some terms may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8"/>
        <w:spacing w:after="0" w:line="275" w:lineRule="auto"/>
        <w:tabs>
          <w:tab w:leader="none" w:pos="3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300"/>
        <w:spacing w:after="0" w:line="248" w:lineRule="auto"/>
        <w:rPr>
          <w:sz w:val="20"/>
          <w:szCs w:val="20"/>
          <w:color w:val="auto"/>
        </w:rPr>
      </w:pPr>
      <w:r>
        <w:rPr>
          <w:rFonts w:ascii="Arial" w:cs="Arial" w:eastAsia="Arial" w:hAnsi="Arial"/>
          <w:sz w:val="22"/>
          <w:szCs w:val="22"/>
          <w:color w:val="auto"/>
        </w:rPr>
        <w:t xml:space="preserve">good faith discussions regarding reasonable adjustments from the terms that apply to the manufacture of BiCS Products at the Yokkaichi Facility given the site-specific attributes of the Iwate Facility. WD’s participation in any BiCS Expansion, BiCS Conversion or BiCS Technology Transition at the Iwate Facility shall be subject to the Parent Parties’ agreement on one or more written definitive agreements that set forth the terms and conditions applicable to WD’s participation in the Iwate Facility, including those described in this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192"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u w:val="single" w:color="auto"/>
          <w:color w:val="auto"/>
        </w:rPr>
        <w:t>4.8 Prior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4.4</w:t>
      </w:r>
      <w:r>
        <w:rPr>
          <w:rFonts w:ascii="Arial" w:cs="Arial" w:eastAsia="Arial" w:hAnsi="Arial"/>
          <w:sz w:val="22"/>
          <w:szCs w:val="22"/>
          <w:color w:val="auto"/>
        </w:rPr>
        <w:t xml:space="preserve"> hereof supersede and replace Sections 4.2, 4.3 and 4.4 of the New Y2 Agreement, respectively, from the date hereof.</w:t>
      </w:r>
    </w:p>
    <w:p>
      <w:pPr>
        <w:spacing w:after="0" w:line="175" w:lineRule="exact"/>
        <w:rPr>
          <w:sz w:val="20"/>
          <w:szCs w:val="20"/>
          <w:color w:val="auto"/>
        </w:rPr>
      </w:pPr>
    </w:p>
    <w:p>
      <w:pPr>
        <w:ind w:left="660" w:right="8340" w:hanging="652"/>
        <w:spacing w:after="0" w:line="448" w:lineRule="auto"/>
        <w:tabs>
          <w:tab w:leader="none" w:pos="39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BiCS PRODUCTS PRIORITY 5.1 ****</w:t>
      </w: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Prior Agreement</w:t>
      </w:r>
      <w:r>
        <w:rPr>
          <w:rFonts w:ascii="Arial" w:cs="Arial" w:eastAsia="Arial" w:hAnsi="Arial"/>
          <w:sz w:val="19"/>
          <w:szCs w:val="19"/>
          <w:color w:val="auto"/>
        </w:rPr>
        <w:t xml:space="preserve">. This Article 5 supersedes and replaces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New Y2 Agreement from the date hereof.</w:t>
      </w:r>
    </w:p>
    <w:p>
      <w:pPr>
        <w:spacing w:after="0" w:line="254" w:lineRule="exact"/>
        <w:rPr>
          <w:rFonts w:ascii="Arial" w:cs="Arial" w:eastAsia="Arial" w:hAnsi="Arial"/>
          <w:sz w:val="22"/>
          <w:szCs w:val="22"/>
          <w:color w:val="auto"/>
        </w:rPr>
      </w:pPr>
    </w:p>
    <w:p>
      <w:pPr>
        <w:ind w:left="380" w:hanging="372"/>
        <w:spacing w:after="0"/>
        <w:tabs>
          <w:tab w:leader="none" w:pos="3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Y6 OPERATING COMMITTEE</w:t>
      </w:r>
    </w:p>
    <w:p>
      <w:pPr>
        <w:spacing w:after="0" w:line="22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u w:val="single" w:color="auto"/>
          <w:color w:val="auto"/>
        </w:rPr>
        <w:t>6.1 Committee Purpose and Authority</w:t>
      </w:r>
      <w:r>
        <w:rPr>
          <w:rFonts w:ascii="Arial" w:cs="Arial" w:eastAsia="Arial" w:hAnsi="Arial"/>
          <w:sz w:val="19"/>
          <w:szCs w:val="19"/>
          <w:color w:val="auto"/>
        </w:rPr>
        <w:t>. There will be an Operating Committee for Y6 Facility operations (the “</w:t>
      </w:r>
      <w:r>
        <w:rPr>
          <w:rFonts w:ascii="Arial" w:cs="Arial" w:eastAsia="Arial" w:hAnsi="Arial"/>
          <w:sz w:val="19"/>
          <w:szCs w:val="19"/>
          <w:u w:val="single" w:color="auto"/>
          <w:color w:val="auto"/>
        </w:rPr>
        <w:t>Y6 Operating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Committee</w:t>
      </w:r>
      <w:r>
        <w:rPr>
          <w:rFonts w:ascii="Arial" w:cs="Arial" w:eastAsia="Arial" w:hAnsi="Arial"/>
          <w:sz w:val="19"/>
          <w:szCs w:val="19"/>
          <w:color w:val="auto"/>
        </w:rPr>
        <w:t>”) consisting of a senior executive designated by each of WD and TMC (each such individual, the “</w:t>
      </w:r>
      <w:r>
        <w:rPr>
          <w:rFonts w:ascii="Arial" w:cs="Arial" w:eastAsia="Arial" w:hAnsi="Arial"/>
          <w:sz w:val="19"/>
          <w:szCs w:val="19"/>
          <w:u w:val="single" w:color="auto"/>
          <w:color w:val="auto"/>
        </w:rPr>
        <w:t>WD Representative</w:t>
      </w:r>
      <w:r>
        <w:rPr>
          <w:rFonts w:ascii="Arial" w:cs="Arial" w:eastAsia="Arial" w:hAnsi="Arial"/>
          <w:sz w:val="19"/>
          <w:szCs w:val="19"/>
          <w:color w:val="auto"/>
        </w:rPr>
        <w:t>” and the “</w:t>
      </w:r>
      <w:r>
        <w:rPr>
          <w:rFonts w:ascii="Arial" w:cs="Arial" w:eastAsia="Arial" w:hAnsi="Arial"/>
          <w:sz w:val="19"/>
          <w:szCs w:val="19"/>
          <w:u w:val="single" w:color="auto"/>
          <w:color w:val="auto"/>
        </w:rPr>
        <w:t>TMC Representative</w:t>
      </w:r>
      <w:r>
        <w:rPr>
          <w:rFonts w:ascii="Arial" w:cs="Arial" w:eastAsia="Arial" w:hAnsi="Arial"/>
          <w:sz w:val="19"/>
          <w:szCs w:val="19"/>
          <w:color w:val="auto"/>
        </w:rPr>
        <w:t xml:space="preserve">,” respectively), each of whom shall have an engineering background and represent the designating Party on a day-to-day basis at the Y6 Facility. The Y6 Operating Committee shall work together and endeavor to make the Y6 Facility the most advanced and competitive memory fabrication facility in the world. The Y6 Operating Committee will have the authority to determine all JV-related matters concerning the day-to-day operations of the Y6 Facility (including staffing matters as provided in </w:t>
      </w:r>
      <w:r>
        <w:rPr>
          <w:rFonts w:ascii="Arial" w:cs="Arial" w:eastAsia="Arial" w:hAnsi="Arial"/>
          <w:sz w:val="19"/>
          <w:szCs w:val="19"/>
          <w:u w:val="single" w:color="auto"/>
          <w:color w:val="auto"/>
        </w:rPr>
        <w:t>Article 7</w:t>
      </w:r>
      <w:r>
        <w:rPr>
          <w:rFonts w:ascii="Arial" w:cs="Arial" w:eastAsia="Arial" w:hAnsi="Arial"/>
          <w:sz w:val="19"/>
          <w:szCs w:val="19"/>
          <w:color w:val="auto"/>
        </w:rPr>
        <w:t>), subject to the requirements of this Agreement and consistent with past practice at the Yokkaichi Facility.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6.2 Parent Party Representatives</w:t>
      </w:r>
      <w:r>
        <w:rPr>
          <w:rFonts w:ascii="Arial" w:cs="Arial" w:eastAsia="Arial" w:hAnsi="Arial"/>
          <w:sz w:val="22"/>
          <w:szCs w:val="22"/>
          <w:color w:val="auto"/>
        </w:rPr>
        <w:t>.</w:t>
      </w:r>
    </w:p>
    <w:p>
      <w:pPr>
        <w:spacing w:after="0" w:line="220" w:lineRule="exact"/>
        <w:rPr>
          <w:sz w:val="20"/>
          <w:szCs w:val="20"/>
          <w:color w:val="auto"/>
        </w:rPr>
      </w:pPr>
    </w:p>
    <w:p>
      <w:pPr>
        <w:ind w:right="140" w:firstLine="1305"/>
        <w:spacing w:after="0" w:line="248" w:lineRule="auto"/>
        <w:tabs>
          <w:tab w:leader="none" w:pos="175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Replacement</w:t>
      </w:r>
      <w:r>
        <w:rPr>
          <w:rFonts w:ascii="Arial" w:cs="Arial" w:eastAsia="Arial" w:hAnsi="Arial"/>
          <w:sz w:val="22"/>
          <w:szCs w:val="22"/>
          <w:color w:val="auto"/>
        </w:rPr>
        <w:t xml:space="preserve">. Each Parent Party shall notify the other Parent Party in advance of any replacement of its representative on the Y6 Operating Committee. If a Parent Party requests in good faith that the other Parent Party’s representative be replaced with another person from the other Parent Party’s organization, the other Party shall consider and discuss in good faith with the requesting Parent Party such request,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replacement, if any, may be determined solely by such other Parent Party.</w:t>
      </w:r>
    </w:p>
    <w:p>
      <w:pPr>
        <w:spacing w:after="0" w:line="192" w:lineRule="exact"/>
        <w:rPr>
          <w:rFonts w:ascii="Arial" w:cs="Arial" w:eastAsia="Arial" w:hAnsi="Arial"/>
          <w:sz w:val="22"/>
          <w:szCs w:val="22"/>
          <w:color w:val="auto"/>
        </w:rPr>
      </w:pPr>
    </w:p>
    <w:p>
      <w:pPr>
        <w:ind w:left="1780" w:hanging="475"/>
        <w:spacing w:after="0"/>
        <w:tabs>
          <w:tab w:leader="none" w:pos="17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8"/>
        <w:spacing w:after="0" w:line="275" w:lineRule="auto"/>
        <w:tabs>
          <w:tab w:leader="none" w:pos="3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6"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u w:val="single" w:color="auto"/>
          <w:color w:val="auto"/>
        </w:rPr>
        <w:t>6.3 Committee Meetings</w:t>
      </w:r>
      <w:r>
        <w:rPr>
          <w:rFonts w:ascii="Arial" w:cs="Arial" w:eastAsia="Arial" w:hAnsi="Arial"/>
          <w:sz w:val="21"/>
          <w:szCs w:val="21"/>
          <w:color w:val="auto"/>
        </w:rPr>
        <w:t>. The Y6 Operating Committee shall communicate on a day-to-day basis with respect to the status of Y6 Facility operations and any other issues that may arise and shall meet in person no less than one time per week, or such other times and frequency as mutually agreed by all members of such committee. The Y6 Operating Committee shall hold a monthly review meeting in English at the Yokkaichi Facility on the **** of each calendar month, unless otherwise agreed by the Y6 Operating Committee. The Y6 Operating Committee shall prepare and distribute to the Parent Parties (at least three Business Days in advance of the Y6 Operating Committee’s monthly review meetings) monthly reports in English with respect to the engineering activities, operations and cost information of the Y6 Facility.</w:t>
      </w:r>
    </w:p>
    <w:p>
      <w:pPr>
        <w:spacing w:after="0" w:line="181"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u w:val="single" w:color="auto"/>
          <w:color w:val="auto"/>
        </w:rPr>
        <w:t>6.4 Dispute Resolution</w:t>
      </w:r>
      <w:r>
        <w:rPr>
          <w:rFonts w:ascii="Arial" w:cs="Arial" w:eastAsia="Arial" w:hAnsi="Arial"/>
          <w:sz w:val="21"/>
          <w:szCs w:val="21"/>
          <w:color w:val="auto"/>
        </w:rPr>
        <w:t>. If the members of the Y6 Operating Committee are unable to agree on any issue after **** (by agreement of its two members), they shall submit such matter together with their respective recommendations to the applicable Board of Directors or Board of Executive Officers of the applicable JV(s), which shall endeavor to immediately resolve the issue or escalate such issue, as applicable in the manner set forth in the applicable JV Master Agreement.</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1"/>
          <w:szCs w:val="21"/>
          <w:color w:val="auto"/>
        </w:rPr>
        <w:t>ENGINEERS AND HEADCOUNT PLAN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7.1 Y6 JV Engineers; Personnel</w:t>
      </w:r>
      <w:r>
        <w:rPr>
          <w:rFonts w:ascii="Arial" w:cs="Arial" w:eastAsia="Arial" w:hAnsi="Arial"/>
          <w:sz w:val="22"/>
          <w:szCs w:val="22"/>
          <w:color w:val="auto"/>
        </w:rPr>
        <w:t>. As used in this Agreement:</w:t>
      </w:r>
    </w:p>
    <w:p>
      <w:pPr>
        <w:spacing w:after="0" w:line="220" w:lineRule="exact"/>
        <w:rPr>
          <w:sz w:val="20"/>
          <w:szCs w:val="20"/>
          <w:color w:val="auto"/>
        </w:rPr>
      </w:pPr>
    </w:p>
    <w:p>
      <w:pPr>
        <w:ind w:left="1760" w:hanging="455"/>
        <w:spacing w:after="0"/>
        <w:tabs>
          <w:tab w:leader="none" w:pos="17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JV Engineers</w:t>
      </w:r>
      <w:r>
        <w:rPr>
          <w:rFonts w:ascii="Arial" w:cs="Arial" w:eastAsia="Arial" w:hAnsi="Arial"/>
          <w:sz w:val="22"/>
          <w:szCs w:val="22"/>
          <w:color w:val="auto"/>
        </w:rPr>
        <w:t>” means ****;</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Personnel</w:t>
      </w:r>
      <w:r>
        <w:rPr>
          <w:rFonts w:ascii="Arial" w:cs="Arial" w:eastAsia="Arial" w:hAnsi="Arial"/>
          <w:sz w:val="22"/>
          <w:szCs w:val="22"/>
          <w:color w:val="auto"/>
        </w:rPr>
        <w:t>” means ****;</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Personnel</w:t>
      </w:r>
      <w:r>
        <w:rPr>
          <w:rFonts w:ascii="Arial" w:cs="Arial" w:eastAsia="Arial" w:hAnsi="Arial"/>
          <w:sz w:val="22"/>
          <w:szCs w:val="22"/>
          <w:color w:val="auto"/>
        </w:rPr>
        <w:t>” means ****;</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means ****; and</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Team</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7.2 Y6 JV Headcount Plan</w:t>
      </w:r>
      <w:r>
        <w:rPr>
          <w:rFonts w:ascii="Arial" w:cs="Arial" w:eastAsia="Arial" w:hAnsi="Arial"/>
          <w:sz w:val="22"/>
          <w:szCs w:val="22"/>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7.3 Staffing</w:t>
      </w:r>
      <w:r>
        <w:rPr>
          <w:rFonts w:ascii="Arial" w:cs="Arial" w:eastAsia="Arial" w:hAnsi="Arial"/>
          <w:sz w:val="22"/>
          <w:szCs w:val="22"/>
          <w:color w:val="auto"/>
        </w:rPr>
        <w:t>. ****.</w:t>
      </w:r>
    </w:p>
    <w:p>
      <w:pPr>
        <w:spacing w:after="0" w:line="220" w:lineRule="exact"/>
        <w:rPr>
          <w:sz w:val="20"/>
          <w:szCs w:val="20"/>
          <w:color w:val="auto"/>
        </w:rPr>
      </w:pPr>
    </w:p>
    <w:p>
      <w:pPr>
        <w:ind w:right="200" w:firstLine="648"/>
        <w:spacing w:after="0" w:line="260" w:lineRule="auto"/>
        <w:rPr>
          <w:sz w:val="20"/>
          <w:szCs w:val="20"/>
          <w:color w:val="auto"/>
        </w:rPr>
      </w:pPr>
      <w:r>
        <w:rPr>
          <w:rFonts w:ascii="Arial" w:cs="Arial" w:eastAsia="Arial" w:hAnsi="Arial"/>
          <w:sz w:val="21"/>
          <w:szCs w:val="21"/>
          <w:u w:val="single" w:color="auto"/>
          <w:color w:val="auto"/>
        </w:rPr>
        <w:t>7.4 Integration; Headcount Working Group</w:t>
      </w:r>
      <w:r>
        <w:rPr>
          <w:rFonts w:ascii="Arial" w:cs="Arial" w:eastAsia="Arial" w:hAnsi="Arial"/>
          <w:sz w:val="21"/>
          <w:szCs w:val="21"/>
          <w:color w:val="auto"/>
        </w:rPr>
        <w:t>. Integration of the WD Team into the Y6 Facility organization, organization structure, updates on the hiring of Y6 JV Engineers by WD or TMC (or their respective Affiliates), access to the Y6 Operating Committee, WD Team member communications with WD, **** and related matters will be discussed by the Headcount Working Group (as defined in the FFL Master Agreement), as applicable, and, subject to and without any limitation on the effect of the Information Security Agreement as applicable, provided for and resolved in the manner set forth in the FFL Master Agreement with respect to personnel at the Y5 Facility, except that matters to be handled by the Y5 Operating Committee will be handled instead by the Y6 Operating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8"/>
        <w:spacing w:after="0" w:line="275" w:lineRule="auto"/>
        <w:tabs>
          <w:tab w:leader="none" w:pos="36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u w:val="single" w:color="auto"/>
          <w:color w:val="auto"/>
        </w:rPr>
        <w:t>7.5 WD Team</w:t>
      </w:r>
      <w:r>
        <w:rPr>
          <w:rFonts w:ascii="Arial" w:cs="Arial" w:eastAsia="Arial" w:hAnsi="Arial"/>
          <w:sz w:val="22"/>
          <w:szCs w:val="22"/>
          <w:color w:val="auto"/>
        </w:rPr>
        <w:t>. With respect to the WD Team, subject to and without any limitation on the effect of the Information Security Agreement, the Parties agree as follows:</w:t>
      </w:r>
    </w:p>
    <w:p>
      <w:pPr>
        <w:spacing w:after="0" w:line="175" w:lineRule="exact"/>
        <w:rPr>
          <w:sz w:val="20"/>
          <w:szCs w:val="20"/>
          <w:color w:val="auto"/>
        </w:rPr>
      </w:pPr>
    </w:p>
    <w:p>
      <w:pPr>
        <w:ind w:firstLine="1305"/>
        <w:spacing w:after="0" w:line="247" w:lineRule="auto"/>
        <w:tabs>
          <w:tab w:leader="none" w:pos="1752"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Language Skills</w:t>
      </w:r>
      <w:r>
        <w:rPr>
          <w:rFonts w:ascii="Arial" w:cs="Arial" w:eastAsia="Arial" w:hAnsi="Arial"/>
          <w:sz w:val="22"/>
          <w:szCs w:val="22"/>
          <w:color w:val="auto"/>
        </w:rPr>
        <w:t>. Recognizing that Japanese language skills will be necessary for personnel working at the Y6 Facility, WD shall seek to minimize the number of Y6 JV Engineers seconded by WD or any of its Affiliates to the Y6 Facility who are not highly proficient in Japanese, and WD shall ensure that those members of the WD Team who are not Japanese speakers receive some language training in Japanese at WD’s cost before being sent to work at the Y6 Facility and WD shall use commercially reasonable efforts to ensure that such language training is appropriate to such WD Team member’s position at the Y6 Facility.</w:t>
      </w:r>
    </w:p>
    <w:p>
      <w:pPr>
        <w:spacing w:after="0" w:line="193" w:lineRule="exact"/>
        <w:rPr>
          <w:rFonts w:ascii="Arial" w:cs="Arial" w:eastAsia="Arial" w:hAnsi="Arial"/>
          <w:sz w:val="22"/>
          <w:szCs w:val="22"/>
          <w:color w:val="auto"/>
        </w:rPr>
      </w:pPr>
    </w:p>
    <w:p>
      <w:pPr>
        <w:ind w:right="140" w:firstLine="1305"/>
        <w:spacing w:after="0" w:line="253" w:lineRule="auto"/>
        <w:tabs>
          <w:tab w:leader="none" w:pos="1765"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Reimbursement; Conditions</w:t>
      </w:r>
      <w:r>
        <w:rPr>
          <w:rFonts w:ascii="Arial" w:cs="Arial" w:eastAsia="Arial" w:hAnsi="Arial"/>
          <w:sz w:val="22"/>
          <w:szCs w:val="22"/>
          <w:color w:val="auto"/>
        </w:rPr>
        <w:t>. WD’s and its Affiliates’ Y6 JV Engineers shall be integrated by TMC at the Yokkaichi Facility and shall work together with TMC’s and its Affiliates’ Y6 JV Engineers to seek to ensure the optimal operation of the Y6 Facility from a cost and technology perspective. ****</w:t>
      </w:r>
    </w:p>
    <w:p>
      <w:pPr>
        <w:spacing w:after="0" w:line="185" w:lineRule="exact"/>
        <w:rPr>
          <w:rFonts w:ascii="Arial" w:cs="Arial" w:eastAsia="Arial" w:hAnsi="Arial"/>
          <w:sz w:val="22"/>
          <w:szCs w:val="22"/>
          <w:color w:val="auto"/>
        </w:rPr>
      </w:pPr>
    </w:p>
    <w:p>
      <w:pPr>
        <w:ind w:left="1760" w:hanging="455"/>
        <w:spacing w:after="0"/>
        <w:tabs>
          <w:tab w:leader="none" w:pos="176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WD Personnel</w:t>
      </w:r>
      <w:r>
        <w:rPr>
          <w:rFonts w:ascii="Arial" w:cs="Arial" w:eastAsia="Arial" w:hAnsi="Arial"/>
          <w:sz w:val="22"/>
          <w:szCs w:val="22"/>
          <w:color w:val="auto"/>
        </w:rPr>
        <w:t>. ****</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Employment Relationship</w:t>
      </w:r>
      <w:r>
        <w:rPr>
          <w:rFonts w:ascii="Arial" w:cs="Arial" w:eastAsia="Arial" w:hAnsi="Arial"/>
          <w:sz w:val="19"/>
          <w:szCs w:val="19"/>
          <w:color w:val="auto"/>
        </w:rPr>
        <w:t>. All members of the WD Team will remain employees of WD (or the WD Affiliate,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applicable).</w:t>
      </w:r>
    </w:p>
    <w:p>
      <w:pPr>
        <w:spacing w:after="0" w:line="202"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u w:val="single" w:color="auto"/>
          <w:color w:val="auto"/>
        </w:rPr>
        <w:t>7.6 Indemnification</w:t>
      </w:r>
      <w:r>
        <w:rPr>
          <w:rFonts w:ascii="Arial" w:cs="Arial" w:eastAsia="Arial" w:hAnsi="Arial"/>
          <w:sz w:val="21"/>
          <w:szCs w:val="21"/>
          <w:color w:val="auto"/>
        </w:rPr>
        <w:t>. Each Parent Party will indemnify the other Parties from any claim by any of such Parent Party’s or its Affiliate’s employees, consultants or agents (such Parent Party being the “</w:t>
      </w:r>
      <w:r>
        <w:rPr>
          <w:rFonts w:ascii="Arial" w:cs="Arial" w:eastAsia="Arial" w:hAnsi="Arial"/>
          <w:sz w:val="21"/>
          <w:szCs w:val="21"/>
          <w:u w:val="single" w:color="auto"/>
          <w:color w:val="auto"/>
        </w:rPr>
        <w:t>Employer</w:t>
      </w:r>
      <w:r>
        <w:rPr>
          <w:rFonts w:ascii="Arial" w:cs="Arial" w:eastAsia="Arial" w:hAnsi="Arial"/>
          <w:sz w:val="21"/>
          <w:szCs w:val="21"/>
          <w:color w:val="auto"/>
        </w:rPr>
        <w:t>”) (a) based on other than willful misconduct of such Employer or its Affiliate, its or its Affiliate’s employees, consultants or agents or (b) that he or she has rights, or is owed obligations, as an employee of the Party that is not the Employer or its Affiliate.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7.7 Other Personnel</w:t>
      </w:r>
      <w:r>
        <w:rPr>
          <w:rFonts w:ascii="Arial" w:cs="Arial" w:eastAsia="Arial" w:hAnsi="Arial"/>
          <w:sz w:val="22"/>
          <w:szCs w:val="22"/>
          <w:color w:val="auto"/>
        </w:rPr>
        <w:t>. ****</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19"/>
          <w:szCs w:val="19"/>
          <w:color w:val="auto"/>
        </w:rPr>
        <w:t>MANUFACTURING COSTS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8.1 Y6 Manufacturing Costs</w:t>
      </w:r>
      <w:r>
        <w:rPr>
          <w:rFonts w:ascii="Arial" w:cs="Arial" w:eastAsia="Arial" w:hAnsi="Arial"/>
          <w:sz w:val="22"/>
          <w:szCs w:val="22"/>
          <w:color w:val="auto"/>
        </w:rPr>
        <w:t>. “</w:t>
      </w:r>
      <w:r>
        <w:rPr>
          <w:rFonts w:ascii="Arial" w:cs="Arial" w:eastAsia="Arial" w:hAnsi="Arial"/>
          <w:sz w:val="22"/>
          <w:szCs w:val="22"/>
          <w:u w:val="single" w:color="auto"/>
          <w:color w:val="auto"/>
        </w:rPr>
        <w:t>Y6 Manufacturing Costs</w:t>
      </w:r>
      <w:r>
        <w:rPr>
          <w:rFonts w:ascii="Arial" w:cs="Arial" w:eastAsia="Arial" w:hAnsi="Arial"/>
          <w:sz w:val="22"/>
          <w:szCs w:val="22"/>
          <w:color w:val="auto"/>
        </w:rPr>
        <w:t>” means ****</w:t>
      </w:r>
    </w:p>
    <w:p>
      <w:pPr>
        <w:spacing w:after="0" w:line="220" w:lineRule="exact"/>
        <w:rPr>
          <w:sz w:val="20"/>
          <w:szCs w:val="20"/>
          <w:color w:val="auto"/>
        </w:rPr>
      </w:pPr>
    </w:p>
    <w:p>
      <w:pPr>
        <w:ind w:left="1760" w:hanging="455"/>
        <w:spacing w:after="0"/>
        <w:tabs>
          <w:tab w:leader="none" w:pos="176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5"/>
        <w:spacing w:after="0" w:line="250" w:lineRule="auto"/>
        <w:tabs>
          <w:tab w:leader="none" w:pos="1765"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Manufacturing Cost Reconciliation</w:t>
      </w:r>
      <w:r>
        <w:rPr>
          <w:rFonts w:ascii="Arial" w:cs="Arial" w:eastAsia="Arial" w:hAnsi="Arial"/>
          <w:sz w:val="22"/>
          <w:szCs w:val="22"/>
          <w:color w:val="auto"/>
        </w:rPr>
        <w:t>. Within **** after the end of each JV fiscal quarter, TMC shall perform the manufacturing cost reconciliations of **** Charges and **** Charges, in each case as described above (together, the “</w:t>
      </w:r>
      <w:r>
        <w:rPr>
          <w:rFonts w:ascii="Arial" w:cs="Arial" w:eastAsia="Arial" w:hAnsi="Arial"/>
          <w:sz w:val="22"/>
          <w:szCs w:val="22"/>
          <w:u w:val="single" w:color="auto"/>
          <w:color w:val="auto"/>
        </w:rPr>
        <w:t>Quarterly</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Manufacturing Cost Reconciliation</w:t>
      </w:r>
      <w:r>
        <w:rPr>
          <w:rFonts w:ascii="Arial" w:cs="Arial" w:eastAsia="Arial" w:hAnsi="Arial"/>
          <w:sz w:val="22"/>
          <w:szCs w:val="22"/>
          <w:color w:val="auto"/>
        </w:rPr>
        <w:t>”). TMC personnel at the Y6 Facility shall provide a forecast of the Quarterly Manufacturing Cost Reconciliation to the JVs and WD every month.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2" w:lineRule="exact"/>
        <w:rPr>
          <w:rFonts w:ascii="Arial" w:cs="Arial" w:eastAsia="Arial" w:hAnsi="Arial"/>
          <w:sz w:val="22"/>
          <w:szCs w:val="22"/>
          <w:color w:val="auto"/>
        </w:rPr>
      </w:pPr>
    </w:p>
    <w:p>
      <w:pPr>
        <w:ind w:right="120" w:firstLine="8"/>
        <w:spacing w:after="0" w:line="275" w:lineRule="auto"/>
        <w:tabs>
          <w:tab w:leader="none" w:pos="36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6" w:right="239" w:bottom="144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u w:val="single" w:color="auto"/>
          <w:color w:val="auto"/>
        </w:rPr>
        <w:t>8.2 Y6 Manufacturing Cost Allocation Framework</w:t>
      </w:r>
      <w:r>
        <w:rPr>
          <w:rFonts w:ascii="Arial" w:cs="Arial" w:eastAsia="Arial" w:hAnsi="Arial"/>
          <w:sz w:val="22"/>
          <w:szCs w:val="22"/>
          <w:color w:val="auto"/>
        </w:rPr>
        <w:t xml:space="preserve">. Y6 Manufacturing Costs shall be shared by the Parties and shall be either Y6 Fixed Manufacturing Costs or Y6 Variable Manufacturing Costs, in each case as determined in the manner set forth in this </w:t>
      </w:r>
      <w:r>
        <w:rPr>
          <w:rFonts w:ascii="Arial" w:cs="Arial" w:eastAsia="Arial" w:hAnsi="Arial"/>
          <w:sz w:val="22"/>
          <w:szCs w:val="22"/>
          <w:u w:val="single" w:color="auto"/>
          <w:color w:val="auto"/>
        </w:rPr>
        <w:t>Article 8</w:t>
      </w:r>
      <w:r>
        <w:rPr>
          <w:rFonts w:ascii="Arial" w:cs="Arial" w:eastAsia="Arial" w:hAnsi="Arial"/>
          <w:sz w:val="22"/>
          <w:szCs w:val="22"/>
          <w:color w:val="auto"/>
        </w:rPr>
        <w:t>. ****</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8.3 Y6 Manufacturing Cost Allocation Methodology</w:t>
      </w:r>
      <w:r>
        <w:rPr>
          <w:rFonts w:ascii="Arial" w:cs="Arial" w:eastAsia="Arial" w:hAnsi="Arial"/>
          <w:sz w:val="22"/>
          <w:szCs w:val="22"/>
          <w:color w:val="auto"/>
        </w:rPr>
        <w:t>.</w:t>
      </w:r>
    </w:p>
    <w:p>
      <w:pPr>
        <w:spacing w:after="0" w:line="220" w:lineRule="exact"/>
        <w:rPr>
          <w:sz w:val="20"/>
          <w:szCs w:val="20"/>
          <w:color w:val="auto"/>
        </w:rPr>
      </w:pPr>
    </w:p>
    <w:p>
      <w:pPr>
        <w:ind w:left="1760" w:hanging="455"/>
        <w:spacing w:after="0"/>
        <w:tabs>
          <w:tab w:leader="none" w:pos="17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Y6 Manufacturing Costs allocated to Y6 Products will be further allocated as set forth in </w:t>
      </w:r>
      <w:r>
        <w:rPr>
          <w:rFonts w:ascii="Arial" w:cs="Arial" w:eastAsia="Arial" w:hAnsi="Arial"/>
          <w:sz w:val="21"/>
          <w:szCs w:val="21"/>
          <w:u w:val="single" w:color="auto"/>
          <w:color w:val="auto"/>
        </w:rPr>
        <w:t>Section 8.4(b)</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40" w:firstLine="1305"/>
        <w:spacing w:after="0" w:line="253" w:lineRule="auto"/>
        <w:tabs>
          <w:tab w:leader="none" w:pos="176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Within **** after the end of each JV fiscal quarter, TMC shall provide to WD a reconciliation of the allocation of Y6 Manufacturing Costs that reflects **** during the fiscal quarter. TMC personnel at the Y6 Facility will provide a forecast of such quarterly reconciliation to the JVs and WD every month.</w:t>
      </w:r>
    </w:p>
    <w:p>
      <w:pPr>
        <w:spacing w:after="0" w:line="185" w:lineRule="exact"/>
        <w:rPr>
          <w:rFonts w:ascii="Arial" w:cs="Arial" w:eastAsia="Arial" w:hAnsi="Arial"/>
          <w:sz w:val="22"/>
          <w:szCs w:val="22"/>
          <w:color w:val="auto"/>
        </w:rPr>
      </w:pPr>
    </w:p>
    <w:p>
      <w:pPr>
        <w:ind w:right="200" w:firstLine="1305"/>
        <w:spacing w:after="0" w:line="263" w:lineRule="auto"/>
        <w:tabs>
          <w:tab w:leader="none" w:pos="175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In the event that there is **** circumstances warrant a deviation from the allocation methodology set forth in </w:t>
      </w:r>
      <w:r>
        <w:rPr>
          <w:rFonts w:ascii="Arial" w:cs="Arial" w:eastAsia="Arial" w:hAnsi="Arial"/>
          <w:sz w:val="22"/>
          <w:szCs w:val="22"/>
          <w:u w:val="single" w:color="auto"/>
          <w:color w:val="auto"/>
        </w:rPr>
        <w:t>Sections 8.3(a)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8.3(d)</w:t>
      </w:r>
      <w:r>
        <w:rPr>
          <w:rFonts w:ascii="Arial" w:cs="Arial" w:eastAsia="Arial" w:hAnsi="Arial"/>
          <w:sz w:val="22"/>
          <w:szCs w:val="22"/>
          <w:color w:val="auto"/>
        </w:rPr>
        <w:t>, then the Parent Parties shall ****</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8.4 Y6 Product Manufacturing Costs</w:t>
      </w:r>
      <w:r>
        <w:rPr>
          <w:rFonts w:ascii="Arial" w:cs="Arial" w:eastAsia="Arial" w:hAnsi="Arial"/>
          <w:sz w:val="22"/>
          <w:szCs w:val="22"/>
          <w:color w:val="auto"/>
        </w:rPr>
        <w:t>.</w:t>
      </w:r>
    </w:p>
    <w:p>
      <w:pPr>
        <w:spacing w:after="0" w:line="220" w:lineRule="exact"/>
        <w:rPr>
          <w:sz w:val="20"/>
          <w:szCs w:val="20"/>
          <w:color w:val="auto"/>
        </w:rPr>
      </w:pPr>
    </w:p>
    <w:p>
      <w:pPr>
        <w:ind w:left="1760" w:hanging="455"/>
        <w:spacing w:after="0"/>
        <w:tabs>
          <w:tab w:leader="none" w:pos="176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Product Manufacturing Costs</w:t>
      </w:r>
      <w:r>
        <w:rPr>
          <w:rFonts w:ascii="Arial" w:cs="Arial" w:eastAsia="Arial" w:hAnsi="Arial"/>
          <w:sz w:val="22"/>
          <w:szCs w:val="22"/>
          <w:color w:val="auto"/>
        </w:rPr>
        <w:t>” means ****</w:t>
      </w:r>
    </w:p>
    <w:p>
      <w:pPr>
        <w:spacing w:after="0" w:line="219" w:lineRule="exact"/>
        <w:rPr>
          <w:rFonts w:ascii="Arial" w:cs="Arial" w:eastAsia="Arial" w:hAnsi="Arial"/>
          <w:sz w:val="22"/>
          <w:szCs w:val="22"/>
          <w:color w:val="auto"/>
        </w:rPr>
      </w:pPr>
    </w:p>
    <w:p>
      <w:pPr>
        <w:ind w:right="540" w:firstLine="1305"/>
        <w:spacing w:after="0" w:line="263" w:lineRule="auto"/>
        <w:tabs>
          <w:tab w:leader="none" w:pos="175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All Y6 Product Manufacturing Costs will be either Y6 Product Fixed Manufacturing Costs or Y6 Product Variable Manufacturing Costs.</w:t>
      </w:r>
    </w:p>
    <w:p>
      <w:pPr>
        <w:spacing w:after="0" w:line="174" w:lineRule="exact"/>
        <w:rPr>
          <w:rFonts w:ascii="Arial" w:cs="Arial" w:eastAsia="Arial" w:hAnsi="Arial"/>
          <w:sz w:val="22"/>
          <w:szCs w:val="22"/>
          <w:color w:val="auto"/>
        </w:rPr>
      </w:pPr>
    </w:p>
    <w:p>
      <w:pPr>
        <w:ind w:left="2380" w:hanging="427"/>
        <w:spacing w:after="0"/>
        <w:tabs>
          <w:tab w:leader="none" w:pos="2380" w:val="left"/>
        </w:tabs>
        <w:numPr>
          <w:ilvl w:val="2"/>
          <w:numId w:val="149"/>
        </w:numPr>
        <w:rPr>
          <w:rFonts w:ascii="Arial" w:cs="Arial" w:eastAsia="Arial" w:hAnsi="Arial"/>
          <w:sz w:val="22"/>
          <w:szCs w:val="22"/>
          <w:color w:val="auto"/>
        </w:rPr>
      </w:pPr>
      <w:r>
        <w:rPr>
          <w:rFonts w:ascii="Arial" w:cs="Arial" w:eastAsia="Arial" w:hAnsi="Arial"/>
          <w:sz w:val="22"/>
          <w:szCs w:val="22"/>
          <w:u w:val="single" w:color="auto"/>
          <w:color w:val="auto"/>
        </w:rPr>
        <w:t>Y6 Product Fixed Manufacturing Costs</w:t>
      </w:r>
      <w:r>
        <w:rPr>
          <w:rFonts w:ascii="Arial" w:cs="Arial" w:eastAsia="Arial" w:hAnsi="Arial"/>
          <w:sz w:val="22"/>
          <w:szCs w:val="22"/>
          <w:color w:val="auto"/>
        </w:rPr>
        <w:t>. “</w:t>
      </w:r>
      <w:r>
        <w:rPr>
          <w:rFonts w:ascii="Arial" w:cs="Arial" w:eastAsia="Arial" w:hAnsi="Arial"/>
          <w:sz w:val="22"/>
          <w:szCs w:val="22"/>
          <w:u w:val="single" w:color="auto"/>
          <w:color w:val="auto"/>
        </w:rPr>
        <w:t>Y6 Product Fixed Manufacturing Costs</w:t>
      </w:r>
      <w:r>
        <w:rPr>
          <w:rFonts w:ascii="Arial" w:cs="Arial" w:eastAsia="Arial" w:hAnsi="Arial"/>
          <w:sz w:val="22"/>
          <w:szCs w:val="22"/>
          <w:color w:val="auto"/>
        </w:rPr>
        <w:t>” means ****</w:t>
      </w:r>
    </w:p>
    <w:p>
      <w:pPr>
        <w:spacing w:after="0" w:line="219" w:lineRule="exact"/>
        <w:rPr>
          <w:rFonts w:ascii="Arial" w:cs="Arial" w:eastAsia="Arial" w:hAnsi="Arial"/>
          <w:sz w:val="22"/>
          <w:szCs w:val="22"/>
          <w:color w:val="auto"/>
        </w:rPr>
      </w:pPr>
    </w:p>
    <w:p>
      <w:pPr>
        <w:ind w:left="2440" w:hanging="487"/>
        <w:spacing w:after="0"/>
        <w:tabs>
          <w:tab w:leader="none" w:pos="2440" w:val="left"/>
        </w:tabs>
        <w:numPr>
          <w:ilvl w:val="2"/>
          <w:numId w:val="149"/>
        </w:numPr>
        <w:rPr>
          <w:rFonts w:ascii="Arial" w:cs="Arial" w:eastAsia="Arial" w:hAnsi="Arial"/>
          <w:sz w:val="19"/>
          <w:szCs w:val="19"/>
          <w:color w:val="auto"/>
        </w:rPr>
      </w:pPr>
      <w:r>
        <w:rPr>
          <w:rFonts w:ascii="Arial" w:cs="Arial" w:eastAsia="Arial" w:hAnsi="Arial"/>
          <w:sz w:val="19"/>
          <w:szCs w:val="19"/>
          <w:u w:val="single" w:color="auto"/>
          <w:color w:val="auto"/>
        </w:rPr>
        <w:t>Y6 Product Variable Manufacturing Costs</w:t>
      </w:r>
      <w:r>
        <w:rPr>
          <w:rFonts w:ascii="Arial" w:cs="Arial" w:eastAsia="Arial" w:hAnsi="Arial"/>
          <w:sz w:val="19"/>
          <w:szCs w:val="19"/>
          <w:color w:val="auto"/>
        </w:rPr>
        <w:t>. “</w:t>
      </w:r>
      <w:r>
        <w:rPr>
          <w:rFonts w:ascii="Arial" w:cs="Arial" w:eastAsia="Arial" w:hAnsi="Arial"/>
          <w:sz w:val="19"/>
          <w:szCs w:val="19"/>
          <w:u w:val="single" w:color="auto"/>
          <w:color w:val="auto"/>
        </w:rPr>
        <w:t>Y6 Product Variable Manufacturing Costs</w:t>
      </w:r>
      <w:r>
        <w:rPr>
          <w:rFonts w:ascii="Arial" w:cs="Arial" w:eastAsia="Arial" w:hAnsi="Arial"/>
          <w:sz w:val="19"/>
          <w:szCs w:val="19"/>
          <w:color w:val="auto"/>
        </w:rPr>
        <w:t>” means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right="120" w:firstLine="8"/>
        <w:spacing w:after="0" w:line="275" w:lineRule="auto"/>
        <w:tabs>
          <w:tab w:leader="none" w:pos="36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u w:val="single" w:color="auto"/>
          <w:color w:val="auto"/>
        </w:rPr>
        <w:t>8.5 Accounting and Cost Methodology</w:t>
      </w:r>
      <w:r>
        <w:rPr>
          <w:rFonts w:ascii="Arial" w:cs="Arial" w:eastAsia="Arial" w:hAnsi="Arial"/>
          <w:sz w:val="22"/>
          <w:szCs w:val="22"/>
          <w:color w:val="auto"/>
        </w:rPr>
        <w:t>. Y6 Manufacturing Costs methodology will in principle be in accordance with the existing accounting and cost methodology used by the JVs in the Yokkaichi Facility.</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u w:val="single" w:color="auto"/>
          <w:color w:val="auto"/>
        </w:rPr>
        <w:t>8.6 No Duplication of Costs or Expenses</w:t>
      </w:r>
      <w:r>
        <w:rPr>
          <w:rFonts w:ascii="Arial" w:cs="Arial" w:eastAsia="Arial" w:hAnsi="Arial"/>
          <w:sz w:val="19"/>
          <w:szCs w:val="19"/>
          <w:color w:val="auto"/>
        </w:rPr>
        <w:t>. It is the intent of the Parties that any payments made by the Parties under or pursuant to any Master Operative Document shall not be duplicative and that the Parties shall in no event be required to pay or contribute more than once for any service, product or development work provided under the Master Operative Documents, if such service, product or development work is provided under more than one Master Operative Document. In addition, to the extent that a Party makes a direct payment for any service, product or development work under a Master Operative Document, the cost incurred by TMC (from the Yokkaichi Facility) or the JVs, as the case may be, in connection with the provision of such</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service, product or development work shall not be included in the applicable wafer price charged to such Party.</w:t>
      </w:r>
    </w:p>
    <w:p>
      <w:pPr>
        <w:spacing w:after="0" w:line="220" w:lineRule="exact"/>
        <w:rPr>
          <w:sz w:val="20"/>
          <w:szCs w:val="20"/>
          <w:color w:val="auto"/>
        </w:rPr>
      </w:pPr>
    </w:p>
    <w:p>
      <w:pPr>
        <w:ind w:left="660" w:right="5100" w:hanging="652"/>
        <w:spacing w:after="0" w:line="448" w:lineRule="auto"/>
        <w:tabs>
          <w:tab w:leader="none" w:pos="39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FOUNDRY AND PURCHASE AND SUPPLY ARRANGEMENTS </w:t>
      </w:r>
      <w:r>
        <w:rPr>
          <w:rFonts w:ascii="Arial" w:cs="Arial" w:eastAsia="Arial" w:hAnsi="Arial"/>
          <w:sz w:val="22"/>
          <w:szCs w:val="22"/>
          <w:u w:val="single" w:color="auto"/>
          <w:color w:val="auto"/>
        </w:rPr>
        <w:t>9.1 Y6 Foundry Arrangements</w:t>
      </w:r>
      <w:r>
        <w:rPr>
          <w:rFonts w:ascii="Arial" w:cs="Arial" w:eastAsia="Arial" w:hAnsi="Arial"/>
          <w:sz w:val="22"/>
          <w:szCs w:val="22"/>
          <w:color w:val="auto"/>
        </w:rPr>
        <w:t>.</w:t>
      </w:r>
    </w:p>
    <w:p>
      <w:pPr>
        <w:ind w:right="340" w:firstLine="1305"/>
        <w:spacing w:after="0" w:line="248" w:lineRule="auto"/>
        <w:tabs>
          <w:tab w:leader="none" w:pos="1752"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Die Sort, Equipment and Raw Materials</w:t>
      </w:r>
      <w:r>
        <w:rPr>
          <w:rFonts w:ascii="Arial" w:cs="Arial" w:eastAsia="Arial" w:hAnsi="Arial"/>
          <w:sz w:val="22"/>
          <w:szCs w:val="22"/>
          <w:color w:val="auto"/>
        </w:rPr>
        <w:t>. Die sorting facilities will be located at **** or such other place mutually agreed by the Parent Parties. TMC’s use of any of FPL’s, FAL’s and FFL’s manufacturing equipment located in the Y6 Facility in the manufacture of BiCS Products will be governed by the FPL Lease Agreement, the FAL Lease Agreement and the FFL Lease Agreement, respectively. TMC shall be responsible for obtaining the raw materials and services to be used in the manufacture of JV Y6 Products.</w:t>
      </w:r>
    </w:p>
    <w:p>
      <w:pPr>
        <w:spacing w:after="0" w:line="192" w:lineRule="exact"/>
        <w:rPr>
          <w:rFonts w:ascii="Arial" w:cs="Arial" w:eastAsia="Arial" w:hAnsi="Arial"/>
          <w:sz w:val="22"/>
          <w:szCs w:val="22"/>
          <w:color w:val="auto"/>
        </w:rPr>
      </w:pPr>
    </w:p>
    <w:p>
      <w:pPr>
        <w:ind w:firstLine="1305"/>
        <w:spacing w:after="0" w:line="248" w:lineRule="auto"/>
        <w:tabs>
          <w:tab w:leader="none" w:pos="1765"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Foundry Production</w:t>
      </w:r>
      <w:r>
        <w:rPr>
          <w:rFonts w:ascii="Arial" w:cs="Arial" w:eastAsia="Arial" w:hAnsi="Arial"/>
          <w:sz w:val="22"/>
          <w:szCs w:val="22"/>
          <w:color w:val="auto"/>
        </w:rPr>
        <w:t>. TMC shall manufacture BiCS Products at the Y6 Facility for the JVs as ordered by the JVs pursuant to the Foundry Agreements. TMC (from the Yokkaichi Facility) and the JVs shall use their best efforts to achieve the manufacturing capacity set forth in the JV Business Plans, which will include any plans for JV use of cleanroom space in the Y6 Facility. Wafers produced in the Y6 Facility will be sorted between the Parent Parties such that aggregate yield losses will be shared on an equal basis.</w:t>
      </w:r>
    </w:p>
    <w:p>
      <w:pPr>
        <w:spacing w:after="0" w:line="192" w:lineRule="exact"/>
        <w:rPr>
          <w:rFonts w:ascii="Arial" w:cs="Arial" w:eastAsia="Arial" w:hAnsi="Arial"/>
          <w:sz w:val="22"/>
          <w:szCs w:val="22"/>
          <w:color w:val="auto"/>
        </w:rPr>
      </w:pPr>
    </w:p>
    <w:p>
      <w:pPr>
        <w:ind w:right="480" w:firstLine="1305"/>
        <w:spacing w:after="0" w:line="263" w:lineRule="auto"/>
        <w:tabs>
          <w:tab w:leader="none" w:pos="1752"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Operating Relationship</w:t>
      </w:r>
      <w:r>
        <w:rPr>
          <w:rFonts w:ascii="Arial" w:cs="Arial" w:eastAsia="Arial" w:hAnsi="Arial"/>
          <w:sz w:val="22"/>
          <w:szCs w:val="22"/>
          <w:color w:val="auto"/>
        </w:rPr>
        <w:t xml:space="preserve">. The Parent Parties shall provide personnel necessary for the manufacture of BiCS Products for and on behalf of the JVs as described in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Consideration to be Paid to TMC</w:t>
      </w:r>
      <w:r>
        <w:rPr>
          <w:rFonts w:ascii="Arial" w:cs="Arial" w:eastAsia="Arial" w:hAnsi="Arial"/>
          <w:sz w:val="21"/>
          <w:szCs w:val="21"/>
          <w:color w:val="auto"/>
        </w:rPr>
        <w:t>. TMC shall be compensated by the JVs as provided in the Foundry</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Agreements, ****</w:t>
      </w:r>
    </w:p>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u w:val="single" w:color="auto"/>
          <w:color w:val="auto"/>
        </w:rPr>
        <w:t>9.2 Purchase and Supply Agreements</w:t>
      </w:r>
      <w:r>
        <w:rPr>
          <w:rFonts w:ascii="Arial" w:cs="Arial" w:eastAsia="Arial" w:hAnsi="Arial"/>
          <w:sz w:val="19"/>
          <w:szCs w:val="19"/>
          <w:color w:val="auto"/>
        </w:rPr>
        <w:t>. For the avoidance of doubt, the rights, obligations and procedures for the purchase by the Parent Parties from FPL, FAL and FFL of JV BiCS Products manufactured in whole or in part at the Y6 Facility shall be as set forth in the FPL Purchase and Supply Agreements, the FAL Purchase and Supply Agreements and the FFL Purchase and Supply Agreements, respectively, of TMC (in the case of TMC) and the applicable SanDisk party (in the case of WD).</w:t>
      </w:r>
    </w:p>
    <w:p>
      <w:pPr>
        <w:spacing w:after="0" w:line="143"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u w:val="single" w:color="auto"/>
          <w:color w:val="auto"/>
        </w:rPr>
        <w:t>9.3 Equal Right to JV Production</w:t>
      </w:r>
      <w:r>
        <w:rPr>
          <w:rFonts w:ascii="Arial" w:cs="Arial" w:eastAsia="Arial" w:hAnsi="Arial"/>
          <w:sz w:val="19"/>
          <w:szCs w:val="19"/>
          <w:color w:val="auto"/>
        </w:rPr>
        <w:t>. For the avoidance of doubt, TMC, on one hand, and WD and SanDisk, on the other hand, shall have the right and obligation, through the JVs, to utilize 50% of the manufacturing capacity for JV BiCS Products manufactured in whole or in part at the Y6 Facility, on an Equivalent Lot basis, as provided in the JV Master Agreements.</w:t>
      </w:r>
    </w:p>
    <w:p>
      <w:pPr>
        <w:spacing w:after="0" w:line="134"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u w:val="single" w:color="auto"/>
          <w:color w:val="auto"/>
        </w:rPr>
        <w:t>9.4 Y6 Product Output Allocation</w:t>
      </w:r>
      <w:r>
        <w:rPr>
          <w:rFonts w:ascii="Arial" w:cs="Arial" w:eastAsia="Arial" w:hAnsi="Arial"/>
          <w:sz w:val="22"/>
          <w:szCs w:val="22"/>
          <w:color w:val="auto"/>
        </w:rPr>
        <w:t xml:space="preserve">. The actual monthly lot output of Y6 Products shall be allocated among the JVs, TMC and WD, as applicable, based on the Y6 Capacity Ratio; </w:t>
      </w:r>
      <w:r>
        <w:rPr>
          <w:rFonts w:ascii="Arial" w:cs="Arial" w:eastAsia="Arial" w:hAnsi="Arial"/>
          <w:sz w:val="22"/>
          <w:szCs w:val="22"/>
          <w:u w:val="single" w:color="auto"/>
          <w:color w:val="auto"/>
        </w:rPr>
        <w:t>provided</w:t>
      </w:r>
      <w:r>
        <w:rPr>
          <w:rFonts w:ascii="Arial" w:cs="Arial" w:eastAsia="Arial" w:hAnsi="Arial"/>
          <w:sz w:val="22"/>
          <w:szCs w:val="22"/>
          <w:color w:val="auto"/>
        </w:rPr>
        <w:t>, that during any month in which the planned production capacity of Y6 Products is ****, TMC and WD will be allocated output of such Y6 Products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40" w:top="126" w:right="23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u w:val="single" w:color="auto"/>
          <w:color w:val="auto"/>
        </w:rPr>
        <w:t>9.5 Alternative Use of Allocated Capacity</w:t>
      </w:r>
      <w:r>
        <w:rPr>
          <w:rFonts w:ascii="Arial" w:cs="Arial" w:eastAsia="Arial" w:hAnsi="Arial"/>
          <w:sz w:val="22"/>
          <w:szCs w:val="22"/>
          <w:color w:val="auto"/>
        </w:rPr>
        <w:t>. For the avoidance of doubt, any alternative use of a Party’s allotted manufacturing capacity for JV BiCS Products within the Y6 Facility will be as permitted in, and subject to and governed by the terms of, the applicable JV’s JV Master Agreement.</w:t>
      </w:r>
    </w:p>
    <w:p>
      <w:pPr>
        <w:spacing w:after="0" w:line="186" w:lineRule="exact"/>
        <w:rPr>
          <w:sz w:val="20"/>
          <w:szCs w:val="20"/>
          <w:color w:val="auto"/>
        </w:rPr>
      </w:pPr>
    </w:p>
    <w:p>
      <w:pPr>
        <w:ind w:left="660" w:right="7620" w:hanging="652"/>
        <w:spacing w:after="0" w:line="448" w:lineRule="auto"/>
        <w:tabs>
          <w:tab w:leader="none" w:pos="49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RESEARCH AND DEVELOPMENT 10.1 ****</w:t>
      </w:r>
    </w:p>
    <w:p>
      <w:pPr>
        <w:ind w:left="660"/>
        <w:spacing w:after="0"/>
        <w:rPr>
          <w:rFonts w:ascii="Arial" w:cs="Arial" w:eastAsia="Arial" w:hAnsi="Arial"/>
          <w:sz w:val="22"/>
          <w:szCs w:val="22"/>
          <w:color w:val="auto"/>
        </w:rPr>
      </w:pPr>
      <w:r>
        <w:rPr>
          <w:rFonts w:ascii="Arial" w:cs="Arial" w:eastAsia="Arial" w:hAnsi="Arial"/>
          <w:sz w:val="22"/>
          <w:szCs w:val="22"/>
          <w:color w:val="auto"/>
        </w:rPr>
        <w:t>10.2   ****</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10.3   ****</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10.4   ****</w:t>
      </w:r>
    </w:p>
    <w:p>
      <w:pPr>
        <w:spacing w:after="0" w:line="220"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No Change to Common R&amp;D</w:t>
      </w:r>
      <w:r>
        <w:rPr>
          <w:rFonts w:ascii="Arial" w:cs="Arial" w:eastAsia="Arial" w:hAnsi="Arial"/>
          <w:sz w:val="22"/>
          <w:szCs w:val="22"/>
          <w:color w:val="auto"/>
        </w:rPr>
        <w:t xml:space="preserve">. Except as set forth in this </w:t>
      </w:r>
      <w:r>
        <w:rPr>
          <w:rFonts w:ascii="Arial" w:cs="Arial" w:eastAsia="Arial" w:hAnsi="Arial"/>
          <w:sz w:val="22"/>
          <w:szCs w:val="22"/>
          <w:u w:val="single" w:color="auto"/>
          <w:color w:val="auto"/>
        </w:rPr>
        <w:t>Article 10</w:t>
      </w:r>
      <w:r>
        <w:rPr>
          <w:rFonts w:ascii="Arial" w:cs="Arial" w:eastAsia="Arial" w:hAnsi="Arial"/>
          <w:sz w:val="22"/>
          <w:szCs w:val="22"/>
          <w:color w:val="auto"/>
        </w:rPr>
        <w:t>, or as may be otherwise agreed in writing between the Parties, the Common R&amp;D Agreement shall continue in full force and effect in accordance with its terms, and the agreements regarding equipment, materials and development provided for in the Common R&amp;D Agreement shall continue to be part of the Common R&amp;D Agreement.</w:t>
      </w:r>
    </w:p>
    <w:p>
      <w:pPr>
        <w:spacing w:after="0" w:line="18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Y6 INFORMATION AND DATA SHARING</w:t>
      </w:r>
    </w:p>
    <w:p>
      <w:pPr>
        <w:spacing w:after="0" w:line="220"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u w:val="single" w:color="auto"/>
          <w:color w:val="auto"/>
        </w:rPr>
        <w:t>11.1 Management and Operating Reports</w:t>
      </w:r>
      <w:r>
        <w:rPr>
          <w:rFonts w:ascii="Arial" w:cs="Arial" w:eastAsia="Arial" w:hAnsi="Arial"/>
          <w:sz w:val="21"/>
          <w:szCs w:val="21"/>
          <w:color w:val="auto"/>
        </w:rPr>
        <w:t xml:space="preserve">. Upon the request of either TMC or WD, the Y6 Operating Committee shall provide TMC and WD with, simultaneously in Japanese and English, those management and operating reports identified on </w:t>
      </w:r>
      <w:r>
        <w:rPr>
          <w:rFonts w:ascii="Arial" w:cs="Arial" w:eastAsia="Arial" w:hAnsi="Arial"/>
          <w:sz w:val="21"/>
          <w:szCs w:val="21"/>
          <w:u w:val="single" w:color="auto"/>
          <w:color w:val="auto"/>
        </w:rPr>
        <w:t>Schedule 11.1</w:t>
      </w:r>
      <w:r>
        <w:rPr>
          <w:rFonts w:ascii="Arial" w:cs="Arial" w:eastAsia="Arial" w:hAnsi="Arial"/>
          <w:sz w:val="21"/>
          <w:szCs w:val="21"/>
          <w:color w:val="auto"/>
        </w:rPr>
        <w:t xml:space="preserve"> and as mutually agreed upon from time to time by the Parent Parties. Upon reasonable request from WD, TMC employees shall explain such reports to employees of WD and its Subsidiaries and respond to questions from employees of WD and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WD acknowledges and agrees that TMC will not be responsible for WD’s or any of its Subsidiaries’ failure to understand any such reports.</w:t>
      </w:r>
    </w:p>
    <w:p>
      <w:pPr>
        <w:spacing w:after="0" w:line="180" w:lineRule="exact"/>
        <w:rPr>
          <w:sz w:val="20"/>
          <w:szCs w:val="20"/>
          <w:color w:val="auto"/>
        </w:rPr>
      </w:pPr>
    </w:p>
    <w:p>
      <w:pPr>
        <w:jc w:val="both"/>
        <w:ind w:right="340" w:firstLine="648"/>
        <w:spacing w:after="0" w:line="271" w:lineRule="auto"/>
        <w:rPr>
          <w:sz w:val="20"/>
          <w:szCs w:val="20"/>
          <w:color w:val="auto"/>
        </w:rPr>
      </w:pPr>
      <w:r>
        <w:rPr>
          <w:rFonts w:ascii="Arial" w:cs="Arial" w:eastAsia="Arial" w:hAnsi="Arial"/>
          <w:sz w:val="21"/>
          <w:szCs w:val="21"/>
          <w:u w:val="single" w:color="auto"/>
          <w:color w:val="auto"/>
        </w:rPr>
        <w:t>11.2 Production Control; Access to Y6 Data</w:t>
      </w:r>
      <w:r>
        <w:rPr>
          <w:rFonts w:ascii="Arial" w:cs="Arial" w:eastAsia="Arial" w:hAnsi="Arial"/>
          <w:sz w:val="21"/>
          <w:szCs w:val="21"/>
          <w:color w:val="auto"/>
        </w:rPr>
        <w:t xml:space="preserve">. TMC shall provide, consistent with past practice, employees of WD and its Subsidiaries ****;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cost necessary for making such system available to such employees will be borne by ****. Each Party will be provided the same real-time access to Y6 data relating to JV Products.</w:t>
      </w:r>
    </w:p>
    <w:p>
      <w:pPr>
        <w:spacing w:after="0" w:line="168"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u w:val="single" w:color="auto"/>
          <w:color w:val="auto"/>
        </w:rPr>
        <w:t>11.3 Engineering Wafers</w:t>
      </w:r>
      <w:r>
        <w:rPr>
          <w:rFonts w:ascii="Arial" w:cs="Arial" w:eastAsia="Arial" w:hAnsi="Arial"/>
          <w:sz w:val="22"/>
          <w:szCs w:val="22"/>
          <w:color w:val="auto"/>
        </w:rPr>
        <w:t>. Each of the Parent Parties will have full access to all operational and engineering data and reports related to engineering wafers manufactured for JV Products manufactured at the Y6 Facility.</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u w:val="single" w:color="auto"/>
          <w:color w:val="auto"/>
        </w:rPr>
        <w:t>11.4 Unilateral Capacity Data</w:t>
      </w:r>
      <w:r>
        <w:rPr>
          <w:rFonts w:ascii="Arial" w:cs="Arial" w:eastAsia="Arial" w:hAnsi="Arial"/>
          <w:sz w:val="22"/>
          <w:szCs w:val="22"/>
          <w:color w:val="auto"/>
        </w:rPr>
        <w:t>. For any Toshiba Capacity in the Y6 Facility, TMC shall provide to the JVs all data necessary to determine whether the Toshiba Capacity is being operated ****, including but not limited to ****.</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MODIFICATIONS TO CERTAIN MASTER OPERATIVE DOCUMENTS</w:t>
      </w:r>
    </w:p>
    <w:p>
      <w:pPr>
        <w:spacing w:after="0" w:line="220"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To update their agreement as expressed in certain of the Master Operative Documents to, among other things, take into account the Y6 Facility and to provide for the installation of tools and utilization of clean room space by each of the JVs within the Y6 Facility, the Parties agree that the Master Operative Documents are hereby amended as set forth below.</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12.1 JV Master Agreements</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59" w:lineRule="auto"/>
        <w:tabs>
          <w:tab w:leader="none" w:pos="1752"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Proprietary Flash Products</w:t>
      </w:r>
      <w:r>
        <w:rPr>
          <w:rFonts w:ascii="Arial" w:cs="Arial" w:eastAsia="Arial" w:hAnsi="Arial"/>
          <w:sz w:val="21"/>
          <w:szCs w:val="21"/>
          <w:color w:val="auto"/>
        </w:rPr>
        <w:t>. The rights of each Parent Party under the JV Agreements to use a portion of its total allocated capacity in the Y3 Facility, the Y4 Facility and from the JV Space in the Y5 Facility and the New Y2 Facility to cause to be manufactured Proprietary Flash Products, subject to the conditions and limitations set forth in the JV Agreements, are hereby extended to the JV Space in the Y6 Facility. Each Parent Party may use a portion of its total allocated capacity from the JV Space in the Y6 Facility to cause to be manufactured Proprietary Flash Products, subject to each of the limitations, conditions and Parent Party undertakings in respect of Proprietary Flash Products provided under the applicable JV Master Agreement, as amended by the New Y2 Agreement, for the manufacture of Proprietary Flash Products in the Yokkaichi Facility. If a Parent Party requests a modification to the limitations, conditions and undertakings for the manufacture of Proprietary Flash Products, the Parent Parties will discuss such requested modification.</w:t>
      </w:r>
    </w:p>
    <w:p>
      <w:pPr>
        <w:spacing w:after="0" w:line="180" w:lineRule="exact"/>
        <w:rPr>
          <w:rFonts w:ascii="Arial" w:cs="Arial" w:eastAsia="Arial" w:hAnsi="Arial"/>
          <w:sz w:val="21"/>
          <w:szCs w:val="21"/>
          <w:color w:val="auto"/>
        </w:rPr>
      </w:pPr>
    </w:p>
    <w:p>
      <w:pPr>
        <w:ind w:right="40" w:firstLine="1305"/>
        <w:spacing w:after="0" w:line="246" w:lineRule="auto"/>
        <w:tabs>
          <w:tab w:leader="none" w:pos="1765"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Engineering Wafers</w:t>
      </w:r>
      <w:r>
        <w:rPr>
          <w:rFonts w:ascii="Arial" w:cs="Arial" w:eastAsia="Arial" w:hAnsi="Arial"/>
          <w:sz w:val="22"/>
          <w:szCs w:val="22"/>
          <w:color w:val="auto"/>
        </w:rPr>
        <w:t>. The rights of the Parent Parties to receive Evaluation Wafers and Qualification Wafers (each as defined in the JV Master Agreements) under the JV Master Agreements apply to Evaluation Wafers and Qualification Wafers manufactured in the Y6 Facility. For the avoidance of doubt, WD may ship its share of Evaluation Wafers and Qualification Wafers to any location in its sole discretion subject to any terms and conditions of the Master Operative Documents that relate or apply to the shipment of Evaluation Wafers or Qualification Wafers by SanDisk, including applicable export control requirements; provided, that any such shipment by WD shall comply with applicable shipping procedures at the Yokkaichi Facility consistent with past practice.</w:t>
      </w:r>
    </w:p>
    <w:p>
      <w:pPr>
        <w:spacing w:after="0" w:line="197" w:lineRule="exact"/>
        <w:rPr>
          <w:rFonts w:ascii="Arial" w:cs="Arial" w:eastAsia="Arial" w:hAnsi="Arial"/>
          <w:sz w:val="22"/>
          <w:szCs w:val="22"/>
          <w:color w:val="auto"/>
        </w:rPr>
      </w:pPr>
    </w:p>
    <w:p>
      <w:pPr>
        <w:ind w:right="60" w:firstLine="1305"/>
        <w:spacing w:after="0" w:line="250" w:lineRule="auto"/>
        <w:tabs>
          <w:tab w:leader="none" w:pos="1752"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Y3, Y4, Y5 and New Y2 Capacity Ratios</w:t>
      </w:r>
      <w:r>
        <w:rPr>
          <w:rFonts w:ascii="Arial" w:cs="Arial" w:eastAsia="Arial" w:hAnsi="Arial"/>
          <w:sz w:val="22"/>
          <w:szCs w:val="22"/>
          <w:color w:val="auto"/>
        </w:rPr>
        <w:t xml:space="preserve">. The capacity ratios used to calculate output and cost allocation for the Y3 Facility, the Y4 Facility, the Y5 Facility and the New Y2 Facility as set forth in Schedule 12.2(d) to the New Y2 Agreement are hereby replaced with the capacity ratios initially set forth on </w:t>
      </w:r>
      <w:r>
        <w:rPr>
          <w:rFonts w:ascii="Arial" w:cs="Arial" w:eastAsia="Arial" w:hAnsi="Arial"/>
          <w:sz w:val="22"/>
          <w:szCs w:val="22"/>
          <w:u w:val="single" w:color="auto"/>
          <w:color w:val="auto"/>
        </w:rPr>
        <w:t>Schedule 12.1(c)</w:t>
      </w:r>
      <w:r>
        <w:rPr>
          <w:rFonts w:ascii="Arial" w:cs="Arial" w:eastAsia="Arial" w:hAnsi="Arial"/>
          <w:sz w:val="22"/>
          <w:szCs w:val="22"/>
          <w:color w:val="auto"/>
        </w:rPr>
        <w:t xml:space="preserve"> to this Agreement and updated from time to time by the Parent Parties as mutually agreed.</w:t>
      </w:r>
    </w:p>
    <w:p>
      <w:pPr>
        <w:spacing w:after="0" w:line="188" w:lineRule="exact"/>
        <w:rPr>
          <w:rFonts w:ascii="Arial" w:cs="Arial" w:eastAsia="Arial" w:hAnsi="Arial"/>
          <w:sz w:val="22"/>
          <w:szCs w:val="22"/>
          <w:color w:val="auto"/>
        </w:rPr>
      </w:pPr>
    </w:p>
    <w:p>
      <w:pPr>
        <w:ind w:left="1780" w:hanging="475"/>
        <w:spacing w:after="0"/>
        <w:tabs>
          <w:tab w:leader="none" w:pos="17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80" w:firstLine="1305"/>
        <w:spacing w:after="0" w:line="291" w:lineRule="auto"/>
        <w:tabs>
          <w:tab w:leader="none" w:pos="1752"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Ramp Down; Termination Capacity</w:t>
      </w:r>
      <w:r>
        <w:rPr>
          <w:rFonts w:ascii="Arial" w:cs="Arial" w:eastAsia="Arial" w:hAnsi="Arial"/>
          <w:sz w:val="19"/>
          <w:szCs w:val="19"/>
          <w:color w:val="auto"/>
        </w:rPr>
        <w:t>. For the avoidance of doubt, with respect to the obligations of the Parent Parties under (i) Sections 8.1(d)(i), 8.1(e)(i), and 8.1(f)(i) of the FAL Master Agreement, (ii) Sections 8.1(d)(i), 8.1(e)(i), and 8.1(f)</w:t>
      </w:r>
    </w:p>
    <w:p>
      <w:pPr>
        <w:spacing w:after="0" w:line="1" w:lineRule="exact"/>
        <w:rPr>
          <w:rFonts w:ascii="Arial" w:cs="Arial" w:eastAsia="Arial" w:hAnsi="Arial"/>
          <w:sz w:val="19"/>
          <w:szCs w:val="19"/>
          <w:color w:val="auto"/>
        </w:rPr>
      </w:pPr>
    </w:p>
    <w:p>
      <w:pPr>
        <w:ind w:right="120" w:firstLine="8"/>
        <w:spacing w:after="0" w:line="245" w:lineRule="auto"/>
        <w:tabs>
          <w:tab w:leader="none" w:pos="25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of the FPL Master Agreement and (iii) Sections 9.1(d)(i) and 9.1(f)(i) of the FFL Master Agreement to continue to manufacture NAND Flash Memory Products and BiCS Products in the event of a termination of such JV Master Agreement under the circumstances described therein, the Termination Capacity</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for NAND Flash Memory Products and the Termination Capacity for BiCS Products shall take into account the Requesting Party’s (as defined in the applicable JV Master Agreement) NAND Flash Memory Products capacity allocation and BiCS Products capacity allocation, respectively, available from the applicable JV in the Y6 Facility.</w:t>
      </w:r>
    </w:p>
    <w:p>
      <w:pPr>
        <w:spacing w:after="0" w:line="18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u w:val="single" w:color="auto"/>
          <w:color w:val="auto"/>
        </w:rPr>
        <w:t>12.2 JV Operating Agreements; Management and Operating Reports</w:t>
      </w:r>
      <w:r>
        <w:rPr>
          <w:rFonts w:ascii="Arial" w:cs="Arial" w:eastAsia="Arial" w:hAnsi="Arial"/>
          <w:sz w:val="22"/>
          <w:szCs w:val="22"/>
          <w:color w:val="auto"/>
        </w:rPr>
        <w:t>. The management and operating reports identified on Schedule 5.3 to each JV Operating Agreement will take into account any utilization by FPL, FAL and FFL, as applicable, of the JV Space in the Y6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12.3 JV Foundry Agreements</w:t>
      </w:r>
      <w:r>
        <w:rPr>
          <w:rFonts w:ascii="Arial" w:cs="Arial" w:eastAsia="Arial" w:hAnsi="Arial"/>
          <w:sz w:val="22"/>
          <w:szCs w:val="22"/>
          <w:color w:val="auto"/>
        </w:rPr>
        <w:t>.</w:t>
      </w:r>
    </w:p>
    <w:p>
      <w:pPr>
        <w:spacing w:after="0" w:line="220" w:lineRule="exact"/>
        <w:rPr>
          <w:sz w:val="20"/>
          <w:szCs w:val="20"/>
          <w:color w:val="auto"/>
        </w:rPr>
      </w:pPr>
    </w:p>
    <w:p>
      <w:pPr>
        <w:ind w:right="160" w:firstLine="1305"/>
        <w:spacing w:after="0" w:line="263" w:lineRule="auto"/>
        <w:tabs>
          <w:tab w:leader="none" w:pos="174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reference to JV Y5 NAND Flash Memory Products in Article 5 of the FFL Foundry Agreement is hereby revised to include JV Y6 BiCS Products manufactured for FFL.</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Purchases from TMC by:</w:t>
      </w:r>
    </w:p>
    <w:p>
      <w:pPr>
        <w:spacing w:after="0" w:line="219" w:lineRule="exact"/>
        <w:rPr>
          <w:rFonts w:ascii="Arial" w:cs="Arial" w:eastAsia="Arial" w:hAnsi="Arial"/>
          <w:sz w:val="22"/>
          <w:szCs w:val="22"/>
          <w:color w:val="auto"/>
        </w:rPr>
      </w:pPr>
    </w:p>
    <w:p>
      <w:pPr>
        <w:ind w:right="60" w:firstLine="1953"/>
        <w:spacing w:after="0" w:line="312" w:lineRule="auto"/>
        <w:tabs>
          <w:tab w:leader="none" w:pos="236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FPL of JV Y6 BiCS Products manufactured for FPL shall be made in accordance with the terms of the FPL Foundry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prices and manufacturing costs for JV Y6 BiCS Products manufactured for FPL shall be calculated and allocated in accordance with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w:t>
      </w:r>
    </w:p>
    <w:p>
      <w:pPr>
        <w:spacing w:after="0" w:line="133" w:lineRule="exact"/>
        <w:rPr>
          <w:rFonts w:ascii="Arial" w:cs="Arial" w:eastAsia="Arial" w:hAnsi="Arial"/>
          <w:sz w:val="19"/>
          <w:szCs w:val="19"/>
          <w:color w:val="auto"/>
        </w:rPr>
      </w:pPr>
    </w:p>
    <w:p>
      <w:pPr>
        <w:jc w:val="both"/>
        <w:ind w:right="40" w:firstLine="1953"/>
        <w:spacing w:after="0" w:line="312" w:lineRule="auto"/>
        <w:tabs>
          <w:tab w:leader="none" w:pos="242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FAL of JV Y6 BiCS Products manufactured for FAL shall be made in accordance with the terms of the FAL Foundry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prices and manufacturing costs for JV Y6 BiCS Products manufactured for FAL shall be calculated and allocated in accordance with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 and</w:t>
      </w:r>
    </w:p>
    <w:p>
      <w:pPr>
        <w:sectPr>
          <w:pgSz w:w="11900" w:h="16838" w:orient="portrait"/>
          <w:cols w:equalWidth="0" w:num="1">
            <w:col w:w="11420"/>
          </w:cols>
          <w:pgMar w:left="240" w:top="126" w:right="239" w:bottom="2" w:gutter="0" w:footer="0" w:header="0"/>
        </w:sectPr>
      </w:pPr>
    </w:p>
    <w:bookmarkStart w:id="161" w:name="page162"/>
    <w:bookmarkEnd w:id="161"/>
    <w:p>
      <w:pPr>
        <w:jc w:val="both"/>
        <w:ind w:left="-8" w:firstLine="1953"/>
        <w:spacing w:after="0" w:line="312" w:lineRule="auto"/>
        <w:tabs>
          <w:tab w:leader="none" w:pos="2477"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FFL of JV Y6 BiCS Products manufactured for FFL shall be made in accordance with the terms of the FFL Foundry Agreement for purchases of Products (as defined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prices and manufacturing costs for JV Y6 BiCS Products manufactured for FFL shall be calculated and allocated in accordance with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hereof.</w:t>
      </w:r>
    </w:p>
    <w:p>
      <w:pPr>
        <w:spacing w:after="0" w:line="133" w:lineRule="exact"/>
        <w:rPr>
          <w:rFonts w:ascii="Arial" w:cs="Arial" w:eastAsia="Arial" w:hAnsi="Arial"/>
          <w:sz w:val="19"/>
          <w:szCs w:val="19"/>
          <w:color w:val="auto"/>
        </w:rPr>
      </w:pPr>
    </w:p>
    <w:p>
      <w:pPr>
        <w:ind w:left="1752" w:hanging="455"/>
        <w:spacing w:after="0"/>
        <w:tabs>
          <w:tab w:leader="none" w:pos="175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652"/>
        <w:spacing w:after="0"/>
        <w:tabs>
          <w:tab w:leader="none" w:pos="1232"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JV Purchase and Supply Agreements</w:t>
      </w:r>
      <w:r>
        <w:rPr>
          <w:rFonts w:ascii="Arial" w:cs="Arial" w:eastAsia="Arial" w:hAnsi="Arial"/>
          <w:sz w:val="19"/>
          <w:szCs w:val="19"/>
          <w:color w:val="auto"/>
        </w:rPr>
        <w:t>.</w:t>
      </w:r>
    </w:p>
    <w:p>
      <w:pPr>
        <w:spacing w:after="0" w:line="220" w:lineRule="exact"/>
        <w:rPr>
          <w:sz w:val="20"/>
          <w:szCs w:val="20"/>
          <w:color w:val="auto"/>
        </w:rPr>
      </w:pPr>
    </w:p>
    <w:p>
      <w:pPr>
        <w:ind w:left="-8" w:right="160" w:firstLine="1305"/>
        <w:spacing w:after="0" w:line="343" w:lineRule="auto"/>
        <w:tabs>
          <w:tab w:leader="none" w:pos="174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capitalized term “Products” in the FFL Purchase and Supply Agreements is hereby revised to include JV Y6 BiCS Products manufactured for FFL in accordance with the Purchase Specification as thereinafter defined.</w:t>
      </w:r>
    </w:p>
    <w:p>
      <w:pPr>
        <w:spacing w:after="0" w:line="104" w:lineRule="exact"/>
        <w:rPr>
          <w:rFonts w:ascii="Arial" w:cs="Arial" w:eastAsia="Arial" w:hAnsi="Arial"/>
          <w:sz w:val="19"/>
          <w:szCs w:val="19"/>
          <w:color w:val="auto"/>
        </w:rPr>
      </w:pPr>
    </w:p>
    <w:p>
      <w:pPr>
        <w:ind w:left="1772" w:hanging="475"/>
        <w:spacing w:after="0"/>
        <w:tabs>
          <w:tab w:leader="none" w:pos="177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Purchases by TMC or WD from:</w:t>
      </w:r>
    </w:p>
    <w:p>
      <w:pPr>
        <w:spacing w:after="0" w:line="219" w:lineRule="exact"/>
        <w:rPr>
          <w:rFonts w:ascii="Arial" w:cs="Arial" w:eastAsia="Arial" w:hAnsi="Arial"/>
          <w:sz w:val="22"/>
          <w:szCs w:val="22"/>
          <w:color w:val="auto"/>
        </w:rPr>
      </w:pPr>
    </w:p>
    <w:p>
      <w:pPr>
        <w:ind w:left="-8" w:right="120" w:firstLine="1953"/>
        <w:spacing w:after="0" w:line="263" w:lineRule="auto"/>
        <w:tabs>
          <w:tab w:leader="none" w:pos="2357" w:val="left"/>
        </w:tabs>
        <w:numPr>
          <w:ilvl w:val="1"/>
          <w:numId w:val="159"/>
        </w:numPr>
        <w:rPr>
          <w:rFonts w:ascii="Arial" w:cs="Arial" w:eastAsia="Arial" w:hAnsi="Arial"/>
          <w:sz w:val="22"/>
          <w:szCs w:val="22"/>
          <w:color w:val="auto"/>
        </w:rPr>
      </w:pPr>
      <w:r>
        <w:rPr>
          <w:rFonts w:ascii="Arial" w:cs="Arial" w:eastAsia="Arial" w:hAnsi="Arial"/>
          <w:sz w:val="22"/>
          <w:szCs w:val="22"/>
          <w:color w:val="auto"/>
        </w:rPr>
        <w:t>FPL of JV Y6 BiCS Products manufactured for FPL shall be made in accordance with the terms of the TMC’s (in the case of TMC) and SanDisk Cayman’s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326390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 w:right="60" w:firstLine="8"/>
        <w:spacing w:after="0" w:line="275" w:lineRule="auto"/>
        <w:tabs>
          <w:tab w:leader="none" w:pos="35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52"/>
          </w:cols>
          <w:pgMar w:left="248" w:top="132" w:right="29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5" w:lineRule="auto"/>
        <w:rPr>
          <w:sz w:val="20"/>
          <w:szCs w:val="20"/>
          <w:color w:val="auto"/>
        </w:rPr>
      </w:pPr>
      <w:r>
        <w:rPr>
          <w:rFonts w:ascii="Arial" w:cs="Arial" w:eastAsia="Arial" w:hAnsi="Arial"/>
          <w:sz w:val="21"/>
          <w:szCs w:val="21"/>
          <w:color w:val="auto"/>
        </w:rPr>
        <w:t xml:space="preserve">case of WD, as if WD were SanDisk Cayman) FPL Purchase and Supply Agreement for purchases of Products (as defined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such purchases of JV Y6 BiCS Products manufactured for FPL, any price or charge that is calculated or determined under Article 4 (“Purchase Prices of Products; Title Transfer”) of the FPL Purchase and Supply Agreement based on Article 4 of the FPL Foundry Agreement shall instead be based on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hereof;</w:t>
      </w:r>
    </w:p>
    <w:p>
      <w:pPr>
        <w:spacing w:after="0" w:line="176" w:lineRule="exact"/>
        <w:rPr>
          <w:sz w:val="20"/>
          <w:szCs w:val="20"/>
          <w:color w:val="auto"/>
        </w:rPr>
      </w:pPr>
    </w:p>
    <w:p>
      <w:pPr>
        <w:ind w:firstLine="1953"/>
        <w:spacing w:after="0" w:line="247" w:lineRule="auto"/>
        <w:tabs>
          <w:tab w:leader="none" w:pos="2425" w:val="left"/>
        </w:tabs>
        <w:numPr>
          <w:ilvl w:val="1"/>
          <w:numId w:val="161"/>
        </w:numPr>
        <w:rPr>
          <w:rFonts w:ascii="Arial" w:cs="Arial" w:eastAsia="Arial" w:hAnsi="Arial"/>
          <w:sz w:val="22"/>
          <w:szCs w:val="22"/>
          <w:color w:val="auto"/>
        </w:rPr>
      </w:pPr>
      <w:r>
        <w:rPr>
          <w:rFonts w:ascii="Arial" w:cs="Arial" w:eastAsia="Arial" w:hAnsi="Arial"/>
          <w:sz w:val="22"/>
          <w:szCs w:val="22"/>
          <w:color w:val="auto"/>
        </w:rPr>
        <w:t xml:space="preserve">FAL of JV Y6 BiCS Products manufactured for FAL shall be made in accordance with the terms of the TMC’s (in the case of TMC) and SanDisk Ireland’s (in the case of WD, as if WD were SanDisk Ireland) FAL Purchase and Supply Agreement for purchases of Products (as defined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such purchases of JV Y6 BiCS Products manufactured for FAL, any price or charge that is calculated or determined under Article 4 (“Purchase Prices of Products; Title Transfer”) of the FAL Purchase and Supply Agreement based on Article 4 of the FAL Foundry Agreement shall instead be based on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hereof; and</w:t>
      </w:r>
    </w:p>
    <w:p>
      <w:pPr>
        <w:spacing w:after="0" w:line="193" w:lineRule="exact"/>
        <w:rPr>
          <w:rFonts w:ascii="Arial" w:cs="Arial" w:eastAsia="Arial" w:hAnsi="Arial"/>
          <w:sz w:val="22"/>
          <w:szCs w:val="22"/>
          <w:color w:val="auto"/>
        </w:rPr>
      </w:pPr>
    </w:p>
    <w:p>
      <w:pPr>
        <w:ind w:right="40" w:firstLine="1953"/>
        <w:spacing w:after="0" w:line="247" w:lineRule="auto"/>
        <w:tabs>
          <w:tab w:leader="none" w:pos="2485" w:val="left"/>
        </w:tabs>
        <w:numPr>
          <w:ilvl w:val="1"/>
          <w:numId w:val="161"/>
        </w:numPr>
        <w:rPr>
          <w:rFonts w:ascii="Arial" w:cs="Arial" w:eastAsia="Arial" w:hAnsi="Arial"/>
          <w:sz w:val="22"/>
          <w:szCs w:val="22"/>
          <w:color w:val="auto"/>
        </w:rPr>
      </w:pPr>
      <w:r>
        <w:rPr>
          <w:rFonts w:ascii="Arial" w:cs="Arial" w:eastAsia="Arial" w:hAnsi="Arial"/>
          <w:sz w:val="22"/>
          <w:szCs w:val="22"/>
          <w:color w:val="auto"/>
        </w:rPr>
        <w:t xml:space="preserve">FFL of JV Y6 BiCS Products manufactured for FFL shall be made in accordance with the terms of TMC’s (in the case of TMC) and SanDisk Flash’s (in the case of WD, as if WD were SanDisk Flash) FFL Purchase and Supply Agreement for purchases of Products (as defined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such purchases of JV Y6 BiCS Products manufactured for FFL, any price or charge that is calculated or determined under Article 4 (“Purchase Prices of Products; Title Transfer”) of the FFL Purchase and Supply Agreement based on Article 4 of the FFL Foundry Agreement shall instead be based on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hereof.</w:t>
      </w:r>
    </w:p>
    <w:p>
      <w:pPr>
        <w:spacing w:after="0" w:line="193" w:lineRule="exact"/>
        <w:rPr>
          <w:rFonts w:ascii="Arial" w:cs="Arial" w:eastAsia="Arial" w:hAnsi="Arial"/>
          <w:sz w:val="22"/>
          <w:szCs w:val="22"/>
          <w:color w:val="auto"/>
        </w:rPr>
      </w:pPr>
    </w:p>
    <w:p>
      <w:pPr>
        <w:ind w:left="1760" w:hanging="455"/>
        <w:spacing w:after="0"/>
        <w:tabs>
          <w:tab w:leader="none" w:pos="17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u w:val="single" w:color="auto"/>
          <w:color w:val="auto"/>
        </w:rPr>
        <w:t>12.5 JV Lease Agreements</w:t>
      </w:r>
      <w:r>
        <w:rPr>
          <w:rFonts w:ascii="Arial" w:cs="Arial" w:eastAsia="Arial" w:hAnsi="Arial"/>
          <w:sz w:val="22"/>
          <w:szCs w:val="22"/>
          <w:color w:val="auto"/>
        </w:rPr>
        <w:t>. All references to Y3 NAND Flash Memory Products in the FPL Lease Agreement are hereby revised to include JV Y6 BiCS Products manufactured for FPL. All references to Y4 NAND Flash Memory Products in the FAL Lease Agreement are hereby revised to include JV Y6 BiCS Products manufactured for FAL. All references to Y5 NAND Flash Memory Products, JV Y5 BiCS Products or JV New Y2 BiCS Products in the FFL Lease Agreement are hereby revised to include JV Y6 BiCS Products manufactured for FFL.</w:t>
      </w:r>
    </w:p>
    <w:p>
      <w:pPr>
        <w:spacing w:after="0" w:line="1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MEMORY R&amp;D CENTER</w:t>
      </w:r>
    </w:p>
    <w:p>
      <w:pPr>
        <w:spacing w:after="0" w:line="220"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u w:val="single" w:color="auto"/>
          <w:color w:val="auto"/>
        </w:rPr>
        <w:t>13.1 Memory R&amp;D Center</w:t>
      </w:r>
      <w:r>
        <w:rPr>
          <w:rFonts w:ascii="Arial" w:cs="Arial" w:eastAsia="Arial" w:hAnsi="Arial"/>
          <w:sz w:val="21"/>
          <w:szCs w:val="21"/>
          <w:color w:val="auto"/>
        </w:rPr>
        <w:t>. TMC agrees to discuss in good faith the scope of use of the building being constructed by TMC adjacent to the Y6 Facility, known to the Parties as the “</w:t>
      </w:r>
      <w:r>
        <w:rPr>
          <w:rFonts w:ascii="Arial" w:cs="Arial" w:eastAsia="Arial" w:hAnsi="Arial"/>
          <w:sz w:val="21"/>
          <w:szCs w:val="21"/>
          <w:u w:val="single" w:color="auto"/>
          <w:color w:val="auto"/>
        </w:rPr>
        <w:t>Memory R&amp;D Center</w:t>
      </w:r>
      <w:r>
        <w:rPr>
          <w:rFonts w:ascii="Arial" w:cs="Arial" w:eastAsia="Arial" w:hAnsi="Arial"/>
          <w:sz w:val="21"/>
          <w:szCs w:val="21"/>
          <w:color w:val="auto"/>
        </w:rPr>
        <w:t xml:space="preserve">”, for joint development efforts between TMC and WD and/or other activities related to the operation of the JVs, including development under the Amended JMDY Agreement. For the avoidance of doubt, nothing in this </w:t>
      </w:r>
      <w:r>
        <w:rPr>
          <w:rFonts w:ascii="Arial" w:cs="Arial" w:eastAsia="Arial" w:hAnsi="Arial"/>
          <w:sz w:val="21"/>
          <w:szCs w:val="21"/>
          <w:u w:val="single" w:color="auto"/>
          <w:color w:val="auto"/>
        </w:rPr>
        <w:t>Article 13</w:t>
      </w:r>
      <w:r>
        <w:rPr>
          <w:rFonts w:ascii="Arial" w:cs="Arial" w:eastAsia="Arial" w:hAnsi="Arial"/>
          <w:sz w:val="21"/>
          <w:szCs w:val="21"/>
          <w:color w:val="auto"/>
        </w:rPr>
        <w:t xml:space="preserve"> shall limit TMC’s right to decide the use and disposition of the Memory R&amp;D Center in its sole discretion except as otherwise agreed by the Parent Parties.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13.2</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26"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firstLine="1305"/>
        <w:spacing w:after="0" w:line="289" w:lineRule="auto"/>
        <w:tabs>
          <w:tab w:leader="none" w:pos="1765"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the scope of access rights of WD’s and its Subsidiaries’ personnel to the Memory R&amp;D Center and information related to the Parties’ use of the Memory R&amp;D Center for cost sharing purposes; provided, that such access shall be subject to (i) the terms and conditions applicable to safety, site security, and/or information security set forth in the Master Operative Documents, including those set forth in the Information Security Agreement, Section 6.10(b)(vii) of the FFL Master Agreement, Section 7.5(f) of the New Y2 Agreement, Section 1.05(h)(vii) of the JMDY Agreement, </w:t>
      </w:r>
      <w:r>
        <w:rPr>
          <w:rFonts w:ascii="Arial" w:cs="Arial" w:eastAsia="Arial" w:hAnsi="Arial"/>
          <w:sz w:val="19"/>
          <w:szCs w:val="19"/>
          <w:u w:val="single" w:color="auto"/>
          <w:color w:val="auto"/>
        </w:rPr>
        <w:t>Section 7.5(f)</w:t>
      </w:r>
      <w:r>
        <w:rPr>
          <w:rFonts w:ascii="Arial" w:cs="Arial" w:eastAsia="Arial" w:hAnsi="Arial"/>
          <w:sz w:val="19"/>
          <w:szCs w:val="19"/>
          <w:color w:val="auto"/>
        </w:rPr>
        <w:t xml:space="preserve"> of this Agreement, the corresponding provisions in the Undertaking, in each case, as if access by any applicable personnel of WD or any of its Subsidiaries to the Memory R&amp;D Center were access by personnel of WD or any of its Subsidiaries to the applicable building or facility governed by the foregoing terms and conditions and (ii) any other terms and conditions applicable to WD’s and its Subsidiaries’ personnel’s access to the Memory R&amp;D Center as may be mutually agreed by the Parent Parties.</w:t>
      </w:r>
    </w:p>
    <w:p>
      <w:pPr>
        <w:spacing w:after="0" w:line="157" w:lineRule="exact"/>
        <w:rPr>
          <w:rFonts w:ascii="Arial" w:cs="Arial" w:eastAsia="Arial" w:hAnsi="Arial"/>
          <w:sz w:val="19"/>
          <w:szCs w:val="19"/>
          <w:color w:val="auto"/>
        </w:rPr>
      </w:pPr>
    </w:p>
    <w:p>
      <w:pPr>
        <w:ind w:left="500" w:hanging="492"/>
        <w:spacing w:after="0"/>
        <w:tabs>
          <w:tab w:leader="none" w:pos="50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CONFIDENTIALITY AND DISCLOSURE</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u w:val="single" w:color="auto"/>
          <w:color w:val="auto"/>
        </w:rPr>
        <w:t>14.1 Public Announcements</w:t>
      </w:r>
      <w:r>
        <w:rPr>
          <w:rFonts w:ascii="Arial" w:cs="Arial" w:eastAsia="Arial" w:hAnsi="Arial"/>
          <w:sz w:val="22"/>
          <w:szCs w:val="22"/>
          <w:color w:val="auto"/>
        </w:rPr>
        <w:t>. Neither Parent Party shall, nor shall it permit any of its Affiliates to, without the prior written consent of the other Parent Party:</w:t>
      </w:r>
    </w:p>
    <w:p>
      <w:pPr>
        <w:spacing w:after="0" w:line="175" w:lineRule="exact"/>
        <w:rPr>
          <w:sz w:val="20"/>
          <w:szCs w:val="20"/>
          <w:color w:val="auto"/>
        </w:rPr>
      </w:pPr>
    </w:p>
    <w:p>
      <w:pPr>
        <w:ind w:right="60" w:firstLine="1305"/>
        <w:spacing w:after="0" w:line="261" w:lineRule="auto"/>
        <w:tabs>
          <w:tab w:leader="none" w:pos="1752"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issue any public release, announcement or other document, or otherwise publicly disclose any information or make any public statement, concerning the operations of the Y6 Facility that refers to the other Parent Party or any of its Affiliates in connection therewith (other than a general reference to affiliation with the JVs) and (i) concerns the financial condition or results of operations of the JVs, other than as required by any applicable Law or accounting standard with respect to the financial disclosure obligations of either Parent Party, or (ii)(A) disparages either Parent Party or the JVs’ performance or (B) reflects negatively on either Parent Party’s commitment to the Y6 Facility; or</w:t>
      </w:r>
    </w:p>
    <w:p>
      <w:pPr>
        <w:spacing w:after="0" w:line="180" w:lineRule="exact"/>
        <w:rPr>
          <w:rFonts w:ascii="Arial" w:cs="Arial" w:eastAsia="Arial" w:hAnsi="Arial"/>
          <w:sz w:val="21"/>
          <w:szCs w:val="21"/>
          <w:color w:val="auto"/>
        </w:rPr>
      </w:pPr>
    </w:p>
    <w:p>
      <w:pPr>
        <w:ind w:right="20" w:firstLine="1305"/>
        <w:spacing w:after="0" w:line="297" w:lineRule="auto"/>
        <w:tabs>
          <w:tab w:leader="none" w:pos="1765" w:val="left"/>
        </w:tabs>
        <w:numPr>
          <w:ilvl w:val="0"/>
          <w:numId w:val="166"/>
        </w:numPr>
        <w:rPr>
          <w:rFonts w:ascii="Arial" w:cs="Arial" w:eastAsia="Arial" w:hAnsi="Arial"/>
          <w:sz w:val="19"/>
          <w:szCs w:val="19"/>
          <w:color w:val="auto"/>
        </w:rPr>
      </w:pPr>
      <w:r>
        <w:rPr>
          <w:rFonts w:ascii="Arial" w:cs="Arial" w:eastAsia="Arial" w:hAnsi="Arial"/>
          <w:sz w:val="19"/>
          <w:szCs w:val="19"/>
          <w:color w:val="auto"/>
        </w:rPr>
        <w:t>publicly file all or any part of any New Agreement or any description thereof, or issue or otherwise make publicly available any press release, announcement or other document that contains Confidential Information belonging to the other Parent Party (or its Affiliates) or the JVs, except as may be required by applicable Law (in which case such Parent Party shall (or shall cause the Person required to make such filing to) cooperate with the other Parent Party, to the extent reasonable and practicable, in obtaining any confidential treatment for such filing requested by the other Parent Party).</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9"/>
          <w:szCs w:val="19"/>
          <w:color w:val="auto"/>
        </w:rPr>
        <w:t xml:space="preserve">Each Parent Party shall use commercially reasonable efforts to grant or deny any approval required under this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within five Business Days of receipt of written request by the other Parent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Parent Party’s failure to respond within said time period shall not be deemed to constitute such Parent Party’s approval or consent.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14.2 Non-Disclosure Obligations</w:t>
      </w:r>
      <w:r>
        <w:rPr>
          <w:rFonts w:ascii="Arial" w:cs="Arial" w:eastAsia="Arial" w:hAnsi="Arial"/>
          <w:sz w:val="22"/>
          <w:szCs w:val="22"/>
          <w:color w:val="auto"/>
        </w:rPr>
        <w:t>.</w:t>
      </w:r>
    </w:p>
    <w:p>
      <w:pPr>
        <w:spacing w:after="0" w:line="220" w:lineRule="exact"/>
        <w:rPr>
          <w:sz w:val="20"/>
          <w:szCs w:val="20"/>
          <w:color w:val="auto"/>
        </w:rPr>
      </w:pPr>
    </w:p>
    <w:p>
      <w:pPr>
        <w:ind w:right="220" w:firstLine="1305"/>
        <w:spacing w:after="0" w:line="312" w:lineRule="auto"/>
        <w:tabs>
          <w:tab w:leader="none" w:pos="175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For a period of **** from the date of receipt of each item of Confidential Information disclosed by one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under this Agreement, the Patent Indemnification Termination Agreement or the Y6 MCEIA, the other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safeguard such item of Confidential Information, shall keep it in confidence,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right="120" w:firstLine="8"/>
        <w:spacing w:after="0" w:line="275" w:lineRule="auto"/>
        <w:tabs>
          <w:tab w:leader="none" w:pos="36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920"/>
        <w:spacing w:after="0" w:line="263" w:lineRule="auto"/>
        <w:rPr>
          <w:sz w:val="20"/>
          <w:szCs w:val="20"/>
          <w:color w:val="auto"/>
        </w:rPr>
      </w:pPr>
      <w:r>
        <w:rPr>
          <w:rFonts w:ascii="Arial" w:cs="Arial" w:eastAsia="Arial" w:hAnsi="Arial"/>
          <w:sz w:val="22"/>
          <w:szCs w:val="22"/>
          <w:color w:val="auto"/>
        </w:rPr>
        <w:t>shall use reasonable efforts, consistent with those used in the protection of its own confidential information, to prevent its disclosure of such Confidential Information to third parties.</w:t>
      </w:r>
    </w:p>
    <w:p>
      <w:pPr>
        <w:spacing w:after="0" w:line="175" w:lineRule="exact"/>
        <w:rPr>
          <w:sz w:val="20"/>
          <w:szCs w:val="20"/>
          <w:color w:val="auto"/>
        </w:rPr>
      </w:pPr>
    </w:p>
    <w:p>
      <w:pPr>
        <w:ind w:right="80" w:firstLine="1305"/>
        <w:spacing w:after="0" w:line="286" w:lineRule="auto"/>
        <w:tabs>
          <w:tab w:leader="none" w:pos="176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Notwithstanding the foregoing </w:t>
      </w:r>
      <w:r>
        <w:rPr>
          <w:rFonts w:ascii="Arial" w:cs="Arial" w:eastAsia="Arial" w:hAnsi="Arial"/>
          <w:sz w:val="19"/>
          <w:szCs w:val="19"/>
          <w:u w:val="single" w:color="auto"/>
          <w:color w:val="auto"/>
        </w:rPr>
        <w:t>Section 14.2(a)</w:t>
      </w:r>
      <w:r>
        <w:rPr>
          <w:rFonts w:ascii="Arial" w:cs="Arial" w:eastAsia="Arial" w:hAnsi="Arial"/>
          <w:sz w:val="19"/>
          <w:szCs w:val="19"/>
          <w:color w:val="auto"/>
        </w:rPr>
        <w:t xml:space="preserve">, the Receiving Party shall not be obligated by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with respect to information that: (i) is already known to the Receiving Party at the time of its receipt from the Disclosing Party as reasonably evidenced by its written records; (ii) is or becomes publicly available without breach of this Agreement by the Receiving Party; (iii) is made available to a third party by the Disclosing Party without restriction on disclosure; (iv) is rightfully received by the Receiving Party from a third party without restriction and without breach of this Agreement; (v) is independently developed by the Receiving Party as reasonably evidenced by its written records contemporaneous with such development; (vi) is disclosed with the prior written consent of the Disclosing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recipient from the Receiving Party shall execute a confidentiality agreement prohibiting further disclosure of the Confidential Information, under terms no less restrictive that those provided in this Agreement; (vii) is required to be disclosed by the order of a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Receiving Party shall give the Disclosing Party prompt notice of such request so that the Disclosing Party has an opportunity to defend, limit or protect such disclosure; or (viii) is required to be disclosed by applicable securities or other Laws, </w:t>
      </w:r>
      <w:r>
        <w:rPr>
          <w:rFonts w:ascii="Arial" w:cs="Arial" w:eastAsia="Arial" w:hAnsi="Arial"/>
          <w:sz w:val="19"/>
          <w:szCs w:val="19"/>
          <w:u w:val="single" w:color="auto"/>
          <w:color w:val="auto"/>
        </w:rPr>
        <w:t>provided</w:t>
      </w:r>
      <w:r>
        <w:rPr>
          <w:rFonts w:ascii="Arial" w:cs="Arial" w:eastAsia="Arial" w:hAnsi="Arial"/>
          <w:sz w:val="19"/>
          <w:szCs w:val="19"/>
          <w:color w:val="auto"/>
        </w:rPr>
        <w:t>, that WD shall, prior to any such disclosure required by the U.S. Securities and Exchange Commission, provide TMC with notice which includes a copy of the proposed disclosure and consider in good faith TMC’s timely input with respect to such disclosure.</w:t>
      </w:r>
    </w:p>
    <w:p>
      <w:pPr>
        <w:spacing w:after="0" w:line="167" w:lineRule="exact"/>
        <w:rPr>
          <w:rFonts w:ascii="Arial" w:cs="Arial" w:eastAsia="Arial" w:hAnsi="Arial"/>
          <w:sz w:val="19"/>
          <w:szCs w:val="19"/>
          <w:color w:val="auto"/>
        </w:rPr>
      </w:pPr>
    </w:p>
    <w:p>
      <w:pPr>
        <w:ind w:right="20" w:firstLine="1305"/>
        <w:spacing w:after="0" w:line="247" w:lineRule="auto"/>
        <w:tabs>
          <w:tab w:leader="none" w:pos="174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Receiving Party shall use its reasonable best efforts to limit dissemination of the Disclosing Party’s Confidential Information to such of its employees who have a need to know such information for the purpose for which such information was disclosed. The Receiving Party understands that disclosure or dissemination of the Disclosing Party’s Confidential Information not expressly authorized hereunder would cause irreparable injury to the Receiving Party, for which monetary damages would not be an adequate remedy and would entitle the Disclosing Party to equitable relief in addition to any remedies the Disclosing Party may have hereunder or at law.</w:t>
      </w:r>
    </w:p>
    <w:p>
      <w:pPr>
        <w:spacing w:after="0" w:line="193" w:lineRule="exact"/>
        <w:rPr>
          <w:rFonts w:ascii="Arial" w:cs="Arial" w:eastAsia="Arial" w:hAnsi="Arial"/>
          <w:sz w:val="22"/>
          <w:szCs w:val="22"/>
          <w:color w:val="auto"/>
        </w:rPr>
      </w:pPr>
    </w:p>
    <w:p>
      <w:pPr>
        <w:ind w:right="40" w:firstLine="1305"/>
        <w:spacing w:after="0" w:line="288" w:lineRule="auto"/>
        <w:tabs>
          <w:tab w:leader="none" w:pos="176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For purposes of the confidentiality obligations in the Existing Agreements and the New Agreements, information shall not be considered to have been made available to a third party by the Disclosing Party without restriction on disclosure if such information was only made available to such third party as a result of an inadvertent or unintentional disclosure of such information by the Disclosing Party. In the event that the Disclosing Party’s disclosure of Confidential Information to the Receiving Party is inadvertent or unintended and the Disclosing Party, upon becoming aware of such inadvertent or unintended disclosure, promptly notifies the Receiving Party in writing that such disclosure was inadvertent or unintended, the Receiving Party shall promptly (and in any event in less than **** destroy all such Confidential Information. In addition, if the Receiving Party reasonably believes that the Disclosing Party’s disclosure of Confidential Information to the Receiving Party was inadvertent or unintended, the Receiving Party shall promptly notify the Disclosing Party of such belief and, if requested by the Disclosing Party, promptly (and in any event in less than **** destroy all such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firstLine="8"/>
        <w:spacing w:after="0" w:line="275" w:lineRule="auto"/>
        <w:tabs>
          <w:tab w:leader="none" w:pos="36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2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Information. If requested by the Disclosing Party, the Receiving Party shall certify in writing that all such Confidential Information has been destroyed.</w:t>
      </w:r>
    </w:p>
    <w:p>
      <w:pPr>
        <w:spacing w:after="0" w:line="175" w:lineRule="exact"/>
        <w:rPr>
          <w:sz w:val="20"/>
          <w:szCs w:val="20"/>
          <w:color w:val="auto"/>
        </w:rPr>
      </w:pPr>
    </w:p>
    <w:p>
      <w:pPr>
        <w:ind w:right="180" w:firstLine="1305"/>
        <w:spacing w:after="0" w:line="263" w:lineRule="auto"/>
        <w:tabs>
          <w:tab w:leader="none" w:pos="175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Nothing in this Agreement shall be construed as granting or conferring any rights, licenses or relationships by the transmission of the Confidential Information.</w:t>
      </w:r>
    </w:p>
    <w:p>
      <w:pPr>
        <w:spacing w:after="0" w:line="17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u w:val="single" w:color="auto"/>
          <w:color w:val="auto"/>
        </w:rPr>
        <w:t>14.3 Ownership and Return of Information</w:t>
      </w:r>
      <w:r>
        <w:rPr>
          <w:rFonts w:ascii="Arial" w:cs="Arial" w:eastAsia="Arial" w:hAnsi="Arial"/>
          <w:sz w:val="22"/>
          <w:szCs w:val="22"/>
          <w:color w:val="auto"/>
        </w:rPr>
        <w:t>. All Confidential Information disclosed hereunder shall remain the property of the Disclosing Party. Upon request by the Disclosing Party, the Receiving Party shall return all Confidential Information of the Disclosing Party, including any and all copies thereof, or certify in writing that all such Confidential Information had been destroyed.</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TERM AND TERMINATION</w:t>
      </w:r>
    </w:p>
    <w:p>
      <w:pPr>
        <w:spacing w:after="0" w:line="220" w:lineRule="exact"/>
        <w:rPr>
          <w:sz w:val="20"/>
          <w:szCs w:val="20"/>
          <w:color w:val="auto"/>
        </w:rPr>
      </w:pPr>
    </w:p>
    <w:p>
      <w:pPr>
        <w:jc w:val="both"/>
        <w:ind w:right="260" w:firstLine="648"/>
        <w:spacing w:after="0" w:line="271" w:lineRule="auto"/>
        <w:rPr>
          <w:sz w:val="20"/>
          <w:szCs w:val="20"/>
          <w:color w:val="auto"/>
        </w:rPr>
      </w:pPr>
      <w:r>
        <w:rPr>
          <w:rFonts w:ascii="Arial" w:cs="Arial" w:eastAsia="Arial" w:hAnsi="Arial"/>
          <w:sz w:val="21"/>
          <w:szCs w:val="21"/>
          <w:u w:val="single" w:color="auto"/>
          <w:color w:val="auto"/>
        </w:rPr>
        <w:t>15.1 Term</w:t>
      </w:r>
      <w:r>
        <w:rPr>
          <w:rFonts w:ascii="Arial" w:cs="Arial" w:eastAsia="Arial" w:hAnsi="Arial"/>
          <w:sz w:val="21"/>
          <w:szCs w:val="21"/>
          <w:color w:val="auto"/>
        </w:rPr>
        <w:t>. This Agreement shall continue in full force and effect until the latest of the termination of (a) the FPL Master Agreement, (b) the FAL Master Agreement and (c) the FFL Master Agreement, unless earlier terminated as hereinafter provided. The term of this Agreement may be extended by mutual agreement of both Parent Parties.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15.2 Termination</w:t>
      </w:r>
      <w:r>
        <w:rPr>
          <w:rFonts w:ascii="Arial" w:cs="Arial" w:eastAsia="Arial" w:hAnsi="Arial"/>
          <w:sz w:val="22"/>
          <w:szCs w:val="22"/>
          <w:color w:val="auto"/>
        </w:rPr>
        <w:t xml:space="preserve">. Notwithstanding the foregoing </w:t>
      </w:r>
      <w:r>
        <w:rPr>
          <w:rFonts w:ascii="Arial" w:cs="Arial" w:eastAsia="Arial" w:hAnsi="Arial"/>
          <w:sz w:val="22"/>
          <w:szCs w:val="22"/>
          <w:u w:val="single" w:color="auto"/>
          <w:color w:val="auto"/>
        </w:rPr>
        <w:t>Section 15.1</w:t>
      </w:r>
      <w:r>
        <w:rPr>
          <w:rFonts w:ascii="Arial" w:cs="Arial" w:eastAsia="Arial" w:hAnsi="Arial"/>
          <w:sz w:val="22"/>
          <w:szCs w:val="22"/>
          <w:color w:val="auto"/>
        </w:rPr>
        <w:t>, this Agreement may be terminated:</w:t>
      </w:r>
    </w:p>
    <w:p>
      <w:pPr>
        <w:spacing w:after="0" w:line="220" w:lineRule="exact"/>
        <w:rPr>
          <w:sz w:val="20"/>
          <w:szCs w:val="20"/>
          <w:color w:val="auto"/>
        </w:rPr>
      </w:pPr>
    </w:p>
    <w:p>
      <w:pPr>
        <w:ind w:right="720" w:firstLine="1305"/>
        <w:spacing w:after="0" w:line="263" w:lineRule="auto"/>
        <w:tabs>
          <w:tab w:leader="none" w:pos="1752" w:val="left"/>
        </w:tabs>
        <w:numPr>
          <w:ilvl w:val="0"/>
          <w:numId w:val="171"/>
        </w:numPr>
        <w:rPr>
          <w:rFonts w:ascii="Arial" w:cs="Arial" w:eastAsia="Arial" w:hAnsi="Arial"/>
          <w:sz w:val="22"/>
          <w:szCs w:val="22"/>
          <w:color w:val="auto"/>
        </w:rPr>
      </w:pPr>
      <w:r>
        <w:rPr>
          <w:rFonts w:ascii="Arial" w:cs="Arial" w:eastAsia="Arial" w:hAnsi="Arial"/>
          <w:sz w:val="22"/>
          <w:szCs w:val="22"/>
          <w:color w:val="auto"/>
        </w:rPr>
        <w:t>by the mutual written agreement of the Parties, in which case this Agreement will terminate on the date mutually agreed by the Parties;</w:t>
      </w:r>
    </w:p>
    <w:p>
      <w:pPr>
        <w:spacing w:after="0" w:line="174" w:lineRule="exact"/>
        <w:rPr>
          <w:rFonts w:ascii="Arial" w:cs="Arial" w:eastAsia="Arial" w:hAnsi="Arial"/>
          <w:sz w:val="22"/>
          <w:szCs w:val="22"/>
          <w:color w:val="auto"/>
        </w:rPr>
      </w:pPr>
    </w:p>
    <w:p>
      <w:pPr>
        <w:ind w:right="160" w:firstLine="1305"/>
        <w:spacing w:after="0" w:line="291" w:lineRule="auto"/>
        <w:tabs>
          <w:tab w:leader="none" w:pos="176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by either Parent Party upon **** written notice to the other Parent Party, if (i) (A) the other Parent Party has failed to make (or authorize the JVs to make) the investment necessary to implement its share of the Minimum Commitment ****</w:t>
      </w:r>
    </w:p>
    <w:p>
      <w:pPr>
        <w:spacing w:after="0" w:line="1" w:lineRule="exact"/>
        <w:rPr>
          <w:rFonts w:ascii="Arial" w:cs="Arial" w:eastAsia="Arial" w:hAnsi="Arial"/>
          <w:sz w:val="19"/>
          <w:szCs w:val="19"/>
          <w:color w:val="auto"/>
        </w:rPr>
      </w:pPr>
    </w:p>
    <w:p>
      <w:pPr>
        <w:ind w:right="160"/>
        <w:spacing w:after="0" w:line="246" w:lineRule="auto"/>
        <w:rPr>
          <w:rFonts w:ascii="Arial" w:cs="Arial" w:eastAsia="Arial" w:hAnsi="Arial"/>
          <w:sz w:val="19"/>
          <w:szCs w:val="19"/>
          <w:color w:val="auto"/>
        </w:rPr>
      </w:pPr>
      <w:r>
        <w:rPr>
          <w:rFonts w:ascii="Arial" w:cs="Arial" w:eastAsia="Arial" w:hAnsi="Arial"/>
          <w:sz w:val="22"/>
          <w:szCs w:val="22"/>
          <w:color w:val="auto"/>
        </w:rPr>
        <w:t>or (B) has failed to pay ****, and (ii) TMC (in the case of termination by TMC), or WD or SanDisk (in the case of termination by WD) is not in material breach of any material Master Operative Document; or</w:t>
      </w:r>
    </w:p>
    <w:p>
      <w:pPr>
        <w:spacing w:after="0" w:line="192" w:lineRule="exact"/>
        <w:rPr>
          <w:rFonts w:ascii="Arial" w:cs="Arial" w:eastAsia="Arial" w:hAnsi="Arial"/>
          <w:sz w:val="19"/>
          <w:szCs w:val="19"/>
          <w:color w:val="auto"/>
        </w:rPr>
      </w:pPr>
    </w:p>
    <w:p>
      <w:pPr>
        <w:ind w:right="140" w:firstLine="1305"/>
        <w:spacing w:after="0" w:line="278" w:lineRule="auto"/>
        <w:tabs>
          <w:tab w:leader="none" w:pos="175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by either Parent Party, upon written notice to the other Parent Party, if the other Parent Party (i) makes an assignment of all or substantially all its assets for the benefit of creditors, (ii) has filed a voluntary petition in bankruptcy or insolvency or any other legal action or document seeking reorganization, readjustment or arrangement of its business under any Law relating to bankruptcy or insolvency, or (iii) is adjudicated to be bankrupt or insolvent under any such Law, or has a receiver appointed over all or substantially all of its property, by a competent Governmental Authority; in which case of (i), (ii) or (iii), this Agreement will terminate on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such notice of termination is given.</w:t>
      </w:r>
    </w:p>
    <w:p>
      <w:pPr>
        <w:spacing w:after="0" w:line="7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u w:val="single" w:color="auto"/>
          <w:color w:val="auto"/>
        </w:rPr>
        <w:t>15.3 Termination for Material Breach</w:t>
      </w:r>
      <w:r>
        <w:rPr>
          <w:rFonts w:ascii="Arial" w:cs="Arial" w:eastAsia="Arial" w:hAnsi="Arial"/>
          <w:sz w:val="22"/>
          <w:szCs w:val="22"/>
          <w:color w:val="auto"/>
        </w:rPr>
        <w:t xml:space="preserve">. The Parent Parties agree and acknowledge that in the event of a final determination by an arbitral tribunal under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that a Parent Party has committed or is committing a continuing material breach of any of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 of this Agreement or Sections **** of the New Y2 Agreement (by TMC, in the case of TMC, or by SanDisk, in the case of WD) that **** (any such breach, a “</w:t>
      </w:r>
      <w:r>
        <w:rPr>
          <w:rFonts w:ascii="Arial" w:cs="Arial" w:eastAsia="Arial" w:hAnsi="Arial"/>
          <w:sz w:val="22"/>
          <w:szCs w:val="22"/>
          <w:u w:val="single" w:color="auto"/>
          <w:color w:val="auto"/>
        </w:rPr>
        <w:t>Material Breach</w:t>
      </w:r>
      <w:r>
        <w:rPr>
          <w:rFonts w:ascii="Arial" w:cs="Arial" w:eastAsia="Arial" w:hAnsi="Arial"/>
          <w:sz w:val="22"/>
          <w:szCs w:val="22"/>
          <w:color w:val="auto"/>
        </w:rPr>
        <w:t>”), and the breaching Parent Party fails to cure such breach within **** after such determination, then the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8"/>
        <w:spacing w:after="0" w:line="275" w:lineRule="auto"/>
        <w:tabs>
          <w:tab w:leader="none" w:pos="3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26"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 xml:space="preserve">breaching Parent Party shall have as a remedy for Material Breach the termination of this Agreement, in addition to all other legal and equitable remedies available to such Parent Party. In the event that a Parent Party expressly asserts in writing a Material Breach, the dispute shall proceed as specified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86" w:lineRule="exact"/>
        <w:rPr>
          <w:sz w:val="20"/>
          <w:szCs w:val="20"/>
          <w:color w:val="auto"/>
        </w:rPr>
      </w:pPr>
    </w:p>
    <w:p>
      <w:pPr>
        <w:ind w:right="80" w:firstLine="1305"/>
        <w:spacing w:after="0" w:line="343" w:lineRule="auto"/>
        <w:tabs>
          <w:tab w:leader="none" w:pos="175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 matters other than the existence of such Material Breach (and counterclaims and defenses directly related to the conduct or circumstances underlying the asserted Material Breach) shall be submitted to or determined by the arbitral tribunal;</w:t>
      </w:r>
    </w:p>
    <w:p>
      <w:pPr>
        <w:spacing w:after="0" w:line="104" w:lineRule="exact"/>
        <w:rPr>
          <w:rFonts w:ascii="Arial" w:cs="Arial" w:eastAsia="Arial" w:hAnsi="Arial"/>
          <w:sz w:val="19"/>
          <w:szCs w:val="19"/>
          <w:color w:val="auto"/>
        </w:rPr>
      </w:pPr>
    </w:p>
    <w:p>
      <w:pPr>
        <w:ind w:right="680" w:firstLine="1305"/>
        <w:spacing w:after="0" w:line="263" w:lineRule="auto"/>
        <w:tabs>
          <w:tab w:leader="none" w:pos="176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Parent Parties shall use their respective reasonable best efforts to complete and finalize the Terms of Reference within **** following such assertion of Material Breach; and</w:t>
      </w:r>
    </w:p>
    <w:p>
      <w:pPr>
        <w:spacing w:after="0" w:line="174" w:lineRule="exact"/>
        <w:rPr>
          <w:rFonts w:ascii="Arial" w:cs="Arial" w:eastAsia="Arial" w:hAnsi="Arial"/>
          <w:sz w:val="22"/>
          <w:szCs w:val="22"/>
          <w:color w:val="auto"/>
        </w:rPr>
      </w:pPr>
    </w:p>
    <w:p>
      <w:pPr>
        <w:ind w:right="320" w:firstLine="1305"/>
        <w:spacing w:after="0" w:line="302" w:lineRule="auto"/>
        <w:tabs>
          <w:tab w:leader="none" w:pos="175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Parent Parties shall instruct the arbitral tribunal, with the full assistance and cooperation of the Parent Parties, to endeavor to submit its draft award on the existence of the Material Breach to the Court of Arbitration of the ICC for approval within **** following the effective date of the Terms of Reference, </w:t>
      </w:r>
      <w:r>
        <w:rPr>
          <w:rFonts w:ascii="Arial" w:cs="Arial" w:eastAsia="Arial" w:hAnsi="Arial"/>
          <w:sz w:val="19"/>
          <w:szCs w:val="19"/>
          <w:u w:val="single" w:color="auto"/>
          <w:color w:val="auto"/>
        </w:rPr>
        <w:t>provided</w:t>
      </w:r>
      <w:r>
        <w:rPr>
          <w:rFonts w:ascii="Arial" w:cs="Arial" w:eastAsia="Arial" w:hAnsi="Arial"/>
          <w:sz w:val="19"/>
          <w:szCs w:val="19"/>
          <w:color w:val="auto"/>
        </w:rPr>
        <w:t>, that any failure to issue an award in such time period shall not be considered a defense or objection to the enforcement of such an award.</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The Parent Parties agree to attempt in good faith to resolve any potential claim for Material Breach. Notwithstanding anything to the contrary in the New Y2 Agreement, the Parent Parties and SanDisk acknowledge and agree that in the event of a final determination by an arbitral tribunal in accordance with this </w:t>
      </w:r>
      <w:r>
        <w:rPr>
          <w:rFonts w:ascii="Arial" w:cs="Arial" w:eastAsia="Arial" w:hAnsi="Arial"/>
          <w:sz w:val="19"/>
          <w:szCs w:val="19"/>
          <w:u w:val="single" w:color="auto"/>
          <w:color w:val="auto"/>
        </w:rPr>
        <w:t>Section 15.3</w:t>
      </w:r>
      <w:r>
        <w:rPr>
          <w:rFonts w:ascii="Arial" w:cs="Arial" w:eastAsia="Arial" w:hAnsi="Arial"/>
          <w:sz w:val="19"/>
          <w:szCs w:val="19"/>
          <w:color w:val="auto"/>
        </w:rPr>
        <w:t xml:space="preserve"> that a Parent Party has committed or is committing a continuing material breach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 of this Agreement that would reasonably be expected to cause material damage to the JVs or the non-breaching Parent Party, such breach shall be deemed a “Material Breach” of the New Y2 Agreement (by SanDisk, in the case of such a material breach of this Agreement by WD) and, if the breaching Parent Party fails to cure such breach within</w:t>
      </w:r>
    </w:p>
    <w:p>
      <w:pPr>
        <w:spacing w:after="0" w:line="1" w:lineRule="exact"/>
        <w:rPr>
          <w:sz w:val="20"/>
          <w:szCs w:val="20"/>
          <w:color w:val="auto"/>
        </w:rPr>
      </w:pPr>
    </w:p>
    <w:p>
      <w:pPr>
        <w:ind w:right="60" w:firstLine="8"/>
        <w:spacing w:after="0" w:line="246" w:lineRule="auto"/>
        <w:tabs>
          <w:tab w:leader="none" w:pos="48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after such determination, the non-breaching Parent Party shall have the right to immediately exercise the remedies set forth in Section 14.3 of the New Y2 Agreement without the necessity for further arbitration.</w:t>
      </w:r>
    </w:p>
    <w:p>
      <w:pPr>
        <w:spacing w:after="0" w:line="193"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u w:val="single" w:color="auto"/>
          <w:color w:val="auto"/>
        </w:rPr>
        <w:t>15.4 Termination in Good Faith</w:t>
      </w:r>
      <w:r>
        <w:rPr>
          <w:rFonts w:ascii="Arial" w:cs="Arial" w:eastAsia="Arial" w:hAnsi="Arial"/>
          <w:sz w:val="22"/>
          <w:szCs w:val="22"/>
          <w:color w:val="auto"/>
        </w:rPr>
        <w:t>. Termination of any Master Operative Document by any party thereto may be done only in good faith.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15.5 Survival.</w:t>
      </w:r>
    </w:p>
    <w:p>
      <w:pPr>
        <w:spacing w:after="0" w:line="220" w:lineRule="exact"/>
        <w:rPr>
          <w:sz w:val="20"/>
          <w:szCs w:val="20"/>
          <w:color w:val="auto"/>
        </w:rPr>
      </w:pPr>
    </w:p>
    <w:p>
      <w:pPr>
        <w:ind w:right="260" w:firstLine="1305"/>
        <w:spacing w:after="0" w:line="263" w:lineRule="auto"/>
        <w:tabs>
          <w:tab w:leader="none" w:pos="174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Sections 4.5(c)</w:t>
      </w:r>
      <w:r>
        <w:rPr>
          <w:rFonts w:ascii="Arial" w:cs="Arial" w:eastAsia="Arial" w:hAnsi="Arial"/>
          <w:sz w:val="22"/>
          <w:szCs w:val="22"/>
          <w:color w:val="auto"/>
        </w:rPr>
        <w:t xml:space="preserve">, </w:t>
      </w:r>
      <w:r>
        <w:rPr>
          <w:rFonts w:ascii="Arial" w:cs="Arial" w:eastAsia="Arial" w:hAnsi="Arial"/>
          <w:sz w:val="22"/>
          <w:szCs w:val="22"/>
          <w:u w:val="single" w:color="auto"/>
          <w:color w:val="auto"/>
        </w:rPr>
        <w:t>7.6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12.1(e)</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14</w:t>
      </w:r>
      <w:r>
        <w:rPr>
          <w:rFonts w:ascii="Arial" w:cs="Arial" w:eastAsia="Arial" w:hAnsi="Arial"/>
          <w:sz w:val="22"/>
          <w:szCs w:val="22"/>
          <w:color w:val="auto"/>
        </w:rPr>
        <w:t xml:space="preserve"> (except </w:t>
      </w:r>
      <w:r>
        <w:rPr>
          <w:rFonts w:ascii="Arial" w:cs="Arial" w:eastAsia="Arial" w:hAnsi="Arial"/>
          <w:sz w:val="22"/>
          <w:szCs w:val="22"/>
          <w:u w:val="single" w:color="auto"/>
          <w:color w:val="auto"/>
        </w:rPr>
        <w:t>Section 14.1(a)(ii)(B)</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Article 15</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survive any termination or expiration of this Agreement.</w:t>
      </w:r>
    </w:p>
    <w:p>
      <w:pPr>
        <w:spacing w:after="0" w:line="174" w:lineRule="exact"/>
        <w:rPr>
          <w:rFonts w:ascii="Arial" w:cs="Arial" w:eastAsia="Arial" w:hAnsi="Arial"/>
          <w:sz w:val="22"/>
          <w:szCs w:val="22"/>
          <w:color w:val="auto"/>
        </w:rPr>
      </w:pPr>
    </w:p>
    <w:p>
      <w:pPr>
        <w:ind w:right="160" w:firstLine="1305"/>
        <w:spacing w:after="0" w:line="265" w:lineRule="auto"/>
        <w:tabs>
          <w:tab w:leader="none" w:pos="1765"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So long as (and only for so long as) the Parent Parties have BiCS Products manufacturing capacity in the JVs, the provisions of </w:t>
      </w:r>
      <w:r>
        <w:rPr>
          <w:rFonts w:ascii="Arial" w:cs="Arial" w:eastAsia="Arial" w:hAnsi="Arial"/>
          <w:sz w:val="21"/>
          <w:szCs w:val="21"/>
          <w:u w:val="single" w:color="auto"/>
          <w:color w:val="auto"/>
        </w:rPr>
        <w:t>Sections 3.2(a)</w:t>
      </w:r>
      <w:r>
        <w:rPr>
          <w:rFonts w:ascii="Arial" w:cs="Arial" w:eastAsia="Arial" w:hAnsi="Arial"/>
          <w:sz w:val="21"/>
          <w:szCs w:val="21"/>
          <w:color w:val="auto"/>
        </w:rPr>
        <w:t xml:space="preserve"> (except with respect to the Y6 Facility), </w:t>
      </w:r>
      <w:r>
        <w:rPr>
          <w:rFonts w:ascii="Arial" w:cs="Arial" w:eastAsia="Arial" w:hAnsi="Arial"/>
          <w:sz w:val="21"/>
          <w:szCs w:val="21"/>
          <w:u w:val="single" w:color="auto"/>
          <w:color w:val="auto"/>
        </w:rPr>
        <w:t>3.3(c)</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(except with respect to the Y6 Facility), </w:t>
      </w:r>
      <w:r>
        <w:rPr>
          <w:rFonts w:ascii="Arial" w:cs="Arial" w:eastAsia="Arial" w:hAnsi="Arial"/>
          <w:sz w:val="21"/>
          <w:szCs w:val="21"/>
          <w:u w:val="single" w:color="auto"/>
          <w:color w:val="auto"/>
        </w:rPr>
        <w:t>4.3</w:t>
      </w:r>
      <w:r>
        <w:rPr>
          <w:rFonts w:ascii="Arial" w:cs="Arial" w:eastAsia="Arial" w:hAnsi="Arial"/>
          <w:sz w:val="21"/>
          <w:szCs w:val="21"/>
          <w:color w:val="auto"/>
        </w:rPr>
        <w:t xml:space="preserve"> (except with respect to the Y6 Facility), </w:t>
      </w:r>
      <w:r>
        <w:rPr>
          <w:rFonts w:ascii="Arial" w:cs="Arial" w:eastAsia="Arial" w:hAnsi="Arial"/>
          <w:sz w:val="21"/>
          <w:szCs w:val="21"/>
          <w:u w:val="single" w:color="auto"/>
          <w:color w:val="auto"/>
        </w:rPr>
        <w:t>4.4</w:t>
      </w:r>
      <w:r>
        <w:rPr>
          <w:rFonts w:ascii="Arial" w:cs="Arial" w:eastAsia="Arial" w:hAnsi="Arial"/>
          <w:sz w:val="21"/>
          <w:szCs w:val="21"/>
          <w:color w:val="auto"/>
        </w:rPr>
        <w:t xml:space="preserve"> (except with respect to the Y6 Facility),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(except with respect to the Y6 Facility),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shall also survive any 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firstLine="8"/>
        <w:spacing w:after="0" w:line="275" w:lineRule="auto"/>
        <w:tabs>
          <w:tab w:leader="none" w:pos="36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6"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220" w:firstLine="1305"/>
        <w:spacing w:after="0" w:line="263" w:lineRule="auto"/>
        <w:tabs>
          <w:tab w:leader="none" w:pos="1752"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shall survive any termination or expiration of this Agreement until the expiration or termination of the Amended JMDY Agreement and shall terminate thereafter.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15.6 Restructuring Costs</w:t>
      </w:r>
      <w:r>
        <w:rPr>
          <w:rFonts w:ascii="Arial" w:cs="Arial" w:eastAsia="Arial" w:hAnsi="Arial"/>
          <w:sz w:val="22"/>
          <w:szCs w:val="22"/>
          <w:color w:val="auto"/>
        </w:rPr>
        <w:t>.</w:t>
      </w:r>
    </w:p>
    <w:p>
      <w:pPr>
        <w:spacing w:after="0" w:line="220" w:lineRule="exact"/>
        <w:rPr>
          <w:sz w:val="20"/>
          <w:szCs w:val="20"/>
          <w:color w:val="auto"/>
        </w:rPr>
      </w:pPr>
    </w:p>
    <w:p>
      <w:pPr>
        <w:ind w:right="120" w:firstLine="1305"/>
        <w:spacing w:after="0" w:line="247" w:lineRule="auto"/>
        <w:tabs>
          <w:tab w:leader="none" w:pos="175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In the event this Agreement is terminated, the Parent Parties will exercise best efforts to plan such termination in advance with the goal of minimizing related costs. With respect to employees of TMC and employees of WD or any of its Subsidiaries working at the Y6 Facility, (A) in the case of those that are employees of TMC or any of its Subsidiaries, TMC will use its best efforts to retrain or relocate such individuals to other TMC facilities, and (B) in the case of those that are employees of WD or any of its Subsidiaries, WD will use its best efforts to retrain or relocate such individuals to other WD facilities, each to the maximum extent possible.</w:t>
      </w:r>
    </w:p>
    <w:p>
      <w:pPr>
        <w:spacing w:after="0" w:line="193" w:lineRule="exact"/>
        <w:rPr>
          <w:rFonts w:ascii="Arial" w:cs="Arial" w:eastAsia="Arial" w:hAnsi="Arial"/>
          <w:sz w:val="22"/>
          <w:szCs w:val="22"/>
          <w:color w:val="auto"/>
        </w:rPr>
      </w:pPr>
    </w:p>
    <w:p>
      <w:pPr>
        <w:ind w:left="1760" w:hanging="455"/>
        <w:spacing w:after="0"/>
        <w:tabs>
          <w:tab w:leader="none" w:pos="17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Parties agree that in the event of such a WD exit from the Y6 Facility,</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420" w:firstLine="1305"/>
        <w:spacing w:after="0" w:line="263" w:lineRule="auto"/>
        <w:tabs>
          <w:tab w:leader="none" w:pos="1752" w:val="left"/>
        </w:tabs>
        <w:numPr>
          <w:ilvl w:val="1"/>
          <w:numId w:val="179"/>
        </w:numPr>
        <w:rPr>
          <w:rFonts w:ascii="Arial" w:cs="Arial" w:eastAsia="Arial" w:hAnsi="Arial"/>
          <w:sz w:val="22"/>
          <w:szCs w:val="22"/>
          <w:color w:val="auto"/>
        </w:rPr>
      </w:pPr>
      <w:r>
        <w:rPr>
          <w:rFonts w:ascii="Arial" w:cs="Arial" w:eastAsia="Arial" w:hAnsi="Arial"/>
          <w:sz w:val="22"/>
          <w:szCs w:val="22"/>
          <w:color w:val="auto"/>
        </w:rPr>
        <w:t>Upon any termination of this Agreement, the Parties shall meet and discuss in good faith an estimate of the Restructuring Costs anticipated to be incurred by TMC.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1" w:lineRule="exact"/>
        <w:rPr>
          <w:rFonts w:ascii="Arial" w:cs="Arial" w:eastAsia="Arial" w:hAnsi="Arial"/>
          <w:sz w:val="22"/>
          <w:szCs w:val="22"/>
          <w:color w:val="auto"/>
        </w:rPr>
      </w:pPr>
    </w:p>
    <w:p>
      <w:pPr>
        <w:ind w:right="120" w:firstLine="8"/>
        <w:spacing w:after="0" w:line="275" w:lineRule="auto"/>
        <w:tabs>
          <w:tab w:leader="none" w:pos="36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26" w:right="239" w:bottom="1440" w:gutter="0" w:footer="0" w:header="0"/>
        </w:sectPr>
      </w:pPr>
    </w:p>
    <w:bookmarkStart w:id="168" w:name="page169"/>
    <w:bookmarkEnd w:id="168"/>
    <w:p>
      <w:pPr>
        <w:spacing w:after="0" w:line="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firstLine="648"/>
        <w:spacing w:after="0" w:line="248" w:lineRule="auto"/>
        <w:rPr>
          <w:sz w:val="20"/>
          <w:szCs w:val="20"/>
          <w:color w:val="auto"/>
        </w:rPr>
      </w:pPr>
      <w:r>
        <w:rPr>
          <w:rFonts w:ascii="Arial" w:cs="Arial" w:eastAsia="Arial" w:hAnsi="Arial"/>
          <w:sz w:val="22"/>
          <w:szCs w:val="22"/>
          <w:u w:val="single" w:color="auto"/>
          <w:color w:val="auto"/>
        </w:rPr>
        <w:t>15.7 Effect on Other Collaborations</w:t>
      </w:r>
      <w:r>
        <w:rPr>
          <w:rFonts w:ascii="Arial" w:cs="Arial" w:eastAsia="Arial" w:hAnsi="Arial"/>
          <w:sz w:val="22"/>
          <w:szCs w:val="22"/>
          <w:color w:val="auto"/>
        </w:rPr>
        <w:t>. Unless otherwise expressly provided herein, termination of this Agreement shall not affect any surviving rights or obligations set forth in the Joint Operative Documents. For avoidance of doubt, the BiCS LDA and the WD-TMC PCLA (in each case, including the licenses provided thereunder) shall be unaffected by the termination of this Agreement, and the BiCS LDA and the WD-TMC PCLA shall terminate or expire in accordance with each of such agreement’s terms.</w:t>
      </w:r>
    </w:p>
    <w:p>
      <w:pPr>
        <w:spacing w:after="0" w:line="19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REPRESENTATIONS AND WARRANTIES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Parent Party hereby represents and warrants to the other Parent Party as follows:</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u w:val="single" w:color="auto"/>
          <w:color w:val="auto"/>
        </w:rPr>
        <w:t>16.1 Organization and Standing</w:t>
      </w:r>
      <w:r>
        <w:rPr>
          <w:rFonts w:ascii="Arial" w:cs="Arial" w:eastAsia="Arial" w:hAnsi="Arial"/>
          <w:sz w:val="22"/>
          <w:szCs w:val="22"/>
          <w:color w:val="auto"/>
        </w:rPr>
        <w:t>. It is duly organized and validly existing and, where applicable, in good standing under the laws of the jurisdiction in which it is organized.</w:t>
      </w:r>
    </w:p>
    <w:p>
      <w:pPr>
        <w:spacing w:after="0" w:line="175"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u w:val="single" w:color="auto"/>
          <w:color w:val="auto"/>
        </w:rPr>
        <w:t>16.2 Authority; Enforceability</w:t>
      </w:r>
      <w:r>
        <w:rPr>
          <w:rFonts w:ascii="Arial" w:cs="Arial" w:eastAsia="Arial" w:hAnsi="Arial"/>
          <w:sz w:val="21"/>
          <w:szCs w:val="21"/>
          <w:color w:val="auto"/>
        </w:rPr>
        <w:t>. It has the requisite power and authority to enter into the New Agreements, to execute any certificates or other instruments to be executed by it in connection therewith and otherwise carry out the transactions contemplated by the New Agreements. All proceedings required to be taken by it to authorize the execution, delivery and performance of the New Agreements, and any such certificates and instruments, have been properly taken. This Agreement has been duly and validly executed and delivered by it and constitutes a valid and binding obligation of it, enforceable against it in accordance with its terms except as enforceability may be limited by bankruptcy, insolvency, fraudulent conveyance or similar laws affecting the enforcement of creditors’ rights generally or the availability of</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equitable remedies (regardless of whether enforceability is considered in a proceeding at law or in equity).</w:t>
      </w:r>
    </w:p>
    <w:p>
      <w:pPr>
        <w:spacing w:after="0" w:line="22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u w:val="single" w:color="auto"/>
          <w:color w:val="auto"/>
        </w:rPr>
        <w:t>16.3 No Conflict</w:t>
      </w:r>
      <w:r>
        <w:rPr>
          <w:rFonts w:ascii="Arial" w:cs="Arial" w:eastAsia="Arial" w:hAnsi="Arial"/>
          <w:sz w:val="19"/>
          <w:szCs w:val="19"/>
          <w:color w:val="auto"/>
        </w:rPr>
        <w:t>. The execution, delivery and performance of the New Agreements and the BiCS LDA by it and its Affiliates do not and will not (a) breach, violate or conflict with any provision of its charter documents as amended to date, or (b) conflict with or violate any Law applicable to it. No consent, approval or authorization of, or filing with, any Governmental Authority, or any other Person, is required to be made or obtained by it in connection with the execution, delivery and performance by it of any New Agreement or the consummation by it of the transactions contemplated thereby.</w:t>
      </w:r>
    </w:p>
    <w:p>
      <w:pPr>
        <w:spacing w:after="0" w:line="147"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u w:val="single" w:color="auto"/>
          <w:color w:val="auto"/>
        </w:rPr>
        <w:t>16.4 Proceedings</w:t>
      </w:r>
      <w:r>
        <w:rPr>
          <w:rFonts w:ascii="Arial" w:cs="Arial" w:eastAsia="Arial" w:hAnsi="Arial"/>
          <w:sz w:val="22"/>
          <w:szCs w:val="22"/>
          <w:color w:val="auto"/>
        </w:rPr>
        <w:t>. Except for any action, claim, investigation or proceeding (i) threatened, asserted, or pending between or among WD and/or any of its Affiliates, on the one hand, and TMC and/or Toshiba, and/or any of its or their Affiliates, on the other hand or (ii) that falls within the scope of any release, waiver, dismissal, or covenant not to sue set forth in the Settlement Agreement, there are no actions, claims, investigations or proceedings pending, or to its knowledge threatened, by or before any Governmental Authority that, if adversely determined, would have a material adverse effect on it or on the conduct of the business of any of the JVs as contemplated in the Master Operative Documents or on its ability to perform any material obligation under any Master Operative Document.</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u w:val="single" w:color="auto"/>
          <w:color w:val="auto"/>
        </w:rPr>
        <w:t>16.5 Litigation; Decrees</w:t>
      </w:r>
      <w:r>
        <w:rPr>
          <w:rFonts w:ascii="Arial" w:cs="Arial" w:eastAsia="Arial" w:hAnsi="Arial"/>
          <w:sz w:val="19"/>
          <w:szCs w:val="19"/>
          <w:color w:val="auto"/>
        </w:rPr>
        <w:t>. Except for any Action threatened, asserted, or pending (i) between or among WD and/or any of its Affiliates, on the one hand, and TMC and/or Toshiba, and/or any of its or their Affiliates, on the other hand or (ii) that falls within the scope of any release, waiver, dismissal, or covenant not to sue set forth in the Settlement Agreement, there are no Actions pending, or, to its knowledge, threatened that (a) are reasonably likely, based on information known to it as of the date hereof, to have a material adverse effect on the conduct of the business of any of the JVs as contemplated by the Master Operative Documents or BiCS LDA or (b) relate to any of the transactions contemplated by the Master Operative Documents or BiCS LDA in a manner which is material to its, any of its Affiliates’ or any of the JVs’ ability to carry out the transactions contemplated hereby and thereby or which could have a material adverse effect on the conduct of the business of any of the JVs as contemplated in the Master Operative Documents or BiCS LDA. Except for any judgment, order, writ, or decree in connection with any Action (i) between or among WD and/or any of its Affiliates, on the one hand, and TMC and/or Toshiba, and/or any of its or their Affiliates, on the other hand or (ii) that falls within the scope of any release, waiver, dismissal, or covenant not to sue set forth in the Settlement Agreement, there is no judgment, order, writ or decree that substantially restrains its ability to consummate the transactions contemplated by the New Agreements or the BiCS LDA.</w:t>
      </w:r>
    </w:p>
    <w:p>
      <w:pPr>
        <w:spacing w:after="0" w:line="200" w:lineRule="exact"/>
        <w:rPr>
          <w:sz w:val="20"/>
          <w:szCs w:val="20"/>
          <w:color w:val="auto"/>
        </w:rPr>
      </w:pPr>
    </w:p>
    <w:p>
      <w:pPr>
        <w:spacing w:after="0" w:line="217"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u w:val="single" w:color="auto"/>
          <w:color w:val="auto"/>
        </w:rPr>
        <w:t>16.6 Compliance with Other Instruments</w:t>
      </w:r>
      <w:r>
        <w:rPr>
          <w:rFonts w:ascii="Arial" w:cs="Arial" w:eastAsia="Arial" w:hAnsi="Arial"/>
          <w:sz w:val="22"/>
          <w:szCs w:val="22"/>
          <w:color w:val="auto"/>
        </w:rPr>
        <w:t>. Except (i) as may have been asserted by WD and/or any of its Affiliates, on the one hand, and TMC and/or Toshiba, and/or any of its or their Affiliates, on the other hand or (ii) any default asserted in connection with any Action, claim, investigation or proceeding that falls within the scope of any release, waiver, dismissal, or covenant not to sue set forth in the Settlement Agreement, neither it nor any of its Affiliates that is party to any New Agreement is in default in any material respect in the performance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904" w:orient="portrait"/>
          <w:cols w:equalWidth="0" w:num="1">
            <w:col w:w="11420"/>
          </w:cols>
          <w:pgMar w:left="240" w:top="12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8"/>
        <w:spacing w:after="0" w:line="275" w:lineRule="auto"/>
        <w:tabs>
          <w:tab w:leader="none" w:pos="36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904" w:orient="portrait"/>
          <w:cols w:equalWidth="0" w:num="1">
            <w:col w:w="11420"/>
          </w:cols>
          <w:pgMar w:left="240" w:top="126" w:right="239" w:bottom="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9019"/>
          </w:cols>
          <w:pgMar w:left="1440" w:top="199"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240"/>
        <w:spacing w:after="0" w:line="247" w:lineRule="auto"/>
        <w:rPr>
          <w:sz w:val="20"/>
          <w:szCs w:val="20"/>
          <w:color w:val="auto"/>
        </w:rPr>
      </w:pPr>
      <w:r>
        <w:rPr>
          <w:rFonts w:ascii="Arial" w:cs="Arial" w:eastAsia="Arial" w:hAnsi="Arial"/>
          <w:sz w:val="22"/>
          <w:szCs w:val="22"/>
          <w:color w:val="auto"/>
        </w:rPr>
        <w:t>material obligation, agreement, instrument or undertaking to which such Person is a party or by which such Person or any of its properties is bound. Except for any obligation, agreement, instrument or undertaking between or among (i) WD and/or any of its Affiliates, (ii) TMC and/or Toshiba, and/or any of its or their Affiliates, and/or (iii) any of the JVs, there is no such obligation, agreement, instrument or undertaking to which it or any of its Affiliates is a party or by which any of its Affiliates or any of its or their properties is bound, in each case that is reasonably likely to have a material adverse effect on the Parties’ use of the Y6 Facility as contemplated by the New Agreements.</w:t>
      </w:r>
    </w:p>
    <w:p>
      <w:pPr>
        <w:spacing w:after="0" w:line="194"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u w:val="single" w:color="auto"/>
          <w:color w:val="auto"/>
        </w:rPr>
        <w:t>16.7 Patents and Proprietary Rights</w:t>
      </w:r>
      <w:r>
        <w:rPr>
          <w:rFonts w:ascii="Arial" w:cs="Arial" w:eastAsia="Arial" w:hAnsi="Arial"/>
          <w:sz w:val="19"/>
          <w:szCs w:val="19"/>
          <w:color w:val="auto"/>
        </w:rPr>
        <w:t>. To its knowledge, it owns or possesses sufficient legal rights to all patents, utility models, trademarks, service marks, trade names, copyrights, applications for any of the foregoing, mask works, software, trade secrets, licenses, information and proprietary rights and processes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necessary (a) to carry out its or any of its Affiliates’ obligations under the Master Operative Documents and (b) for the conduct of the business of any of the JVs as contemplated in the Master Operative Documents, without any conflict with or infringement of the rights of others, except as will not have a material adverse effect on either (a) or (b) above. Except for any communications (i) between or among WD and/or any of its Affiliates, on the one hand, and TMC and/or Toshiba, and/or any of its or their Affiliates, on the other hand, or (ii) in connection with any Action, claim, investigation or proceeding that falls within the scope of any release, waiver, dismissal, or covenant not to sue set forth in the Settlement Agreement, including any communications referenced in Schedule 2.1 of the Settlement Agreement, it has not received any communications alleging that its Intellectual Property violates, or by its or any of its Affiliates entering into the transactions contemplated by the Master Operative Documents, would violate the Intellectual Property of any other Person or entity, which violation could reasonably be expected to have a material adverse effect on either (a) or (b) above.</w:t>
      </w:r>
    </w:p>
    <w:p>
      <w:pPr>
        <w:spacing w:after="0" w:line="200" w:lineRule="exact"/>
        <w:rPr>
          <w:sz w:val="20"/>
          <w:szCs w:val="20"/>
          <w:color w:val="auto"/>
        </w:rPr>
      </w:pPr>
    </w:p>
    <w:p>
      <w:pPr>
        <w:spacing w:after="0" w:line="21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u w:val="single" w:color="auto"/>
          <w:color w:val="auto"/>
        </w:rPr>
        <w:t>16.8 Compliance with Laws</w:t>
      </w:r>
      <w:r>
        <w:rPr>
          <w:rFonts w:ascii="Arial" w:cs="Arial" w:eastAsia="Arial" w:hAnsi="Arial"/>
          <w:sz w:val="22"/>
          <w:szCs w:val="22"/>
          <w:color w:val="auto"/>
        </w:rPr>
        <w:t>. It and each of its Affiliates has complied and is complying in all material respects with all Laws, except where the failure to so comply would not have a material adverse effect on its or any of its Affiliates ability to perform its or their obligations under the Master Operative Documents or on the production of BiCS Products as contemplated by the Master Operative Documents.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16.9 Patent Cross Licenses</w:t>
      </w:r>
      <w:r>
        <w:rPr>
          <w:rFonts w:ascii="Arial" w:cs="Arial" w:eastAsia="Arial" w:hAnsi="Arial"/>
          <w:sz w:val="22"/>
          <w:szCs w:val="22"/>
          <w:color w:val="auto"/>
        </w:rPr>
        <w:t>. ****</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color w:val="auto"/>
        </w:rPr>
        <w:t>MISCELLANEOUS</w:t>
      </w:r>
    </w:p>
    <w:p>
      <w:pPr>
        <w:spacing w:after="0" w:line="22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u w:val="single" w:color="auto"/>
          <w:color w:val="auto"/>
        </w:rPr>
        <w:t>17.1 Entire Agreement</w:t>
      </w:r>
      <w:r>
        <w:rPr>
          <w:rFonts w:ascii="Arial" w:cs="Arial" w:eastAsia="Arial" w:hAnsi="Arial"/>
          <w:sz w:val="19"/>
          <w:szCs w:val="19"/>
          <w:color w:val="auto"/>
        </w:rPr>
        <w:t>. This Agreement, together with the exhibit(s) and schedules hereto and the other Master Operative Documents, constitute the entire agreement of the Parties to this Agreement with respect to the subject matter hereof and supersedes all prior written and oral agreements and understandings with respect to such subject matter.</w:t>
      </w:r>
    </w:p>
    <w:p>
      <w:pPr>
        <w:spacing w:after="0" w:line="134"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9"/>
          <w:szCs w:val="19"/>
          <w:u w:val="single" w:color="auto"/>
          <w:color w:val="auto"/>
        </w:rPr>
        <w:t>17.2 Undertaking as to Affiliate Obligations</w:t>
      </w:r>
      <w:r>
        <w:rPr>
          <w:rFonts w:ascii="Arial" w:cs="Arial" w:eastAsia="Arial" w:hAnsi="Arial"/>
          <w:sz w:val="19"/>
          <w:szCs w:val="19"/>
          <w:color w:val="auto"/>
        </w:rPr>
        <w:t>. Each Parent Party shall cause all covenants, conditions and agreements to be performed, observed or satisfied by any of its Affiliates that are parties to any New Agreement to be fully and faithfully observed, performed and satisfied by such Affiliate, and shall not cause or permit to exist any breach or default of such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120" w:firstLine="8"/>
        <w:spacing w:after="0" w:line="275" w:lineRule="auto"/>
        <w:tabs>
          <w:tab w:leader="none" w:pos="36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2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 xml:space="preserve">conditions or agreements arising from such Affiliate’s action or inaction. Nothing in this </w:t>
      </w:r>
      <w:r>
        <w:rPr>
          <w:rFonts w:ascii="Arial" w:cs="Arial" w:eastAsia="Arial" w:hAnsi="Arial"/>
          <w:sz w:val="19"/>
          <w:szCs w:val="19"/>
          <w:u w:val="single" w:color="auto"/>
          <w:color w:val="auto"/>
        </w:rPr>
        <w:t>Section 17.2</w:t>
      </w:r>
      <w:r>
        <w:rPr>
          <w:rFonts w:ascii="Arial" w:cs="Arial" w:eastAsia="Arial" w:hAnsi="Arial"/>
          <w:sz w:val="19"/>
          <w:szCs w:val="19"/>
          <w:color w:val="auto"/>
        </w:rPr>
        <w:t xml:space="preserve"> shall be construed to create any right in any Person other than the Parties. In the case of an affirmative covenant or other action required of WD or permitted to be taken by WD hereunder or under any other New Agreement, WD may perform or satisfy such affirmative covenant or other action directly or indirectly by causing one or more of its Subsidiaries to fully perform or satisfy such affirmative covenant or other action. Notwithstanding anything to the contrary in any Master Operative Document, if WD consents or agrees to TMC’s or any of its Affiliate’s taking an action or inaction that is subject to SanDisk’s consent or agreement under a Master Operative Document, WD’s providing such consent or agreement shall satisfy such requirement for SanDisk’s consent.</w:t>
      </w:r>
    </w:p>
    <w:p>
      <w:pPr>
        <w:spacing w:after="0" w:line="15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u w:val="single" w:color="auto"/>
          <w:color w:val="auto"/>
        </w:rPr>
        <w:t>17.3 Governing Law</w:t>
      </w:r>
      <w:r>
        <w:rPr>
          <w:rFonts w:ascii="Arial" w:cs="Arial" w:eastAsia="Arial" w:hAnsi="Arial"/>
          <w:sz w:val="19"/>
          <w:szCs w:val="19"/>
          <w:color w:val="auto"/>
        </w:rPr>
        <w:t xml:space="preserve">. This Agreement shall be governed by and construed in accordance with the internal laws of the State of California applicable to agreements made and to be performed entirely within such state without regard to the conflict of laws principles of such state, except where application of Japanese law is mandatory. Each New Agreement shall be governed in accordance with its governing law provision and, in the absence of any such provision, by the first sentence of this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143"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u w:val="single" w:color="auto"/>
          <w:color w:val="auto"/>
        </w:rPr>
        <w:t>17.4 Dispute Resolution; Arbitration</w:t>
      </w:r>
      <w:r>
        <w:rPr>
          <w:rFonts w:ascii="Arial" w:cs="Arial" w:eastAsia="Arial" w:hAnsi="Arial"/>
          <w:sz w:val="19"/>
          <w:szCs w:val="19"/>
          <w:color w:val="auto"/>
        </w:rPr>
        <w:t>. Any dispute concerning this Agreement shall be referred to the applicable JV’s Management Representatives and handled by them in accordance with the applicable JV Master Agreement. If the Management Representatives cannot resolve such dispute in accordance with the terms of the applicable JV Master Agreement, then such dispute will be settled by binding arbitration in San Francisco, California. The dispute shall be heard by a panel of three arbitrators pursuant to the rules of the International Chamber of Commerce. The awards of such arbitration shall be final and binding upon the parties thereto. Each party will bear its own fees and expenses associated with the arbitration. Filing fees and arbitrator fees charged by the International Chamber of Commerce shall be borne equally by the Parent Parties.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17.5 Remedies</w:t>
      </w:r>
      <w:r>
        <w:rPr>
          <w:rFonts w:ascii="Arial" w:cs="Arial" w:eastAsia="Arial" w:hAnsi="Arial"/>
          <w:sz w:val="22"/>
          <w:szCs w:val="22"/>
          <w:color w:val="auto"/>
        </w:rPr>
        <w:t>.</w:t>
      </w:r>
    </w:p>
    <w:p>
      <w:pPr>
        <w:spacing w:after="0" w:line="220" w:lineRule="exact"/>
        <w:rPr>
          <w:sz w:val="20"/>
          <w:szCs w:val="20"/>
          <w:color w:val="auto"/>
        </w:rPr>
      </w:pPr>
    </w:p>
    <w:p>
      <w:pPr>
        <w:ind w:right="600" w:firstLine="1305"/>
        <w:spacing w:after="0" w:line="253" w:lineRule="auto"/>
        <w:tabs>
          <w:tab w:leader="none" w:pos="175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Except as may otherwise be specifically provided in the New Agreements, the rights and remedies of the parties under this Agreement are cumulative and are not exclusive of any rights or remedies which the parties hereto would otherwise have.</w:t>
      </w:r>
    </w:p>
    <w:p>
      <w:pPr>
        <w:spacing w:after="0" w:line="185" w:lineRule="exact"/>
        <w:rPr>
          <w:rFonts w:ascii="Arial" w:cs="Arial" w:eastAsia="Arial" w:hAnsi="Arial"/>
          <w:sz w:val="22"/>
          <w:szCs w:val="22"/>
          <w:color w:val="auto"/>
        </w:rPr>
      </w:pPr>
    </w:p>
    <w:p>
      <w:pPr>
        <w:ind w:right="120" w:firstLine="1305"/>
        <w:spacing w:after="0" w:line="297" w:lineRule="auto"/>
        <w:tabs>
          <w:tab w:leader="none" w:pos="176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Equitable relief, including the remedies of specific performance and injunction, shall be available with respect to any actual or attempted breach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absence of exigent circumstances, the Parties shall refrain from commencing any lawsuit or seeking judicial relief in connection with such actual or attempted breach that is contemplated to be addressed by the dispute resolution process set forth in this Agreement until the Parties have attempted to resolve the subject dispute by following said dispute resolution process to its conclusion.</w:t>
      </w:r>
    </w:p>
    <w:p>
      <w:pPr>
        <w:spacing w:after="0" w:line="147" w:lineRule="exact"/>
        <w:rPr>
          <w:rFonts w:ascii="Arial" w:cs="Arial" w:eastAsia="Arial" w:hAnsi="Arial"/>
          <w:sz w:val="19"/>
          <w:szCs w:val="19"/>
          <w:color w:val="auto"/>
        </w:rPr>
      </w:pPr>
    </w:p>
    <w:p>
      <w:pPr>
        <w:ind w:right="580" w:firstLine="1305"/>
        <w:spacing w:after="0" w:line="263" w:lineRule="auto"/>
        <w:tabs>
          <w:tab w:leader="none" w:pos="175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If the due date for any amount required to be paid under any New Agreement is not a Business Day, such amount shall be payable on the next succeeding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
        <w:spacing w:after="0" w:line="275" w:lineRule="auto"/>
        <w:tabs>
          <w:tab w:leader="none" w:pos="36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26"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 xml:space="preserve">Day; </w:t>
      </w:r>
      <w:r>
        <w:rPr>
          <w:rFonts w:ascii="Arial" w:cs="Arial" w:eastAsia="Arial" w:hAnsi="Arial"/>
          <w:sz w:val="22"/>
          <w:szCs w:val="22"/>
          <w:u w:val="single" w:color="auto"/>
          <w:color w:val="auto"/>
        </w:rPr>
        <w:t>provided</w:t>
      </w:r>
      <w:r>
        <w:rPr>
          <w:rFonts w:ascii="Arial" w:cs="Arial" w:eastAsia="Arial" w:hAnsi="Arial"/>
          <w:sz w:val="22"/>
          <w:szCs w:val="22"/>
          <w:color w:val="auto"/>
        </w:rPr>
        <w:t>, that if payment cannot be made due to the existence of a banking crisis or international payment embargo, such amount may be paid within the following 30 days.</w:t>
      </w:r>
    </w:p>
    <w:p>
      <w:pPr>
        <w:spacing w:after="0" w:line="175" w:lineRule="exact"/>
        <w:rPr>
          <w:sz w:val="20"/>
          <w:szCs w:val="20"/>
          <w:color w:val="auto"/>
        </w:rPr>
      </w:pPr>
    </w:p>
    <w:p>
      <w:pPr>
        <w:ind w:right="40" w:firstLine="1305"/>
        <w:spacing w:after="0" w:line="263" w:lineRule="auto"/>
        <w:tabs>
          <w:tab w:leader="none" w:pos="1765"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 THE ABSENCE OF ACTUAL FRAUD, IN NO EVENT SHALL EITHER PARTY BE LIABLE TO OR BE REQUIRED TO INDEMNIFY ANY OTHER PARTY OR ANY OF THEIR RESPECTIVE AFFILIATES UNDER THIS AGREEMENT (OR ANY AGREEMENT INTO WHICH THIS PROVISION IS INCORPORATED) FOR ANY SPECIAL, CONSEQUENTIAL, INCIDENTAL OR INDIRECT DAMAGE OF ANY KIND, (INCLUDING WITHOUT LIMITATION LOSS OF PROFIT OR DATA), WHETHER OR NOT ADVISED OF THE POSSIBILITY OF SUCH LOSS.</w:t>
      </w:r>
    </w:p>
    <w:p>
      <w:pPr>
        <w:spacing w:after="0" w:line="17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u w:val="single" w:color="auto"/>
          <w:color w:val="auto"/>
        </w:rPr>
        <w:t>17.6 Relationship of the Parties</w:t>
      </w:r>
      <w:r>
        <w:rPr>
          <w:rFonts w:ascii="Arial" w:cs="Arial" w:eastAsia="Arial" w:hAnsi="Arial"/>
          <w:sz w:val="19"/>
          <w:szCs w:val="19"/>
          <w:color w:val="auto"/>
        </w:rPr>
        <w:t xml:space="preserve">. The Parties are independent contractors and no provision of or action pursuant to any New Agreement shall constitute any Party acting as the direct or indirect agent or partner of the other Party for any purpose or in any sense whatsoever. Nothing contained in this Agreement is intended to, or shall be deemed to, create a partnership or fiduciary relationship between WD and TMC for any purpose. No Party shall take a position contrary to this </w:t>
      </w:r>
      <w:r>
        <w:rPr>
          <w:rFonts w:ascii="Arial" w:cs="Arial" w:eastAsia="Arial" w:hAnsi="Arial"/>
          <w:sz w:val="19"/>
          <w:szCs w:val="19"/>
          <w:u w:val="single" w:color="auto"/>
          <w:color w:val="auto"/>
        </w:rPr>
        <w:t>Section 17.6</w:t>
      </w:r>
      <w:r>
        <w:rPr>
          <w:rFonts w:ascii="Arial" w:cs="Arial" w:eastAsia="Arial" w:hAnsi="Arial"/>
          <w:sz w:val="19"/>
          <w:szCs w:val="19"/>
          <w:color w:val="auto"/>
        </w:rPr>
        <w:t>.</w:t>
      </w:r>
    </w:p>
    <w:p>
      <w:pPr>
        <w:spacing w:after="0" w:line="143"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u w:val="single" w:color="auto"/>
          <w:color w:val="auto"/>
        </w:rPr>
        <w:t>17.7 Official Language</w:t>
      </w:r>
      <w:r>
        <w:rPr>
          <w:rFonts w:ascii="Arial" w:cs="Arial" w:eastAsia="Arial" w:hAnsi="Arial"/>
          <w:sz w:val="19"/>
          <w:szCs w:val="19"/>
          <w:color w:val="auto"/>
        </w:rPr>
        <w:t>. The official language of this Agreement is the English language only, which language shall be controlling in all respects, and all versions of this Agreement in any other language shall not be binding on the parties hereto or nor shall such other versions be admissible in any legal proceeding, including arbitration, brought under this Agreement. All communications and notices to be made or given pursuant to this Agreement shall be in the English language.</w:t>
      </w:r>
    </w:p>
    <w:p>
      <w:pPr>
        <w:spacing w:after="0" w:line="143"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9"/>
          <w:szCs w:val="19"/>
          <w:u w:val="single" w:color="auto"/>
          <w:color w:val="auto"/>
        </w:rPr>
        <w:t>17.8 No Implied Licenses</w:t>
      </w:r>
      <w:r>
        <w:rPr>
          <w:rFonts w:ascii="Arial" w:cs="Arial" w:eastAsia="Arial" w:hAnsi="Arial"/>
          <w:sz w:val="19"/>
          <w:szCs w:val="19"/>
          <w:color w:val="auto"/>
        </w:rPr>
        <w:t>. All rights not expressly granted hereunder or under other agreements between the Parties are hereby retained in their entirety by such Party. Moreover, there are no implied grants or licenses hereunder and the only rights or licenses granted to either Party hereunder are limited to those rights and licenses expressly set forth herein.</w:t>
      </w:r>
    </w:p>
    <w:p>
      <w:pPr>
        <w:spacing w:after="0" w:line="134"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u w:val="single" w:color="auto"/>
          <w:color w:val="auto"/>
        </w:rPr>
        <w:t>17.9 Export Laws</w:t>
      </w:r>
      <w:r>
        <w:rPr>
          <w:rFonts w:ascii="Arial" w:cs="Arial" w:eastAsia="Arial" w:hAnsi="Arial"/>
          <w:sz w:val="19"/>
          <w:szCs w:val="19"/>
          <w:color w:val="auto"/>
        </w:rPr>
        <w:t>. No Party shall export or re-export, directly or indirectly, any technical information disclosed hereunder or direct product thereof to any destination prohibited or restricted by the export control regulations of Japan or the United States, including the U.S. Export Administration Regulations, without the prior authorization from the appropriate Governmental Authorities. No Party shall use technical information supplied by any other Party hereunder for any purpose to develop or manufacture nuclear, chemical, biological weapons or missiles (hereafter “</w:t>
      </w:r>
      <w:r>
        <w:rPr>
          <w:rFonts w:ascii="Arial" w:cs="Arial" w:eastAsia="Arial" w:hAnsi="Arial"/>
          <w:sz w:val="19"/>
          <w:szCs w:val="19"/>
          <w:u w:val="single" w:color="auto"/>
          <w:color w:val="auto"/>
        </w:rPr>
        <w:t>weapons of mass destruction</w:t>
      </w:r>
      <w:r>
        <w:rPr>
          <w:rFonts w:ascii="Arial" w:cs="Arial" w:eastAsia="Arial" w:hAnsi="Arial"/>
          <w:sz w:val="19"/>
          <w:szCs w:val="19"/>
          <w:color w:val="auto"/>
        </w:rPr>
        <w:t>”). No Party shall knowingly sell any products manufactured using any other Party’s technical information to any third party if it knows that the end-user of the products will use them for the development and/or manufacture of the weapons of mass destruction.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17.10 Definitions; Interpretation</w:t>
      </w:r>
      <w:r>
        <w:rPr>
          <w:rFonts w:ascii="Arial" w:cs="Arial" w:eastAsia="Arial" w:hAnsi="Arial"/>
          <w:sz w:val="22"/>
          <w:szCs w:val="22"/>
          <w:color w:val="auto"/>
        </w:rPr>
        <w:t>.</w:t>
      </w:r>
    </w:p>
    <w:p>
      <w:pPr>
        <w:spacing w:after="0" w:line="220" w:lineRule="exact"/>
        <w:rPr>
          <w:sz w:val="20"/>
          <w:szCs w:val="20"/>
          <w:color w:val="auto"/>
        </w:rPr>
      </w:pPr>
    </w:p>
    <w:p>
      <w:pPr>
        <w:jc w:val="both"/>
        <w:ind w:right="160" w:firstLine="1305"/>
        <w:spacing w:after="0" w:line="253" w:lineRule="auto"/>
        <w:tabs>
          <w:tab w:leader="none" w:pos="1752" w:val="left"/>
        </w:tabs>
        <w:numPr>
          <w:ilvl w:val="1"/>
          <w:numId w:val="185"/>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xml:space="preserve">. Capitalized terms used but not defined in the main body of this Agreement shall have the meanings assigned to them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Capitalized terms used but not defined in either of the main body of this Agreement or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ind w:right="120" w:firstLine="8"/>
        <w:spacing w:after="0" w:line="275" w:lineRule="auto"/>
        <w:tabs>
          <w:tab w:leader="none" w:pos="36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2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have the meaning ascribed to such terms in the New Y2 Agreement or, if not defined therein, in the FFL Master Agreement.</w:t>
      </w:r>
    </w:p>
    <w:p>
      <w:pPr>
        <w:spacing w:after="0" w:line="254" w:lineRule="exact"/>
        <w:rPr>
          <w:sz w:val="20"/>
          <w:szCs w:val="20"/>
          <w:color w:val="auto"/>
        </w:rPr>
      </w:pPr>
    </w:p>
    <w:p>
      <w:pPr>
        <w:ind w:right="160" w:firstLine="1305"/>
        <w:spacing w:after="0" w:line="253" w:lineRule="auto"/>
        <w:tabs>
          <w:tab w:leader="none" w:pos="1765"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Treatment of Ambiguities</w:t>
      </w:r>
      <w:r>
        <w:rPr>
          <w:rFonts w:ascii="Arial" w:cs="Arial" w:eastAsia="Arial" w:hAnsi="Arial"/>
          <w:sz w:val="22"/>
          <w:szCs w:val="22"/>
          <w:color w:val="auto"/>
        </w:rPr>
        <w:t>. The Parties acknowledge that each Party has participated in the drafting of this Agreement, and that any rule of construction to the effect that ambiguities are to be resolved against the drafting party shall not be applied in the construction or interpretation of this Agreement.</w:t>
      </w:r>
    </w:p>
    <w:p>
      <w:pPr>
        <w:spacing w:after="0" w:line="185" w:lineRule="exact"/>
        <w:rPr>
          <w:rFonts w:ascii="Arial" w:cs="Arial" w:eastAsia="Arial" w:hAnsi="Arial"/>
          <w:sz w:val="22"/>
          <w:szCs w:val="22"/>
          <w:color w:val="auto"/>
        </w:rPr>
      </w:pPr>
    </w:p>
    <w:p>
      <w:pPr>
        <w:ind w:right="20" w:firstLine="1305"/>
        <w:spacing w:after="0" w:line="286" w:lineRule="auto"/>
        <w:tabs>
          <w:tab w:leader="none" w:pos="1752"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References; Construction</w:t>
      </w:r>
      <w:r>
        <w:rPr>
          <w:rFonts w:ascii="Arial" w:cs="Arial" w:eastAsia="Arial" w:hAnsi="Arial"/>
          <w:sz w:val="19"/>
          <w:szCs w:val="19"/>
          <w:color w:val="auto"/>
        </w:rPr>
        <w:t>. Unless otherwise indicated herein, with respect to any reference made in this Agreement to a Section, Article, Schedule or Exhibit, such reference shall be to a section or article of, or a schedule or exhibit to, this Agreement. The article and section headings contained in this Agreement and the recitals at the beginning of this Agreement are for reference purposes only and shall not affect in any way the meaning or interpretation of this Agreement or any other agreement. Any reference made in this Agreement to a statute or statutory provision shall mean such statute or statutory provision as it has been amended through the date as of which the particular portion of the Agreement is to take effect, or to any successor statute or statutory provision relating to the same subject as the statutory provision so referred to in this Agreement, and to any then applicable rules or regulations promulgated thereunder. Whenever the words “include,” “includes” or “including” are used in this Agreement, they shall be deemed, unless the context clearly indicates to the contrary, to be followed by the words “but (is/are) not limited to.” The words “herein,” “hereof,” “hereunder” and words of like import shall refer to this Agreement as a whole (including its Schedules and Exhibits), unless the context clearly indicates to the contrary. Words used herein, regardless of the number and gender specifically used, shall be deemed and construed to include any other number, singular or plural, and any other gender, masculine, feminine or neuter, as the context indicates is appropriate. Any reference made in this Agreement to another Master Operative Document shall be deemed, unless the context clearly indicates to the contrary, to refer to such Master Operative Document as such Master Operative Document may be amended or supplemented from time to time.</w:t>
      </w:r>
    </w:p>
    <w:p>
      <w:pPr>
        <w:spacing w:after="0" w:line="159" w:lineRule="exact"/>
        <w:rPr>
          <w:rFonts w:ascii="Arial" w:cs="Arial" w:eastAsia="Arial" w:hAnsi="Arial"/>
          <w:sz w:val="19"/>
          <w:szCs w:val="19"/>
          <w:color w:val="auto"/>
        </w:rPr>
      </w:pPr>
    </w:p>
    <w:p>
      <w:pPr>
        <w:ind w:right="180" w:firstLine="1305"/>
        <w:spacing w:after="0" w:line="253" w:lineRule="auto"/>
        <w:tabs>
          <w:tab w:leader="none" w:pos="1765"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Order of Precedence</w:t>
      </w:r>
      <w:r>
        <w:rPr>
          <w:rFonts w:ascii="Arial" w:cs="Arial" w:eastAsia="Arial" w:hAnsi="Arial"/>
          <w:sz w:val="22"/>
          <w:szCs w:val="22"/>
          <w:color w:val="auto"/>
        </w:rPr>
        <w:t xml:space="preserve">. To the extent that a provision in this Agreement expressly conflicts with another Master Operative Document, then the provisions of this Agreement will control as to such conflict;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otherwise provided herein, the provisions of the Master Operative Documents remain in effect.</w:t>
      </w:r>
    </w:p>
    <w:p>
      <w:pPr>
        <w:spacing w:after="0" w:line="185" w:lineRule="exact"/>
        <w:rPr>
          <w:rFonts w:ascii="Arial" w:cs="Arial" w:eastAsia="Arial" w:hAnsi="Arial"/>
          <w:sz w:val="22"/>
          <w:szCs w:val="22"/>
          <w:color w:val="auto"/>
        </w:rPr>
      </w:pPr>
    </w:p>
    <w:p>
      <w:pPr>
        <w:ind w:right="80" w:firstLine="1305"/>
        <w:spacing w:after="0" w:line="292" w:lineRule="auto"/>
        <w:tabs>
          <w:tab w:leader="none" w:pos="1752"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Other Clarifications</w:t>
      </w:r>
      <w:r>
        <w:rPr>
          <w:rFonts w:ascii="Arial" w:cs="Arial" w:eastAsia="Arial" w:hAnsi="Arial"/>
          <w:sz w:val="19"/>
          <w:szCs w:val="19"/>
          <w:color w:val="auto"/>
        </w:rPr>
        <w:t xml:space="preserve">. Unless the context clearly indicates the contrary, any reference in this Agreement to (i) actions by, or events relating to, TMC and occurring prior to April 1, 2017 shall refer to actions by, or events relating to, Toshiba, and (ii) rights, obligations, or allocations ascribed to WD hereby, but which are set forth in a Master Operative Document to which WD is not a party, shall refer to the corresponding rights, obligations, or allocations of the applicable SanDisk party to such Master Operative Document, as if WD were named </w:t>
      </w:r>
      <w:r>
        <w:rPr>
          <w:rFonts w:ascii="Arial" w:cs="Arial" w:eastAsia="Arial" w:hAnsi="Arial"/>
          <w:sz w:val="19"/>
          <w:szCs w:val="19"/>
          <w:i w:val="1"/>
          <w:iCs w:val="1"/>
          <w:color w:val="auto"/>
        </w:rPr>
        <w:t>in lieu</w:t>
      </w:r>
      <w:r>
        <w:rPr>
          <w:rFonts w:ascii="Arial" w:cs="Arial" w:eastAsia="Arial" w:hAnsi="Arial"/>
          <w:sz w:val="19"/>
          <w:szCs w:val="19"/>
          <w:color w:val="auto"/>
        </w:rPr>
        <w:t xml:space="preserve"> of such applicable SanDisk party. For the avoidance of doubt, (A) nothing herein shall be deemed an assignment or transfer to WD of any rights or allocations ascribed to a SanDisk party in any Master Operative Document and (B) subclause (A) does not alter any rights or obligations of any Party pursuant to the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8"/>
        <w:spacing w:after="0" w:line="275" w:lineRule="auto"/>
        <w:tabs>
          <w:tab w:leader="none" w:pos="36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2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u w:val="single" w:color="auto"/>
          <w:color w:val="auto"/>
        </w:rPr>
        <w:t>17.11 Notices and Contact Information</w:t>
      </w:r>
      <w:r>
        <w:rPr>
          <w:rFonts w:ascii="Arial" w:cs="Arial" w:eastAsia="Arial" w:hAnsi="Arial"/>
          <w:sz w:val="19"/>
          <w:szCs w:val="19"/>
          <w:color w:val="auto"/>
        </w:rPr>
        <w:t xml:space="preserve">. All notices, reports and other communications to be given or made under this Agreement shall be in writing and shall be deemed received (X) if delivered by hand, courier or overnight delivery service, when delivered, or (Y) if delivered by e-mail, the earlier of: (I) when the recipient, by an email sent to the email address for the sending Party stated in this </w:t>
      </w:r>
      <w:r>
        <w:rPr>
          <w:rFonts w:ascii="Arial" w:cs="Arial" w:eastAsia="Arial" w:hAnsi="Arial"/>
          <w:sz w:val="19"/>
          <w:szCs w:val="19"/>
          <w:u w:val="single" w:color="auto"/>
          <w:color w:val="auto"/>
        </w:rPr>
        <w:t>Section 17.11</w:t>
      </w:r>
      <w:r>
        <w:rPr>
          <w:rFonts w:ascii="Arial" w:cs="Arial" w:eastAsia="Arial" w:hAnsi="Arial"/>
          <w:sz w:val="19"/>
          <w:szCs w:val="19"/>
          <w:color w:val="auto"/>
        </w:rPr>
        <w:t xml:space="preserve"> or by a notice delivered by another method in accordance with this </w:t>
      </w:r>
      <w:r>
        <w:rPr>
          <w:rFonts w:ascii="Arial" w:cs="Arial" w:eastAsia="Arial" w:hAnsi="Arial"/>
          <w:sz w:val="19"/>
          <w:szCs w:val="19"/>
          <w:u w:val="single" w:color="auto"/>
          <w:color w:val="auto"/>
        </w:rPr>
        <w:t>Section 17.11</w:t>
      </w:r>
      <w:r>
        <w:rPr>
          <w:rFonts w:ascii="Arial" w:cs="Arial" w:eastAsia="Arial" w:hAnsi="Arial"/>
          <w:sz w:val="19"/>
          <w:szCs w:val="19"/>
          <w:color w:val="auto"/>
        </w:rPr>
        <w:t>, acknowledges having received that email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 automatic “read receipt” will not constitute acknowledgment of an email for purposes of this </w:t>
      </w:r>
      <w:r>
        <w:rPr>
          <w:rFonts w:ascii="Arial" w:cs="Arial" w:eastAsia="Arial" w:hAnsi="Arial"/>
          <w:sz w:val="19"/>
          <w:szCs w:val="19"/>
          <w:u w:val="single" w:color="auto"/>
          <w:color w:val="auto"/>
        </w:rPr>
        <w:t>Section 17.11(Y)(I)</w:t>
      </w:r>
      <w:r>
        <w:rPr>
          <w:rFonts w:ascii="Arial" w:cs="Arial" w:eastAsia="Arial" w:hAnsi="Arial"/>
          <w:sz w:val="19"/>
          <w:szCs w:val="19"/>
          <w:color w:val="auto"/>
        </w:rPr>
        <w:t>) or (II) when the email is delivered, if followed within two Business Days by delivery of a copy by hand, courier or overnight delivery service, or (Z) if delivered by mail, five days after being mailed by certified or registered mail, return receipt requested, with appropriate postage prepaid, and, in each case, shall be directed to the address of such Party specified below (or at such other address as such Party shall designate by like notice):</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 If to WD or SanDisk:</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Western Digital Corporation</w:t>
      </w:r>
    </w:p>
    <w:p>
      <w:pPr>
        <w:ind w:left="260"/>
        <w:spacing w:after="0" w:line="238" w:lineRule="auto"/>
        <w:rPr>
          <w:sz w:val="20"/>
          <w:szCs w:val="20"/>
          <w:color w:val="auto"/>
        </w:rPr>
      </w:pPr>
      <w:r>
        <w:rPr>
          <w:rFonts w:ascii="Arial" w:cs="Arial" w:eastAsia="Arial" w:hAnsi="Arial"/>
          <w:sz w:val="22"/>
          <w:szCs w:val="22"/>
          <w:color w:val="auto"/>
        </w:rPr>
        <w:t>951 SanDisk Drive</w:t>
      </w:r>
    </w:p>
    <w:p>
      <w:pPr>
        <w:ind w:left="260"/>
        <w:spacing w:after="0" w:line="230" w:lineRule="auto"/>
        <w:rPr>
          <w:sz w:val="20"/>
          <w:szCs w:val="20"/>
          <w:color w:val="auto"/>
        </w:rPr>
      </w:pPr>
      <w:r>
        <w:rPr>
          <w:rFonts w:ascii="Arial" w:cs="Arial" w:eastAsia="Arial" w:hAnsi="Arial"/>
          <w:sz w:val="22"/>
          <w:szCs w:val="22"/>
          <w:color w:val="auto"/>
        </w:rPr>
        <w:t>Milpitas, CA 95035 USA</w:t>
      </w:r>
    </w:p>
    <w:p>
      <w:pPr>
        <w:ind w:left="240"/>
        <w:spacing w:after="0" w:line="231" w:lineRule="auto"/>
        <w:rPr>
          <w:sz w:val="20"/>
          <w:szCs w:val="20"/>
          <w:color w:val="auto"/>
        </w:rPr>
      </w:pPr>
      <w:r>
        <w:rPr>
          <w:rFonts w:ascii="Arial" w:cs="Arial" w:eastAsia="Arial" w:hAnsi="Arial"/>
          <w:sz w:val="22"/>
          <w:szCs w:val="22"/>
          <w:color w:val="auto"/>
        </w:rPr>
        <w:t>Telephone: (408) 801-1000</w:t>
      </w:r>
    </w:p>
    <w:p>
      <w:pPr>
        <w:ind w:left="260"/>
        <w:spacing w:after="0" w:line="231" w:lineRule="auto"/>
        <w:rPr>
          <w:sz w:val="20"/>
          <w:szCs w:val="20"/>
          <w:color w:val="auto"/>
        </w:rPr>
      </w:pPr>
      <w:r>
        <w:rPr>
          <w:rFonts w:ascii="Arial" w:cs="Arial" w:eastAsia="Arial" w:hAnsi="Arial"/>
          <w:sz w:val="22"/>
          <w:szCs w:val="22"/>
          <w:color w:val="auto"/>
        </w:rPr>
        <w:t>E-mail: ****</w:t>
      </w:r>
    </w:p>
    <w:p>
      <w:pPr>
        <w:ind w:left="240"/>
        <w:spacing w:after="0"/>
        <w:rPr>
          <w:sz w:val="20"/>
          <w:szCs w:val="20"/>
          <w:color w:val="auto"/>
        </w:rPr>
      </w:pPr>
      <w:r>
        <w:rPr>
          <w:rFonts w:ascii="Arial" w:cs="Arial" w:eastAsia="Arial" w:hAnsi="Arial"/>
          <w:sz w:val="22"/>
          <w:szCs w:val="22"/>
          <w:color w:val="auto"/>
        </w:rPr>
        <w:t>Attention: Executive Vice President, Memory Technology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Western Digital Corporation</w:t>
      </w:r>
    </w:p>
    <w:p>
      <w:pPr>
        <w:ind w:left="260"/>
        <w:spacing w:after="0" w:line="238" w:lineRule="auto"/>
        <w:rPr>
          <w:sz w:val="20"/>
          <w:szCs w:val="20"/>
          <w:color w:val="auto"/>
        </w:rPr>
      </w:pPr>
      <w:r>
        <w:rPr>
          <w:rFonts w:ascii="Arial" w:cs="Arial" w:eastAsia="Arial" w:hAnsi="Arial"/>
          <w:sz w:val="22"/>
          <w:szCs w:val="22"/>
          <w:color w:val="auto"/>
        </w:rPr>
        <w:t>5601 Great Oaks Parkway</w:t>
      </w:r>
    </w:p>
    <w:p>
      <w:pPr>
        <w:ind w:left="260"/>
        <w:spacing w:after="0" w:line="230" w:lineRule="auto"/>
        <w:rPr>
          <w:sz w:val="20"/>
          <w:szCs w:val="20"/>
          <w:color w:val="auto"/>
        </w:rPr>
      </w:pPr>
      <w:r>
        <w:rPr>
          <w:rFonts w:ascii="Arial" w:cs="Arial" w:eastAsia="Arial" w:hAnsi="Arial"/>
          <w:sz w:val="22"/>
          <w:szCs w:val="22"/>
          <w:color w:val="auto"/>
        </w:rPr>
        <w:t>San Jose, CA 95119</w:t>
      </w:r>
    </w:p>
    <w:p>
      <w:pPr>
        <w:ind w:left="240"/>
        <w:spacing w:after="0" w:line="231" w:lineRule="auto"/>
        <w:rPr>
          <w:sz w:val="20"/>
          <w:szCs w:val="20"/>
          <w:color w:val="auto"/>
        </w:rPr>
      </w:pPr>
      <w:r>
        <w:rPr>
          <w:rFonts w:ascii="Arial" w:cs="Arial" w:eastAsia="Arial" w:hAnsi="Arial"/>
          <w:sz w:val="22"/>
          <w:szCs w:val="22"/>
          <w:color w:val="auto"/>
        </w:rPr>
        <w:t>Telephone: (408) 717-6000</w:t>
      </w:r>
    </w:p>
    <w:p>
      <w:pPr>
        <w:ind w:left="260"/>
        <w:spacing w:after="0" w:line="231" w:lineRule="auto"/>
        <w:rPr>
          <w:sz w:val="20"/>
          <w:szCs w:val="20"/>
          <w:color w:val="auto"/>
        </w:rPr>
      </w:pPr>
      <w:r>
        <w:rPr>
          <w:rFonts w:ascii="Arial" w:cs="Arial" w:eastAsia="Arial" w:hAnsi="Arial"/>
          <w:sz w:val="22"/>
          <w:szCs w:val="22"/>
          <w:color w:val="auto"/>
        </w:rPr>
        <w:t>E-mail: ****</w:t>
      </w:r>
    </w:p>
    <w:p>
      <w:pPr>
        <w:ind w:left="240"/>
        <w:spacing w:after="0"/>
        <w:rPr>
          <w:sz w:val="20"/>
          <w:szCs w:val="20"/>
          <w:color w:val="auto"/>
        </w:rPr>
      </w:pPr>
      <w:r>
        <w:rPr>
          <w:rFonts w:ascii="Arial" w:cs="Arial" w:eastAsia="Arial" w:hAnsi="Arial"/>
          <w:sz w:val="22"/>
          <w:szCs w:val="22"/>
          <w:color w:val="auto"/>
        </w:rPr>
        <w:t>Attention: Chief Legal Officer</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2"/>
          <w:szCs w:val="22"/>
          <w:color w:val="auto"/>
        </w:rPr>
        <w:t>(b) If to TMC:</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Toshiba Memory Corporation</w:t>
      </w:r>
    </w:p>
    <w:p>
      <w:pPr>
        <w:ind w:left="260"/>
        <w:spacing w:after="0" w:line="238" w:lineRule="auto"/>
        <w:rPr>
          <w:sz w:val="20"/>
          <w:szCs w:val="20"/>
          <w:color w:val="auto"/>
        </w:rPr>
      </w:pPr>
      <w:r>
        <w:rPr>
          <w:rFonts w:ascii="Arial" w:cs="Arial" w:eastAsia="Arial" w:hAnsi="Arial"/>
          <w:sz w:val="22"/>
          <w:szCs w:val="22"/>
          <w:color w:val="auto"/>
        </w:rPr>
        <w:t>1-1 Shibaura 1-chome</w:t>
      </w:r>
    </w:p>
    <w:p>
      <w:pPr>
        <w:ind w:left="260"/>
        <w:spacing w:after="0" w:line="230" w:lineRule="auto"/>
        <w:rPr>
          <w:sz w:val="20"/>
          <w:szCs w:val="20"/>
          <w:color w:val="auto"/>
        </w:rPr>
      </w:pPr>
      <w:r>
        <w:rPr>
          <w:rFonts w:ascii="Arial" w:cs="Arial" w:eastAsia="Arial" w:hAnsi="Arial"/>
          <w:sz w:val="22"/>
          <w:szCs w:val="22"/>
          <w:color w:val="auto"/>
        </w:rPr>
        <w:t>Minato-ku, Tokyo 105-0023 Japan</w:t>
      </w:r>
    </w:p>
    <w:p>
      <w:pPr>
        <w:ind w:left="240"/>
        <w:spacing w:after="0" w:line="231" w:lineRule="auto"/>
        <w:rPr>
          <w:sz w:val="20"/>
          <w:szCs w:val="20"/>
          <w:color w:val="auto"/>
        </w:rPr>
      </w:pPr>
      <w:r>
        <w:rPr>
          <w:rFonts w:ascii="Arial" w:cs="Arial" w:eastAsia="Arial" w:hAnsi="Arial"/>
          <w:sz w:val="22"/>
          <w:szCs w:val="22"/>
          <w:color w:val="auto"/>
        </w:rPr>
        <w:t>Telephone: ****</w:t>
      </w:r>
    </w:p>
    <w:p>
      <w:pPr>
        <w:ind w:left="260"/>
        <w:spacing w:after="0" w:line="231" w:lineRule="auto"/>
        <w:rPr>
          <w:sz w:val="20"/>
          <w:szCs w:val="20"/>
          <w:color w:val="auto"/>
        </w:rPr>
      </w:pPr>
      <w:r>
        <w:rPr>
          <w:rFonts w:ascii="Arial" w:cs="Arial" w:eastAsia="Arial" w:hAnsi="Arial"/>
          <w:sz w:val="22"/>
          <w:szCs w:val="22"/>
          <w:color w:val="auto"/>
        </w:rPr>
        <w:t>E-mail: ****</w:t>
      </w:r>
    </w:p>
    <w:p>
      <w:pPr>
        <w:ind w:left="240"/>
        <w:spacing w:after="0"/>
        <w:rPr>
          <w:sz w:val="20"/>
          <w:szCs w:val="20"/>
          <w:color w:val="auto"/>
        </w:rPr>
      </w:pPr>
      <w:r>
        <w:rPr>
          <w:rFonts w:ascii="Arial" w:cs="Arial" w:eastAsia="Arial" w:hAnsi="Arial"/>
          <w:sz w:val="22"/>
          <w:szCs w:val="22"/>
          <w:color w:val="auto"/>
        </w:rPr>
        <w:t>Attention: Memory Division, Vice President</w:t>
      </w:r>
    </w:p>
    <w:p>
      <w:pPr>
        <w:spacing w:after="0" w:line="269" w:lineRule="exact"/>
        <w:rPr>
          <w:sz w:val="20"/>
          <w:szCs w:val="20"/>
          <w:color w:val="auto"/>
        </w:rPr>
      </w:pPr>
    </w:p>
    <w:p>
      <w:pPr>
        <w:ind w:left="80"/>
        <w:spacing w:after="0"/>
        <w:rPr>
          <w:sz w:val="20"/>
          <w:szCs w:val="20"/>
          <w:color w:val="auto"/>
        </w:rPr>
      </w:pPr>
      <w:r>
        <w:rPr>
          <w:rFonts w:ascii="Arial" w:cs="Arial" w:eastAsia="Arial" w:hAnsi="Arial"/>
          <w:sz w:val="22"/>
          <w:szCs w:val="22"/>
          <w:color w:val="auto"/>
        </w:rPr>
        <w:t>With a copy to:</w:t>
      </w:r>
    </w:p>
    <w:p>
      <w:pPr>
        <w:ind w:left="240"/>
        <w:spacing w:after="0" w:line="238" w:lineRule="auto"/>
        <w:rPr>
          <w:sz w:val="20"/>
          <w:szCs w:val="20"/>
          <w:color w:val="auto"/>
        </w:rPr>
      </w:pPr>
      <w:r>
        <w:rPr>
          <w:rFonts w:ascii="Arial" w:cs="Arial" w:eastAsia="Arial" w:hAnsi="Arial"/>
          <w:sz w:val="22"/>
          <w:szCs w:val="22"/>
          <w:color w:val="auto"/>
        </w:rPr>
        <w:t>Toshiba Memory Corporation</w:t>
      </w:r>
    </w:p>
    <w:p>
      <w:pPr>
        <w:ind w:left="260"/>
        <w:spacing w:after="0" w:line="230" w:lineRule="auto"/>
        <w:rPr>
          <w:sz w:val="20"/>
          <w:szCs w:val="20"/>
          <w:color w:val="auto"/>
        </w:rPr>
      </w:pPr>
      <w:r>
        <w:rPr>
          <w:rFonts w:ascii="Arial" w:cs="Arial" w:eastAsia="Arial" w:hAnsi="Arial"/>
          <w:sz w:val="22"/>
          <w:szCs w:val="22"/>
          <w:color w:val="auto"/>
        </w:rPr>
        <w:t>1-1 Shibaura 1-chome</w:t>
      </w:r>
    </w:p>
    <w:p>
      <w:pPr>
        <w:ind w:left="260"/>
        <w:spacing w:after="0" w:line="231" w:lineRule="auto"/>
        <w:rPr>
          <w:sz w:val="20"/>
          <w:szCs w:val="20"/>
          <w:color w:val="auto"/>
        </w:rPr>
      </w:pPr>
      <w:r>
        <w:rPr>
          <w:rFonts w:ascii="Arial" w:cs="Arial" w:eastAsia="Arial" w:hAnsi="Arial"/>
          <w:sz w:val="22"/>
          <w:szCs w:val="22"/>
          <w:color w:val="auto"/>
        </w:rPr>
        <w:t>Minato-ku, Tokyo 105-0023 Japan</w:t>
      </w:r>
    </w:p>
    <w:p>
      <w:pPr>
        <w:ind w:left="240"/>
        <w:spacing w:after="0" w:line="231" w:lineRule="auto"/>
        <w:rPr>
          <w:sz w:val="20"/>
          <w:szCs w:val="20"/>
          <w:color w:val="auto"/>
        </w:rPr>
      </w:pPr>
      <w:r>
        <w:rPr>
          <w:rFonts w:ascii="Arial" w:cs="Arial" w:eastAsia="Arial" w:hAnsi="Arial"/>
          <w:sz w:val="22"/>
          <w:szCs w:val="22"/>
          <w:color w:val="auto"/>
        </w:rPr>
        <w:t>Telephone: ****</w:t>
      </w:r>
    </w:p>
    <w:p>
      <w:pPr>
        <w:ind w:left="260"/>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Attention: General Manager, Legal Affairs Division</w:t>
      </w:r>
    </w:p>
    <w:p>
      <w:pPr>
        <w:spacing w:after="0" w:line="256"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If to any of the JVs, then to each of the addressees at (a) and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20"/>
          </w:cols>
          <w:pgMar w:left="240" w:top="126" w:right="23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u w:val="single" w:color="auto"/>
          <w:color w:val="auto"/>
        </w:rPr>
        <w:t>17.12 Assignment</w:t>
      </w:r>
      <w:r>
        <w:rPr>
          <w:rFonts w:ascii="Arial" w:cs="Arial" w:eastAsia="Arial" w:hAnsi="Arial"/>
          <w:sz w:val="19"/>
          <w:szCs w:val="19"/>
          <w:color w:val="auto"/>
        </w:rPr>
        <w:t>. Except as separately agreed by the Parties in writing, none of the Parties may transfer this Agreement or any of its rights hereunder (except for any transfer to an Affiliate or in connection with a merger, consolidation or sale of all or substantially all the assets or the outstanding securities of such Party, which transfer will not require any consent of the other Parties hereunder) without the prior written consent of the each of the other Parties (which consent may be withheld by each such other Party in such other Party’s sole discretion), and any such purported transfer without such consents will be void.</w:t>
      </w:r>
    </w:p>
    <w:p>
      <w:pPr>
        <w:spacing w:after="0" w:line="147" w:lineRule="exact"/>
        <w:rPr>
          <w:sz w:val="20"/>
          <w:szCs w:val="20"/>
          <w:color w:val="auto"/>
        </w:rPr>
      </w:pPr>
    </w:p>
    <w:p>
      <w:pPr>
        <w:ind w:right="340" w:firstLine="648"/>
        <w:spacing w:after="0" w:line="246" w:lineRule="auto"/>
        <w:rPr>
          <w:sz w:val="20"/>
          <w:szCs w:val="20"/>
          <w:color w:val="auto"/>
        </w:rPr>
      </w:pPr>
      <w:r>
        <w:rPr>
          <w:rFonts w:ascii="Arial" w:cs="Arial" w:eastAsia="Arial" w:hAnsi="Arial"/>
          <w:sz w:val="22"/>
          <w:szCs w:val="22"/>
          <w:u w:val="single" w:color="auto"/>
          <w:color w:val="auto"/>
        </w:rPr>
        <w:t>17.13 Amendment and Waiver</w:t>
      </w:r>
      <w:r>
        <w:rPr>
          <w:rFonts w:ascii="Arial" w:cs="Arial" w:eastAsia="Arial" w:hAnsi="Arial"/>
          <w:sz w:val="22"/>
          <w:szCs w:val="22"/>
          <w:color w:val="auto"/>
        </w:rPr>
        <w:t>. This Agreement may not be amended, modified or supplemented except by a written instrument executed by each Party. No waiver of any provision of this Agreement shall be effective unless set forth in a written instrument signed by the Party waiving such provision. No failure or delay by a Party in exercising any right, power or remedy under this Agreement shall operate as a waiver thereof, nor shall any single or partial exercise of the same preclude any further exercise thereof or the exercise of any other right, power or remedy. Without limiting the foregoing, no waiver by a Party of any breach by any other Party of any provision hereof shall be deemed to be a waiver of any subsequent breach of that or any other provision hereof.</w:t>
      </w:r>
    </w:p>
    <w:p>
      <w:pPr>
        <w:spacing w:after="0" w:line="197" w:lineRule="exact"/>
        <w:rPr>
          <w:sz w:val="20"/>
          <w:szCs w:val="20"/>
          <w:color w:val="auto"/>
        </w:rPr>
      </w:pPr>
    </w:p>
    <w:p>
      <w:pPr>
        <w:ind w:right="80" w:firstLine="648"/>
        <w:spacing w:after="0" w:line="246" w:lineRule="auto"/>
        <w:rPr>
          <w:sz w:val="20"/>
          <w:szCs w:val="20"/>
          <w:color w:val="auto"/>
        </w:rPr>
      </w:pPr>
      <w:r>
        <w:rPr>
          <w:rFonts w:ascii="Arial" w:cs="Arial" w:eastAsia="Arial" w:hAnsi="Arial"/>
          <w:sz w:val="22"/>
          <w:szCs w:val="22"/>
          <w:u w:val="single" w:color="auto"/>
          <w:color w:val="auto"/>
        </w:rPr>
        <w:t>17.14 Severability</w:t>
      </w:r>
      <w:r>
        <w:rPr>
          <w:rFonts w:ascii="Arial" w:cs="Arial" w:eastAsia="Arial" w:hAnsi="Arial"/>
          <w:sz w:val="22"/>
          <w:szCs w:val="22"/>
          <w:color w:val="auto"/>
        </w:rPr>
        <w:t>. If a term of any New Agreement or the application of any such term is or becomes illegal, invalid or unenforceable in any respect under any jurisdiction, that will not affect (a) the legality, validity or enforceability in that jurisdiction of any other term of the New Agreements or (b) the legality, validity or enforceability in any other jurisdictions of that or any other term of the New Agreements. To the extent permitted by applicable law, the Parties waive any provision of Law that renders any provision of this Agreement invalid, illegal or unenforceable in any respect. Such term shall be replaced by a mutually acceptable provision, which being valid, legal and enforceable comes closest to the intention of the Parties underlying such illegal, invalid or unenforceable provision.</w:t>
      </w:r>
    </w:p>
    <w:p>
      <w:pPr>
        <w:spacing w:after="0" w:line="197"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u w:val="single" w:color="auto"/>
          <w:color w:val="auto"/>
        </w:rPr>
        <w:t>17.15 Counterparts; Effectiveness</w:t>
      </w:r>
      <w:r>
        <w:rPr>
          <w:rFonts w:ascii="Arial" w:cs="Arial" w:eastAsia="Arial" w:hAnsi="Arial"/>
          <w:sz w:val="19"/>
          <w:szCs w:val="19"/>
          <w:color w:val="auto"/>
        </w:rPr>
        <w:t>. This Agreement may be executed in counterparts, each of which shall be binding as of the date first written above, and all of which shall constitute one and the same instrument. Each such counterpart shall be deemed an original, and it shall not be necessary in making proof of this Agreement to produce or account for more than one such counterpart. The exchange of copies of this Agreement and of signature pages by facsimile transmission, portable document format (.pdf) or other electronic format shall be deemed to be their original signatures for all purposes. This Agreement shall not become effective until one or more counterparts have been executed by each Party and delivered to the other Parties.</w:t>
      </w:r>
    </w:p>
    <w:p>
      <w:pPr>
        <w:spacing w:after="0" w:line="150"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u w:val="single" w:color="auto"/>
          <w:color w:val="auto"/>
        </w:rPr>
        <w:t>17.16 No Admission</w:t>
      </w:r>
      <w:r>
        <w:rPr>
          <w:rFonts w:ascii="Arial" w:cs="Arial" w:eastAsia="Arial" w:hAnsi="Arial"/>
          <w:sz w:val="22"/>
          <w:szCs w:val="22"/>
          <w:color w:val="auto"/>
        </w:rPr>
        <w:t>. Nothing in this Agreement shall constitute or be used as an admission, acquiescence, acknowledgement, or agreement by anyone as to the merit of any claims or defenses, whether or not asserted in any arbitration or other litigation, except to enforce the provisions of this Agreement or any part of any other agreement expressly amended herein. In addition, nothing in this Agreement shall constitute or be used as an admission in any arbitration, litigation, or other proceeding regarding the interpretation of any other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page is intentionally left blank.</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firstLine="8"/>
        <w:spacing w:after="0" w:line="275" w:lineRule="auto"/>
        <w:tabs>
          <w:tab w:leader="none" w:pos="3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2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representatives as of the date first written above.</w:t>
      </w:r>
    </w:p>
    <w:p>
      <w:pPr>
        <w:spacing w:after="0" w:line="200" w:lineRule="exact"/>
        <w:rPr>
          <w:sz w:val="20"/>
          <w:szCs w:val="20"/>
          <w:color w:val="auto"/>
        </w:rPr>
      </w:pPr>
    </w:p>
    <w:p>
      <w:pPr>
        <w:spacing w:after="0" w:line="342"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WESTERN DIGITAL CORPORATION</w:t>
            </w:r>
          </w:p>
        </w:tc>
        <w:tc>
          <w:tcPr>
            <w:tcW w:w="4820" w:type="dxa"/>
            <w:vAlign w:val="bottom"/>
            <w:gridSpan w:val="5"/>
          </w:tcPr>
          <w:p>
            <w:pPr>
              <w:ind w:left="1180"/>
              <w:spacing w:after="0"/>
              <w:rPr>
                <w:sz w:val="20"/>
                <w:szCs w:val="20"/>
                <w:color w:val="auto"/>
              </w:rPr>
            </w:pPr>
            <w:r>
              <w:rPr>
                <w:rFonts w:ascii="Arial" w:cs="Arial" w:eastAsia="Arial" w:hAnsi="Arial"/>
                <w:sz w:val="21"/>
                <w:szCs w:val="21"/>
                <w:b w:val="1"/>
                <w:bCs w:val="1"/>
                <w:color w:val="auto"/>
              </w:rPr>
              <w:t>TOSHIBA MEMORY CORPORATION</w:t>
            </w:r>
          </w:p>
        </w:tc>
      </w:tr>
      <w:tr>
        <w:trPr>
          <w:trHeight w:val="816"/>
        </w:trPr>
        <w:tc>
          <w:tcPr>
            <w:tcW w:w="4760" w:type="dxa"/>
            <w:vAlign w:val="bottom"/>
            <w:gridSpan w:val="3"/>
          </w:tcPr>
          <w:p>
            <w:pPr>
              <w:spacing w:after="0"/>
              <w:rPr>
                <w:sz w:val="20"/>
                <w:szCs w:val="20"/>
                <w:color w:val="auto"/>
              </w:rPr>
            </w:pPr>
            <w:r>
              <w:rPr>
                <w:rFonts w:ascii="Arial" w:cs="Arial" w:eastAsia="Arial" w:hAnsi="Arial"/>
                <w:sz w:val="21"/>
                <w:szCs w:val="21"/>
                <w:color w:val="auto"/>
              </w:rPr>
              <w:t>By: /s/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By: /s/ Yasuo Naruke</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4760" w:type="dxa"/>
            <w:vAlign w:val="bottom"/>
            <w:gridSpan w:val="3"/>
          </w:tcPr>
          <w:p>
            <w:pPr>
              <w:spacing w:after="0"/>
              <w:rPr>
                <w:sz w:val="20"/>
                <w:szCs w:val="20"/>
                <w:color w:val="auto"/>
              </w:rPr>
            </w:pPr>
            <w:r>
              <w:rPr>
                <w:rFonts w:ascii="Arial" w:cs="Arial" w:eastAsia="Arial" w:hAnsi="Arial"/>
                <w:sz w:val="21"/>
                <w:szCs w:val="21"/>
                <w:color w:val="auto"/>
              </w:rPr>
              <w:t>Name: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Name: Yasuo Naruke</w:t>
            </w:r>
          </w:p>
        </w:tc>
      </w:tr>
      <w:tr>
        <w:trPr>
          <w:trHeight w:val="243"/>
        </w:trPr>
        <w:tc>
          <w:tcPr>
            <w:tcW w:w="4760" w:type="dxa"/>
            <w:vAlign w:val="bottom"/>
            <w:gridSpan w:val="3"/>
          </w:tcPr>
          <w:p>
            <w:pPr>
              <w:spacing w:after="0"/>
              <w:rPr>
                <w:sz w:val="20"/>
                <w:szCs w:val="20"/>
                <w:color w:val="auto"/>
              </w:rPr>
            </w:pPr>
            <w:r>
              <w:rPr>
                <w:rFonts w:ascii="Arial" w:cs="Arial" w:eastAsia="Arial" w:hAnsi="Arial"/>
                <w:sz w:val="21"/>
                <w:szCs w:val="21"/>
                <w:color w:val="auto"/>
              </w:rPr>
              <w:t>Title: Executive Vice President, Chief</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w w:val="90"/>
              </w:rPr>
              <w:t>Title: President and Chief Executive Officer</w:t>
            </w:r>
          </w:p>
        </w:tc>
      </w:tr>
      <w:tr>
        <w:trPr>
          <w:trHeight w:val="264"/>
        </w:trPr>
        <w:tc>
          <w:tcPr>
            <w:tcW w:w="340" w:type="dxa"/>
            <w:vAlign w:val="bottom"/>
          </w:tcPr>
          <w:p>
            <w:pPr>
              <w:spacing w:after="0"/>
              <w:rPr>
                <w:sz w:val="22"/>
                <w:szCs w:val="22"/>
                <w:color w:val="auto"/>
              </w:rPr>
            </w:pPr>
          </w:p>
        </w:tc>
        <w:tc>
          <w:tcPr>
            <w:tcW w:w="4420" w:type="dxa"/>
            <w:vAlign w:val="bottom"/>
            <w:gridSpan w:val="2"/>
          </w:tcPr>
          <w:p>
            <w:pPr>
              <w:ind w:left="220"/>
              <w:spacing w:after="0"/>
              <w:rPr>
                <w:sz w:val="20"/>
                <w:szCs w:val="20"/>
                <w:color w:val="auto"/>
              </w:rPr>
            </w:pPr>
            <w:r>
              <w:rPr>
                <w:rFonts w:ascii="Arial" w:cs="Arial" w:eastAsia="Arial" w:hAnsi="Arial"/>
                <w:sz w:val="21"/>
                <w:szCs w:val="21"/>
                <w:color w:val="auto"/>
              </w:rPr>
              <w:t>Legal Officer and Secretary</w:t>
            </w:r>
          </w:p>
        </w:tc>
        <w:tc>
          <w:tcPr>
            <w:tcW w:w="1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594"/>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SANDISK LLC</w:t>
            </w:r>
          </w:p>
        </w:tc>
        <w:tc>
          <w:tcPr>
            <w:tcW w:w="4820" w:type="dxa"/>
            <w:vAlign w:val="bottom"/>
            <w:gridSpan w:val="5"/>
          </w:tcPr>
          <w:p>
            <w:pPr>
              <w:ind w:left="1180"/>
              <w:spacing w:after="0"/>
              <w:rPr>
                <w:sz w:val="20"/>
                <w:szCs w:val="20"/>
                <w:color w:val="auto"/>
              </w:rPr>
            </w:pPr>
            <w:r>
              <w:rPr>
                <w:rFonts w:ascii="Arial" w:cs="Arial" w:eastAsia="Arial" w:hAnsi="Arial"/>
                <w:sz w:val="21"/>
                <w:szCs w:val="21"/>
                <w:b w:val="1"/>
                <w:bCs w:val="1"/>
                <w:color w:val="auto"/>
              </w:rPr>
              <w:t>FLASH PARTNERS, LTD.</w:t>
            </w:r>
          </w:p>
        </w:tc>
      </w:tr>
      <w:tr>
        <w:trPr>
          <w:trHeight w:val="816"/>
        </w:trPr>
        <w:tc>
          <w:tcPr>
            <w:tcW w:w="4760" w:type="dxa"/>
            <w:vAlign w:val="bottom"/>
            <w:gridSpan w:val="3"/>
          </w:tcPr>
          <w:p>
            <w:pPr>
              <w:spacing w:after="0"/>
              <w:rPr>
                <w:sz w:val="20"/>
                <w:szCs w:val="20"/>
                <w:color w:val="auto"/>
              </w:rPr>
            </w:pPr>
            <w:r>
              <w:rPr>
                <w:rFonts w:ascii="Arial" w:cs="Arial" w:eastAsia="Arial" w:hAnsi="Arial"/>
                <w:sz w:val="21"/>
                <w:szCs w:val="21"/>
                <w:color w:val="auto"/>
              </w:rPr>
              <w:t>By: /s/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By: /s/ Hideyuki Kobayashi</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4760" w:type="dxa"/>
            <w:vAlign w:val="bottom"/>
            <w:gridSpan w:val="3"/>
          </w:tcPr>
          <w:p>
            <w:pPr>
              <w:spacing w:after="0"/>
              <w:rPr>
                <w:sz w:val="20"/>
                <w:szCs w:val="20"/>
                <w:color w:val="auto"/>
              </w:rPr>
            </w:pPr>
            <w:r>
              <w:rPr>
                <w:rFonts w:ascii="Arial" w:cs="Arial" w:eastAsia="Arial" w:hAnsi="Arial"/>
                <w:sz w:val="21"/>
                <w:szCs w:val="21"/>
                <w:color w:val="auto"/>
              </w:rPr>
              <w:t>Name: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Name: Hideyuki Kobayashi</w:t>
            </w:r>
          </w:p>
        </w:tc>
      </w:tr>
      <w:tr>
        <w:trPr>
          <w:trHeight w:val="264"/>
        </w:trPr>
        <w:tc>
          <w:tcPr>
            <w:tcW w:w="4760" w:type="dxa"/>
            <w:vAlign w:val="bottom"/>
            <w:gridSpan w:val="3"/>
          </w:tcPr>
          <w:p>
            <w:pPr>
              <w:spacing w:after="0"/>
              <w:rPr>
                <w:sz w:val="20"/>
                <w:szCs w:val="20"/>
                <w:color w:val="auto"/>
              </w:rPr>
            </w:pPr>
            <w:r>
              <w:rPr>
                <w:rFonts w:ascii="Arial" w:cs="Arial" w:eastAsia="Arial" w:hAnsi="Arial"/>
                <w:sz w:val="21"/>
                <w:szCs w:val="21"/>
                <w:color w:val="auto"/>
              </w:rPr>
              <w:t>Title: Sole Manager</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w w:val="90"/>
              </w:rPr>
              <w:t>Title: President and Chief Executive Officer</w:t>
            </w:r>
          </w:p>
        </w:tc>
      </w:tr>
      <w:tr>
        <w:trPr>
          <w:trHeight w:val="594"/>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SANDISK (CAYMAN) LIMITED</w:t>
            </w:r>
          </w:p>
        </w:tc>
        <w:tc>
          <w:tcPr>
            <w:tcW w:w="4820" w:type="dxa"/>
            <w:vAlign w:val="bottom"/>
            <w:gridSpan w:val="5"/>
          </w:tcPr>
          <w:p>
            <w:pPr>
              <w:ind w:left="1180"/>
              <w:spacing w:after="0"/>
              <w:rPr>
                <w:sz w:val="20"/>
                <w:szCs w:val="20"/>
                <w:color w:val="auto"/>
              </w:rPr>
            </w:pPr>
            <w:r>
              <w:rPr>
                <w:rFonts w:ascii="Arial" w:cs="Arial" w:eastAsia="Arial" w:hAnsi="Arial"/>
                <w:sz w:val="21"/>
                <w:szCs w:val="21"/>
                <w:b w:val="1"/>
                <w:bCs w:val="1"/>
                <w:color w:val="auto"/>
              </w:rPr>
              <w:t>FLASH ALLIANCE, LTD.</w:t>
            </w:r>
          </w:p>
        </w:tc>
      </w:tr>
      <w:tr>
        <w:trPr>
          <w:trHeight w:val="816"/>
        </w:trPr>
        <w:tc>
          <w:tcPr>
            <w:tcW w:w="4760" w:type="dxa"/>
            <w:vAlign w:val="bottom"/>
            <w:gridSpan w:val="3"/>
          </w:tcPr>
          <w:p>
            <w:pPr>
              <w:spacing w:after="0"/>
              <w:rPr>
                <w:sz w:val="20"/>
                <w:szCs w:val="20"/>
                <w:color w:val="auto"/>
              </w:rPr>
            </w:pPr>
            <w:r>
              <w:rPr>
                <w:rFonts w:ascii="Arial" w:cs="Arial" w:eastAsia="Arial" w:hAnsi="Arial"/>
                <w:sz w:val="21"/>
                <w:szCs w:val="21"/>
                <w:color w:val="auto"/>
              </w:rPr>
              <w:t>By: /s/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By: /s/ Atsuyoshi Koike</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250"/>
        </w:trPr>
        <w:tc>
          <w:tcPr>
            <w:tcW w:w="4760" w:type="dxa"/>
            <w:vAlign w:val="bottom"/>
            <w:gridSpan w:val="3"/>
          </w:tcPr>
          <w:p>
            <w:pPr>
              <w:spacing w:after="0"/>
              <w:rPr>
                <w:sz w:val="20"/>
                <w:szCs w:val="20"/>
                <w:color w:val="auto"/>
              </w:rPr>
            </w:pPr>
            <w:r>
              <w:rPr>
                <w:rFonts w:ascii="Arial" w:cs="Arial" w:eastAsia="Arial" w:hAnsi="Arial"/>
                <w:sz w:val="21"/>
                <w:szCs w:val="21"/>
                <w:color w:val="auto"/>
              </w:rPr>
              <w:t>Name: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Name: Atsuyoshi Koike</w:t>
            </w:r>
          </w:p>
        </w:tc>
      </w:tr>
      <w:tr>
        <w:trPr>
          <w:trHeight w:val="264"/>
        </w:trPr>
        <w:tc>
          <w:tcPr>
            <w:tcW w:w="4760" w:type="dxa"/>
            <w:vAlign w:val="bottom"/>
            <w:gridSpan w:val="3"/>
          </w:tcPr>
          <w:p>
            <w:pPr>
              <w:spacing w:after="0"/>
              <w:rPr>
                <w:sz w:val="20"/>
                <w:szCs w:val="20"/>
                <w:color w:val="auto"/>
              </w:rPr>
            </w:pPr>
            <w:r>
              <w:rPr>
                <w:rFonts w:ascii="Arial" w:cs="Arial" w:eastAsia="Arial" w:hAnsi="Arial"/>
                <w:sz w:val="21"/>
                <w:szCs w:val="21"/>
                <w:color w:val="auto"/>
              </w:rPr>
              <w:t>Title: Director</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w w:val="90"/>
              </w:rPr>
              <w:t>Title: President and Chief Executive Officer</w:t>
            </w:r>
          </w:p>
        </w:tc>
      </w:tr>
      <w:tr>
        <w:trPr>
          <w:trHeight w:val="594"/>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SANDISK (IRELAND) LIMITED</w:t>
            </w:r>
          </w:p>
        </w:tc>
        <w:tc>
          <w:tcPr>
            <w:tcW w:w="4820" w:type="dxa"/>
            <w:vAlign w:val="bottom"/>
            <w:gridSpan w:val="5"/>
          </w:tcPr>
          <w:p>
            <w:pPr>
              <w:ind w:left="1180"/>
              <w:spacing w:after="0"/>
              <w:rPr>
                <w:sz w:val="20"/>
                <w:szCs w:val="20"/>
                <w:color w:val="auto"/>
              </w:rPr>
            </w:pPr>
            <w:r>
              <w:rPr>
                <w:rFonts w:ascii="Arial" w:cs="Arial" w:eastAsia="Arial" w:hAnsi="Arial"/>
                <w:sz w:val="21"/>
                <w:szCs w:val="21"/>
                <w:b w:val="1"/>
                <w:bCs w:val="1"/>
                <w:color w:val="auto"/>
              </w:rPr>
              <w:t>FLASH FORWARD, LTD.</w:t>
            </w:r>
          </w:p>
        </w:tc>
      </w:tr>
      <w:tr>
        <w:trPr>
          <w:trHeight w:val="816"/>
        </w:trPr>
        <w:tc>
          <w:tcPr>
            <w:tcW w:w="4760" w:type="dxa"/>
            <w:vAlign w:val="bottom"/>
            <w:gridSpan w:val="3"/>
          </w:tcPr>
          <w:p>
            <w:pPr>
              <w:spacing w:after="0"/>
              <w:rPr>
                <w:sz w:val="20"/>
                <w:szCs w:val="20"/>
                <w:color w:val="auto"/>
              </w:rPr>
            </w:pPr>
            <w:r>
              <w:rPr>
                <w:rFonts w:ascii="Arial" w:cs="Arial" w:eastAsia="Arial" w:hAnsi="Arial"/>
                <w:sz w:val="21"/>
                <w:szCs w:val="21"/>
                <w:color w:val="auto"/>
              </w:rPr>
              <w:t>By: /s/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By: /s/ Hideyuki Kobayashi</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4760" w:type="dxa"/>
            <w:vAlign w:val="bottom"/>
            <w:gridSpan w:val="3"/>
          </w:tcPr>
          <w:p>
            <w:pPr>
              <w:spacing w:after="0"/>
              <w:rPr>
                <w:sz w:val="20"/>
                <w:szCs w:val="20"/>
                <w:color w:val="auto"/>
              </w:rPr>
            </w:pPr>
            <w:r>
              <w:rPr>
                <w:rFonts w:ascii="Arial" w:cs="Arial" w:eastAsia="Arial" w:hAnsi="Arial"/>
                <w:sz w:val="21"/>
                <w:szCs w:val="21"/>
                <w:color w:val="auto"/>
              </w:rPr>
              <w:t>Name: Michael C. Ray</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rPr>
              <w:t>Name: Hideyuki Kobayashi</w:t>
            </w:r>
          </w:p>
        </w:tc>
      </w:tr>
      <w:tr>
        <w:trPr>
          <w:trHeight w:val="264"/>
        </w:trPr>
        <w:tc>
          <w:tcPr>
            <w:tcW w:w="4760" w:type="dxa"/>
            <w:vAlign w:val="bottom"/>
            <w:gridSpan w:val="3"/>
          </w:tcPr>
          <w:p>
            <w:pPr>
              <w:spacing w:after="0"/>
              <w:rPr>
                <w:sz w:val="20"/>
                <w:szCs w:val="20"/>
                <w:color w:val="auto"/>
              </w:rPr>
            </w:pPr>
            <w:r>
              <w:rPr>
                <w:rFonts w:ascii="Arial" w:cs="Arial" w:eastAsia="Arial" w:hAnsi="Arial"/>
                <w:sz w:val="21"/>
                <w:szCs w:val="21"/>
                <w:color w:val="auto"/>
              </w:rPr>
              <w:t>Title: Director</w:t>
            </w:r>
          </w:p>
        </w:tc>
        <w:tc>
          <w:tcPr>
            <w:tcW w:w="4820" w:type="dxa"/>
            <w:vAlign w:val="bottom"/>
            <w:gridSpan w:val="5"/>
          </w:tcPr>
          <w:p>
            <w:pPr>
              <w:ind w:left="1180"/>
              <w:spacing w:after="0"/>
              <w:rPr>
                <w:sz w:val="20"/>
                <w:szCs w:val="20"/>
                <w:color w:val="auto"/>
              </w:rPr>
            </w:pPr>
            <w:r>
              <w:rPr>
                <w:rFonts w:ascii="Arial" w:cs="Arial" w:eastAsia="Arial" w:hAnsi="Arial"/>
                <w:sz w:val="21"/>
                <w:szCs w:val="21"/>
                <w:color w:val="auto"/>
                <w:w w:val="90"/>
              </w:rPr>
              <w:t>Title: President and Chief Executive Officer</w:t>
            </w:r>
          </w:p>
        </w:tc>
      </w:tr>
      <w:tr>
        <w:trPr>
          <w:trHeight w:val="594"/>
        </w:trPr>
        <w:tc>
          <w:tcPr>
            <w:tcW w:w="4760" w:type="dxa"/>
            <w:vAlign w:val="bottom"/>
            <w:gridSpan w:val="3"/>
          </w:tcPr>
          <w:p>
            <w:pPr>
              <w:spacing w:after="0"/>
              <w:rPr>
                <w:sz w:val="20"/>
                <w:szCs w:val="20"/>
                <w:color w:val="auto"/>
              </w:rPr>
            </w:pPr>
            <w:r>
              <w:rPr>
                <w:rFonts w:ascii="Arial" w:cs="Arial" w:eastAsia="Arial" w:hAnsi="Arial"/>
                <w:sz w:val="21"/>
                <w:szCs w:val="21"/>
                <w:b w:val="1"/>
                <w:bCs w:val="1"/>
                <w:color w:val="auto"/>
              </w:rPr>
              <w:t>SANDISK FLASH B.V.</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16"/>
        </w:trPr>
        <w:tc>
          <w:tcPr>
            <w:tcW w:w="4760" w:type="dxa"/>
            <w:vAlign w:val="bottom"/>
            <w:gridSpan w:val="3"/>
          </w:tcPr>
          <w:p>
            <w:pPr>
              <w:spacing w:after="0"/>
              <w:rPr>
                <w:sz w:val="20"/>
                <w:szCs w:val="20"/>
                <w:color w:val="auto"/>
              </w:rPr>
            </w:pPr>
            <w:r>
              <w:rPr>
                <w:rFonts w:ascii="Arial" w:cs="Arial" w:eastAsia="Arial" w:hAnsi="Arial"/>
                <w:sz w:val="21"/>
                <w:szCs w:val="21"/>
                <w:color w:val="auto"/>
              </w:rPr>
              <w:t>By: /s/ Michael C. Ray</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8"/>
        </w:trPr>
        <w:tc>
          <w:tcPr>
            <w:tcW w:w="4760" w:type="dxa"/>
            <w:vAlign w:val="bottom"/>
            <w:gridSpan w:val="3"/>
          </w:tcPr>
          <w:p>
            <w:pPr>
              <w:spacing w:after="0"/>
              <w:rPr>
                <w:sz w:val="20"/>
                <w:szCs w:val="20"/>
                <w:color w:val="auto"/>
              </w:rPr>
            </w:pPr>
            <w:r>
              <w:rPr>
                <w:rFonts w:ascii="Arial" w:cs="Arial" w:eastAsia="Arial" w:hAnsi="Arial"/>
                <w:sz w:val="21"/>
                <w:szCs w:val="21"/>
                <w:color w:val="auto"/>
              </w:rPr>
              <w:t>Name: Michael C. Ray</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ind w:left="180"/>
        <w:spacing w:after="0"/>
        <w:rPr>
          <w:sz w:val="20"/>
          <w:szCs w:val="20"/>
          <w:color w:val="auto"/>
        </w:rPr>
      </w:pPr>
      <w:r>
        <w:rPr>
          <w:rFonts w:ascii="Arial" w:cs="Arial" w:eastAsia="Arial" w:hAnsi="Arial"/>
          <w:sz w:val="21"/>
          <w:szCs w:val="21"/>
          <w:color w:val="auto"/>
        </w:rPr>
        <w:t>Title: Director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Y6 Facility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20" w:firstLine="8"/>
        <w:spacing w:after="0" w:line="275" w:lineRule="auto"/>
        <w:tabs>
          <w:tab w:leader="none" w:pos="36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420"/>
          </w:cols>
          <w:pgMar w:left="240" w:top="125" w:right="23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3D Collaboration Agreement</w:t>
      </w:r>
      <w:r>
        <w:rPr>
          <w:rFonts w:ascii="Arial" w:cs="Arial" w:eastAsia="Arial" w:hAnsi="Arial"/>
          <w:sz w:val="22"/>
          <w:szCs w:val="22"/>
          <w:color w:val="auto"/>
        </w:rPr>
        <w:t>” means the 3D Collaboration Agreement, dated as of June 13, 2008, between SanDisk LLC and TMC.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3D Memory Products</w:t>
      </w:r>
      <w:r>
        <w:rPr>
          <w:rFonts w:ascii="Arial" w:cs="Arial" w:eastAsia="Arial" w:hAnsi="Arial"/>
          <w:sz w:val="22"/>
          <w:szCs w:val="22"/>
          <w:color w:val="auto"/>
        </w:rPr>
        <w:t>” has the meaning set forth in the 3D Collaboration Agreement.</w:t>
      </w:r>
    </w:p>
    <w:p>
      <w:pPr>
        <w:spacing w:after="0" w:line="220"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 lawsuit, arbitration or other legal proceeding pending by or against or affecting a Party or any of its Affiliates or any of their respective properties.</w:t>
      </w:r>
    </w:p>
    <w:p>
      <w:pPr>
        <w:spacing w:after="0" w:line="175"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specified Person, any other Person that directly or indirectly, through one or more intermediaries, controls, is controlled by or is under common control with, the Person specified, and “</w:t>
      </w:r>
      <w:r>
        <w:rPr>
          <w:rFonts w:ascii="Arial" w:cs="Arial" w:eastAsia="Arial" w:hAnsi="Arial"/>
          <w:sz w:val="21"/>
          <w:szCs w:val="21"/>
          <w:u w:val="single" w:color="auto"/>
          <w:color w:val="auto"/>
        </w:rPr>
        <w:t>control</w:t>
      </w:r>
      <w:r>
        <w:rPr>
          <w:rFonts w:ascii="Arial" w:cs="Arial" w:eastAsia="Arial" w:hAnsi="Arial"/>
          <w:sz w:val="21"/>
          <w:szCs w:val="21"/>
          <w:color w:val="auto"/>
        </w:rPr>
        <w:t>”, when used with respect to any Person, means the power to direct the management and policies of such Person, directly or indirectly, whether through the ownership of voting securities or otherwise, and the terms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xml:space="preserve">” have meanings correlative to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Affiliate (a) when used in relation to any JV or Subsidiary thereof, shall not include the Parent Parties or any Affiliate of either of them, and (b) when used in relation to WD or TMC or their respective Affiliates, shall not include any JV or Subsidiary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9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Amended JMDY Agreement</w:t>
      </w:r>
      <w:r>
        <w:rPr>
          <w:rFonts w:ascii="Arial" w:cs="Arial" w:eastAsia="Arial" w:hAnsi="Arial"/>
          <w:sz w:val="21"/>
          <w:szCs w:val="21"/>
          <w:color w:val="auto"/>
        </w:rPr>
        <w:t>” means that certain Amended and Restated Joint Memory Development Yokkaichi Agreement, dated as of even date herewith, by and between TMC and SanDisk LLC.</w:t>
      </w:r>
    </w:p>
    <w:p>
      <w:pPr>
        <w:spacing w:after="0" w:line="152" w:lineRule="exact"/>
        <w:rPr>
          <w:sz w:val="20"/>
          <w:szCs w:val="20"/>
          <w:color w:val="auto"/>
        </w:rPr>
      </w:pPr>
    </w:p>
    <w:p>
      <w:pPr>
        <w:ind w:right="18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to FPL Commitment and Extension Agreement</w:t>
      </w:r>
      <w:r>
        <w:rPr>
          <w:rFonts w:ascii="Arial" w:cs="Arial" w:eastAsia="Arial" w:hAnsi="Arial"/>
          <w:sz w:val="21"/>
          <w:szCs w:val="21"/>
          <w:color w:val="auto"/>
        </w:rPr>
        <w:t>” means the Amendment to FPL Commitment and Extension Agreement, dated as of even date herewith, by and among TMC, WD, SanDisk LLC and SanDisk Cayman.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Conversion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Expansions</w:t>
      </w:r>
      <w:r>
        <w:rPr>
          <w:rFonts w:ascii="Arial" w:cs="Arial" w:eastAsia="Arial" w:hAnsi="Arial"/>
          <w:sz w:val="22"/>
          <w:szCs w:val="22"/>
          <w:color w:val="auto"/>
        </w:rPr>
        <w:t>” means ****.</w:t>
      </w:r>
    </w:p>
    <w:p>
      <w:pPr>
        <w:spacing w:after="0" w:line="22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LDA</w:t>
      </w:r>
      <w:r>
        <w:rPr>
          <w:rFonts w:ascii="Arial" w:cs="Arial" w:eastAsia="Arial" w:hAnsi="Arial"/>
          <w:sz w:val="22"/>
          <w:szCs w:val="22"/>
          <w:color w:val="auto"/>
        </w:rPr>
        <w:t>” means that certain BiCS License &amp; Development Agreement, dated as of March 1, 2011, by and between TMC and SanDisk LLC.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Products</w:t>
      </w:r>
      <w:r>
        <w:rPr>
          <w:rFonts w:ascii="Arial" w:cs="Arial" w:eastAsia="Arial" w:hAnsi="Arial"/>
          <w:sz w:val="22"/>
          <w:szCs w:val="22"/>
          <w:color w:val="auto"/>
        </w:rPr>
        <w:t>” has the meaning set forth for the term “BiCS Memory Products” in the BiCS LDA.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Technology</w:t>
      </w:r>
      <w:r>
        <w:rPr>
          <w:rFonts w:ascii="Arial" w:cs="Arial" w:eastAsia="Arial" w:hAnsi="Arial"/>
          <w:sz w:val="22"/>
          <w:szCs w:val="22"/>
          <w:color w:val="auto"/>
        </w:rPr>
        <w:t>” has the meaning set forth in the BiCS LDA.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BiCS Technology Transitions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Building Depreciation Prepayment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day which is a Saturday, Sunday or legal holiday in the State of California or Japan) on which commercial banks are open for business in the State of California or Tokyo, Japan.</w:t>
      </w:r>
    </w:p>
    <w:p>
      <w:pPr>
        <w:spacing w:after="0" w:line="17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R&amp;D Agreement</w:t>
      </w:r>
      <w:r>
        <w:rPr>
          <w:rFonts w:ascii="Arial" w:cs="Arial" w:eastAsia="Arial" w:hAnsi="Arial"/>
          <w:sz w:val="22"/>
          <w:szCs w:val="22"/>
          <w:color w:val="auto"/>
        </w:rPr>
        <w:t>” means that certain Fifth Amended and Restated Common R&amp;D and Participation Agreement, by and between TMC and SanDisk LLC, dated as of March 1, 2011.</w:t>
      </w:r>
    </w:p>
    <w:p>
      <w:pPr>
        <w:spacing w:after="0" w:line="17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information disclosed in written, recorded, graphical or other tangible form which is marked as “Confidential”, “Proprietary” or in some other manner to indicate its confidential nature, and/or orally or in other intangible form, identified as confidential at the time of disclosure and confirmed as confidential information in writing within thirty (30) days of its initial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Equivalent Lot</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Agreements</w:t>
      </w:r>
      <w:r>
        <w:rPr>
          <w:rFonts w:ascii="Arial" w:cs="Arial" w:eastAsia="Arial" w:hAnsi="Arial"/>
          <w:sz w:val="22"/>
          <w:szCs w:val="22"/>
          <w:color w:val="auto"/>
        </w:rPr>
        <w:t>” means the JV Agreements and the Joint Operative Documents.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Commitment and Extension Agreement</w:t>
      </w:r>
      <w:r>
        <w:rPr>
          <w:rFonts w:ascii="Arial" w:cs="Arial" w:eastAsia="Arial" w:hAnsi="Arial"/>
          <w:sz w:val="22"/>
          <w:szCs w:val="22"/>
          <w:color w:val="auto"/>
        </w:rPr>
        <w:t>” means the FAL Commitment and Extension Agreement, dated as of even date herewith, by and among TMC, WD, SanDisk LLC and SanDisk Ireland.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FAL Foundry Agreement</w:t>
      </w:r>
      <w:r>
        <w:rPr>
          <w:rFonts w:ascii="Arial" w:cs="Arial" w:eastAsia="Arial" w:hAnsi="Arial"/>
          <w:sz w:val="19"/>
          <w:szCs w:val="19"/>
          <w:color w:val="auto"/>
        </w:rPr>
        <w:t>” has the meaning set forth for the term “FA Foundry Agreement” in the FAL Master Agreement.</w:t>
      </w:r>
    </w:p>
    <w:p>
      <w:pPr>
        <w:spacing w:after="0" w:line="254"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Lease Agreement</w:t>
      </w:r>
      <w:r>
        <w:rPr>
          <w:rFonts w:ascii="Arial" w:cs="Arial" w:eastAsia="Arial" w:hAnsi="Arial"/>
          <w:sz w:val="22"/>
          <w:szCs w:val="22"/>
          <w:color w:val="auto"/>
        </w:rPr>
        <w:t>” means that certain Equipment Lease Agreement, dated as of July 7, 2006, by and between FAL and TMC.</w:t>
      </w:r>
    </w:p>
    <w:p>
      <w:pPr>
        <w:spacing w:after="0" w:line="17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Master Agreement</w:t>
      </w:r>
      <w:r>
        <w:rPr>
          <w:rFonts w:ascii="Arial" w:cs="Arial" w:eastAsia="Arial" w:hAnsi="Arial"/>
          <w:sz w:val="22"/>
          <w:szCs w:val="22"/>
          <w:color w:val="auto"/>
        </w:rPr>
        <w:t>” means that certain Flash Alliance Master Agreement, dated as of July 7, 2006, by and among TMC, SanDisk LLC and SanDisk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
        <w:spacing w:after="0" w:line="275" w:lineRule="auto"/>
        <w:tabs>
          <w:tab w:leader="none" w:pos="36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MCEIA</w:t>
      </w:r>
      <w:r>
        <w:rPr>
          <w:rFonts w:ascii="Arial" w:cs="Arial" w:eastAsia="Arial" w:hAnsi="Arial"/>
          <w:sz w:val="22"/>
          <w:szCs w:val="22"/>
          <w:color w:val="auto"/>
        </w:rPr>
        <w:t>” means that certain Flash Alliance Mutual Contribution and Environmental Indemnification Agreement, dated as of July 7, 2006, by and among TMC, SanDisk LLC and SanDisk Ireland.</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Purchase and Supply Agreement</w:t>
      </w:r>
      <w:r>
        <w:rPr>
          <w:rFonts w:ascii="Arial" w:cs="Arial" w:eastAsia="Arial" w:hAnsi="Arial"/>
          <w:sz w:val="22"/>
          <w:szCs w:val="22"/>
          <w:color w:val="auto"/>
        </w:rPr>
        <w:t>” means (i) with respect to TMC, that certain Purchase and Supply Agreement, dated as of July 7, 2006, by and between FAL and TMC, or (ii) with respect to SanDisk Ireland, that certain Purchase and Supply Agreement dated as of July 7, 2006, by and between FAL and SanDisk Ireland.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Commitment and Extension Agreement</w:t>
      </w:r>
      <w:r>
        <w:rPr>
          <w:rFonts w:ascii="Arial" w:cs="Arial" w:eastAsia="Arial" w:hAnsi="Arial"/>
          <w:sz w:val="22"/>
          <w:szCs w:val="22"/>
          <w:color w:val="auto"/>
        </w:rPr>
        <w:t>” means the FFL Commitment and Extension Agreement, dated as of even date herewith, by and among TMC, WD, SanDisk LLC and SanDisk Flash.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FFL Foundry Agreement</w:t>
      </w:r>
      <w:r>
        <w:rPr>
          <w:rFonts w:ascii="Arial" w:cs="Arial" w:eastAsia="Arial" w:hAnsi="Arial"/>
          <w:sz w:val="19"/>
          <w:szCs w:val="19"/>
          <w:color w:val="auto"/>
        </w:rPr>
        <w:t>” has the meaning set forth for the term “FF Foundry Agreement” in the FFL Master Agreement.</w:t>
      </w:r>
    </w:p>
    <w:p>
      <w:pPr>
        <w:spacing w:after="0" w:line="254"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Lease Agreement</w:t>
      </w:r>
      <w:r>
        <w:rPr>
          <w:rFonts w:ascii="Arial" w:cs="Arial" w:eastAsia="Arial" w:hAnsi="Arial"/>
          <w:sz w:val="22"/>
          <w:szCs w:val="22"/>
          <w:color w:val="auto"/>
        </w:rPr>
        <w:t>” means that certain Equipment Lease Agreement, dated as of October 20, 2015, by and between FFL and TMC.</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Master Agreement</w:t>
      </w:r>
      <w:r>
        <w:rPr>
          <w:rFonts w:ascii="Arial" w:cs="Arial" w:eastAsia="Arial" w:hAnsi="Arial"/>
          <w:sz w:val="22"/>
          <w:szCs w:val="22"/>
          <w:color w:val="auto"/>
        </w:rPr>
        <w:t>” means that certain Flash Forward Master Agreement, dated as of July 13, 2010, by and among TMC, SanDisk LLC and SanDisk Flash.</w:t>
      </w:r>
    </w:p>
    <w:p>
      <w:pPr>
        <w:spacing w:after="0" w:line="175"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MCEIA</w:t>
      </w:r>
      <w:r>
        <w:rPr>
          <w:rFonts w:ascii="Arial" w:cs="Arial" w:eastAsia="Arial" w:hAnsi="Arial"/>
          <w:sz w:val="22"/>
          <w:szCs w:val="22"/>
          <w:color w:val="auto"/>
        </w:rPr>
        <w:t>” means that certain Flash Forward Mutual Contribution and Environmental Indemnification Agreement, dated as of July 13, 2010, by and among TMC, SanDisk LLC and SanDisk Flash.</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Purchase and Supply Agreement</w:t>
      </w:r>
      <w:r>
        <w:rPr>
          <w:rFonts w:ascii="Arial" w:cs="Arial" w:eastAsia="Arial" w:hAnsi="Arial"/>
          <w:sz w:val="22"/>
          <w:szCs w:val="22"/>
          <w:color w:val="auto"/>
        </w:rPr>
        <w:t>” means (i) with respect to TMC, that certain Purchase and Supply Agreement, dated as of March 1, 2011, by and between FFL and TMC, or (ii) with respect to SanDisk Flash, that certain Purchase and Supply Agreement dated as of March 1, 2011, by and between FFL and SanDisk Flash.</w:t>
      </w:r>
    </w:p>
    <w:p>
      <w:pPr>
        <w:spacing w:after="0" w:line="186" w:lineRule="exact"/>
        <w:rPr>
          <w:sz w:val="20"/>
          <w:szCs w:val="20"/>
          <w:color w:val="auto"/>
        </w:rPr>
      </w:pPr>
    </w:p>
    <w:p>
      <w:pPr>
        <w:jc w:val="both"/>
        <w:ind w:right="6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JV Wafer Out Date</w:t>
      </w:r>
      <w:r>
        <w:rPr>
          <w:rFonts w:ascii="Arial" w:cs="Arial" w:eastAsia="Arial" w:hAnsi="Arial"/>
          <w:sz w:val="22"/>
          <w:szCs w:val="22"/>
          <w:color w:val="auto"/>
        </w:rPr>
        <w:t>” means the date on which the first production of wafers utilizing capacity at the Y6 Facility resulting from the implementation of the Minimum Commitment for a portion of such production’s manufacturing process is completed.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Foundry Agreements</w:t>
      </w:r>
      <w:r>
        <w:rPr>
          <w:rFonts w:ascii="Arial" w:cs="Arial" w:eastAsia="Arial" w:hAnsi="Arial"/>
          <w:sz w:val="21"/>
          <w:szCs w:val="21"/>
          <w:color w:val="auto"/>
        </w:rPr>
        <w:t>” means the FAL Foundry Agreement, FFL Foundry Agreement and FPL Foundry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Commitment and Extension Agreement</w:t>
      </w:r>
      <w:r>
        <w:rPr>
          <w:rFonts w:ascii="Arial" w:cs="Arial" w:eastAsia="Arial" w:hAnsi="Arial"/>
          <w:sz w:val="22"/>
          <w:szCs w:val="22"/>
          <w:color w:val="auto"/>
        </w:rPr>
        <w:t>” means that certain FPL Commitment and Extension Agreement, dated as of October 20, 2015, by and between TMC and SanDisk LLC.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FPL Foundry Agreement</w:t>
      </w:r>
      <w:r>
        <w:rPr>
          <w:rFonts w:ascii="Arial" w:cs="Arial" w:eastAsia="Arial" w:hAnsi="Arial"/>
          <w:sz w:val="19"/>
          <w:szCs w:val="19"/>
          <w:color w:val="auto"/>
        </w:rPr>
        <w:t>” has the meaning set forth for the term “FP Foundry Agreement” in the FPL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8"/>
        <w:spacing w:after="0" w:line="275" w:lineRule="auto"/>
        <w:tabs>
          <w:tab w:leader="none" w:pos="36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Lease Agreement</w:t>
      </w:r>
      <w:r>
        <w:rPr>
          <w:rFonts w:ascii="Arial" w:cs="Arial" w:eastAsia="Arial" w:hAnsi="Arial"/>
          <w:sz w:val="22"/>
          <w:szCs w:val="22"/>
          <w:color w:val="auto"/>
        </w:rPr>
        <w:t>” means that certain Equipment Lease Agreement, dated as of September 10, 2004, by and between FPL and TMC.</w:t>
      </w:r>
    </w:p>
    <w:p>
      <w:pPr>
        <w:spacing w:after="0" w:line="175" w:lineRule="exact"/>
        <w:rPr>
          <w:sz w:val="20"/>
          <w:szCs w:val="20"/>
          <w:color w:val="auto"/>
        </w:rPr>
      </w:pPr>
    </w:p>
    <w:p>
      <w:pPr>
        <w:ind w:right="4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FPL Master Agreement</w:t>
      </w:r>
      <w:r>
        <w:rPr>
          <w:rFonts w:ascii="Arial" w:cs="Arial" w:eastAsia="Arial" w:hAnsi="Arial"/>
          <w:sz w:val="19"/>
          <w:szCs w:val="19"/>
          <w:color w:val="auto"/>
        </w:rPr>
        <w:t>” means that certain Flash Partners Master Agreement, dated as of September 10, 2004, by and among TMC, SanDisk LLC and SanDisk Cayman, as amended by the FPL Commitment and Extension Agreement.</w:t>
      </w:r>
    </w:p>
    <w:p>
      <w:pPr>
        <w:spacing w:after="0" w:line="105"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MCEIA</w:t>
      </w:r>
      <w:r>
        <w:rPr>
          <w:rFonts w:ascii="Arial" w:cs="Arial" w:eastAsia="Arial" w:hAnsi="Arial"/>
          <w:sz w:val="22"/>
          <w:szCs w:val="22"/>
          <w:color w:val="auto"/>
        </w:rPr>
        <w:t>” means that certain Mutual Contribution and Environmental Indemnification Agreement, dated as of September 10, 2004, by and among TMC, SanDisk LLC and SanDisk Cayman.</w:t>
      </w:r>
    </w:p>
    <w:p>
      <w:pPr>
        <w:spacing w:after="0" w:line="175" w:lineRule="exact"/>
        <w:rPr>
          <w:sz w:val="20"/>
          <w:szCs w:val="20"/>
          <w:color w:val="auto"/>
        </w:rPr>
      </w:pPr>
    </w:p>
    <w:p>
      <w:pPr>
        <w:ind w:right="8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FPL Purchase and Supply Agreement</w:t>
      </w:r>
      <w:r>
        <w:rPr>
          <w:rFonts w:ascii="Arial" w:cs="Arial" w:eastAsia="Arial" w:hAnsi="Arial"/>
          <w:sz w:val="21"/>
          <w:szCs w:val="21"/>
          <w:color w:val="auto"/>
        </w:rPr>
        <w:t>” means (i) with respect to TMC, that certain Purchase and Supply Agreement, dated as of September 10, 2004, by and between FPL and TMC, or (ii) with respect to SanDisk Cayman, that certain Purchase and Supply Agreement dated as of September 10, 2004, by and between FPL and SanDisk Cayman.</w:t>
      </w:r>
    </w:p>
    <w:p>
      <w:pPr>
        <w:spacing w:after="0" w:line="168"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Person and any court or other tribunal); or (d) individual, Person or body (including any stock exchange) exercising, or entitled to exercise, any executive, legislative, judicial, administrative, regulatory, police, military or taxing authority or power of any nature.</w:t>
      </w:r>
    </w:p>
    <w:p>
      <w:pPr>
        <w:spacing w:after="0" w:line="197"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Security Agreement</w:t>
      </w:r>
      <w:r>
        <w:rPr>
          <w:rFonts w:ascii="Arial" w:cs="Arial" w:eastAsia="Arial" w:hAnsi="Arial"/>
          <w:sz w:val="22"/>
          <w:szCs w:val="22"/>
          <w:color w:val="auto"/>
        </w:rPr>
        <w:t>” means that certain Information Security Agreement, dated as of October 20, 2015, by and between TMC and SanDisk LLC.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Infrastructure Costs</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16.7</w:t>
      </w:r>
      <w:r>
        <w:rPr>
          <w:rFonts w:ascii="Arial" w:cs="Arial" w:eastAsia="Arial" w:hAnsi="Arial"/>
          <w:sz w:val="22"/>
          <w:szCs w:val="22"/>
          <w:color w:val="auto"/>
        </w:rPr>
        <w:t>.</w:t>
      </w:r>
    </w:p>
    <w:p>
      <w:pPr>
        <w:spacing w:after="0" w:line="22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JMDY Project</w:t>
      </w:r>
      <w:r>
        <w:rPr>
          <w:rFonts w:ascii="Arial" w:cs="Arial" w:eastAsia="Arial" w:hAnsi="Arial"/>
          <w:sz w:val="22"/>
          <w:szCs w:val="22"/>
          <w:color w:val="auto"/>
        </w:rPr>
        <w:t>” means the joint development project established to cooperate on the development of the pilot line at the Yokkaichi Facility pursuant to the Amended JMDY Agreement and this Agreement.</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Operative Documents</w:t>
      </w:r>
      <w:r>
        <w:rPr>
          <w:rFonts w:ascii="Arial" w:cs="Arial" w:eastAsia="Arial" w:hAnsi="Arial"/>
          <w:sz w:val="22"/>
          <w:szCs w:val="22"/>
          <w:color w:val="auto"/>
        </w:rPr>
        <w:t>” means the Common R&amp;D Agreement, the Product Development Agreement, the 3D Collaboration Agreement, the Amended JMDY Agreement, the JVRA, ****, the Information Security Agreement, the BiCS LDA, the Settlement Agreement, the Undertaking, and the WD-TMC PCLA.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w:t>
      </w:r>
      <w:r>
        <w:rPr>
          <w:rFonts w:ascii="Arial" w:cs="Arial" w:eastAsia="Arial" w:hAnsi="Arial"/>
          <w:sz w:val="22"/>
          <w:szCs w:val="22"/>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6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Agreements</w:t>
      </w:r>
      <w:r>
        <w:rPr>
          <w:rFonts w:ascii="Arial" w:cs="Arial" w:eastAsia="Arial" w:hAnsi="Arial"/>
          <w:sz w:val="19"/>
          <w:szCs w:val="19"/>
          <w:color w:val="auto"/>
        </w:rPr>
        <w:t>” means the FAL Master Agreement, the FFL Master Agreement, the FPL Master Agreement, the JV Operating Agreements, the Foundry Agreements, the Purchase and Supply Agreements, the JV Lease Agreements, the JV MCEIAs, the FPL Commitment and Extension Agreement, the New Y2 Agreement, and the New Y2 MCEIA.</w:t>
      </w:r>
    </w:p>
    <w:p>
      <w:pPr>
        <w:spacing w:after="0" w:line="134"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BiCS Products</w:t>
      </w:r>
      <w:r>
        <w:rPr>
          <w:rFonts w:ascii="Arial" w:cs="Arial" w:eastAsia="Arial" w:hAnsi="Arial"/>
          <w:sz w:val="22"/>
          <w:szCs w:val="22"/>
          <w:color w:val="auto"/>
        </w:rPr>
        <w:t>” means JV Y3 BiCS Products, JV Y4 BiCS Products, JV Y5 BiCS Products, JV New Y2 BiCS Products and JV Y6 BiCS Products.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BiCS Space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2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BiCS Tools</w:t>
      </w:r>
      <w:r>
        <w:rPr>
          <w:rFonts w:ascii="Arial" w:cs="Arial" w:eastAsia="Arial" w:hAnsi="Arial"/>
          <w:sz w:val="22"/>
          <w:szCs w:val="22"/>
          <w:color w:val="auto"/>
        </w:rPr>
        <w:t>” means tools used in the JV BiCS Space of the New Y2 Facility, the Y3 Facility, the Y4 Facility, the Y5 Facility or the Y6 Facility.</w:t>
      </w:r>
    </w:p>
    <w:p>
      <w:pPr>
        <w:spacing w:after="0" w:line="175"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Business Plan</w:t>
      </w:r>
      <w:r>
        <w:rPr>
          <w:rFonts w:ascii="Arial" w:cs="Arial" w:eastAsia="Arial" w:hAnsi="Arial"/>
          <w:sz w:val="22"/>
          <w:szCs w:val="22"/>
          <w:color w:val="auto"/>
        </w:rPr>
        <w:t>” has, with respect to a JV, the meaning given to the term “Business Plan” in the respective JV’s JV Master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JV Lease Agreements</w:t>
      </w:r>
      <w:r>
        <w:rPr>
          <w:rFonts w:ascii="Arial" w:cs="Arial" w:eastAsia="Arial" w:hAnsi="Arial"/>
          <w:sz w:val="21"/>
          <w:szCs w:val="21"/>
          <w:color w:val="auto"/>
        </w:rPr>
        <w:t>” means the FPL Lease Agreement, the FAL Lease Agreement and FFL Lease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Master Agreements</w:t>
      </w:r>
      <w:r>
        <w:rPr>
          <w:rFonts w:ascii="Arial" w:cs="Arial" w:eastAsia="Arial" w:hAnsi="Arial"/>
          <w:sz w:val="19"/>
          <w:szCs w:val="19"/>
          <w:color w:val="auto"/>
        </w:rPr>
        <w:t>” means the FAL Master Agreement, the FFL Master Agreement and the FPL Master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MCEIAs</w:t>
      </w:r>
      <w:r>
        <w:rPr>
          <w:rFonts w:ascii="Arial" w:cs="Arial" w:eastAsia="Arial" w:hAnsi="Arial"/>
          <w:sz w:val="22"/>
          <w:szCs w:val="22"/>
          <w:color w:val="auto"/>
        </w:rPr>
        <w:t>” means the FPL MCEIA, the FAL MCEIA and the FFL MCEIA.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New Y2 BiCS Products</w:t>
      </w:r>
      <w:r>
        <w:rPr>
          <w:rFonts w:ascii="Arial" w:cs="Arial" w:eastAsia="Arial" w:hAnsi="Arial"/>
          <w:sz w:val="22"/>
          <w:szCs w:val="22"/>
          <w:color w:val="auto"/>
        </w:rPr>
        <w:t>” has the meaning set forth in the New Y2 Agreement.</w:t>
      </w:r>
    </w:p>
    <w:p>
      <w:pPr>
        <w:spacing w:after="0" w:line="220" w:lineRule="exact"/>
        <w:rPr>
          <w:sz w:val="20"/>
          <w:szCs w:val="20"/>
          <w:color w:val="auto"/>
        </w:rPr>
      </w:pPr>
    </w:p>
    <w:p>
      <w:pPr>
        <w:ind w:right="3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Operating Agreements</w:t>
      </w:r>
      <w:r>
        <w:rPr>
          <w:rFonts w:ascii="Arial" w:cs="Arial" w:eastAsia="Arial" w:hAnsi="Arial"/>
          <w:sz w:val="19"/>
          <w:szCs w:val="19"/>
          <w:color w:val="auto"/>
        </w:rPr>
        <w:t>” means that certain Operating Agreement of Flash Partners, Ltd. dated as of September 10, 2004, as amended by the FPL Commitment and Extension Agreement, that certain Operating Agreement of Flash Alliance, Ltd. dated as of July 7, 2006, and that certain Operating Agreement of Flash Forward, Ltd., dated as of March 1, 2011.</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JV Products</w:t>
      </w:r>
      <w:r>
        <w:rPr>
          <w:rFonts w:ascii="Arial" w:cs="Arial" w:eastAsia="Arial" w:hAnsi="Arial"/>
          <w:sz w:val="21"/>
          <w:szCs w:val="21"/>
          <w:color w:val="auto"/>
        </w:rPr>
        <w:t>” means NAND Flash Memory Products and BiCS Products, in each case manufactured for the JVs.</w:t>
      </w:r>
    </w:p>
    <w:p>
      <w:pPr>
        <w:spacing w:after="0" w:line="231"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Space</w:t>
      </w:r>
      <w:r>
        <w:rPr>
          <w:rFonts w:ascii="Arial" w:cs="Arial" w:eastAsia="Arial" w:hAnsi="Arial"/>
          <w:sz w:val="22"/>
          <w:szCs w:val="22"/>
          <w:color w:val="auto"/>
        </w:rPr>
        <w:t>” means JV BiCS Space plus any cleanroom space used for the production of NAND Flash Memory Products by the JVs in the Yokkaichi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Y3 BiCS Products</w:t>
      </w:r>
      <w:r>
        <w:rPr>
          <w:rFonts w:ascii="Arial" w:cs="Arial" w:eastAsia="Arial" w:hAnsi="Arial"/>
          <w:sz w:val="22"/>
          <w:szCs w:val="22"/>
          <w:color w:val="auto"/>
        </w:rPr>
        <w:t>” has the meaning set forth in the New Y2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Y4 BiCS Products</w:t>
      </w:r>
      <w:r>
        <w:rPr>
          <w:rFonts w:ascii="Arial" w:cs="Arial" w:eastAsia="Arial" w:hAnsi="Arial"/>
          <w:sz w:val="22"/>
          <w:szCs w:val="22"/>
          <w:color w:val="auto"/>
        </w:rPr>
        <w:t>” has the meaning set forth in the New Y2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Y5 BiCS Products</w:t>
      </w:r>
      <w:r>
        <w:rPr>
          <w:rFonts w:ascii="Arial" w:cs="Arial" w:eastAsia="Arial" w:hAnsi="Arial"/>
          <w:sz w:val="22"/>
          <w:szCs w:val="22"/>
          <w:color w:val="auto"/>
        </w:rPr>
        <w:t>” has the meaning set forth in the New Y2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Y6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Y6 Products</w:t>
      </w:r>
      <w:r>
        <w:rPr>
          <w:rFonts w:ascii="Arial" w:cs="Arial" w:eastAsia="Arial" w:hAnsi="Arial"/>
          <w:sz w:val="22"/>
          <w:szCs w:val="22"/>
          <w:color w:val="auto"/>
        </w:rPr>
        <w:t xml:space="preserve">” means the JV Y6 BiCS Products plus any other products manufactured using Y6 Facility cleanroom space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that are identified **** as Y6 lots and allocated to a JV under the applicable JV’s JV Master Agreement.</w:t>
      </w:r>
    </w:p>
    <w:p>
      <w:pPr>
        <w:spacing w:after="0" w:line="18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JVRA</w:t>
      </w:r>
      <w:r>
        <w:rPr>
          <w:rFonts w:ascii="Arial" w:cs="Arial" w:eastAsia="Arial" w:hAnsi="Arial"/>
          <w:sz w:val="22"/>
          <w:szCs w:val="22"/>
          <w:color w:val="auto"/>
        </w:rPr>
        <w:t>” means that certain Joint Venture Restructure Agreement, dated as of January 29, 2009, by and among the Parties, the JVs and certain of their respective Affiliates.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L/M</w:t>
      </w:r>
      <w:r>
        <w:rPr>
          <w:rFonts w:ascii="Arial" w:cs="Arial" w:eastAsia="Arial" w:hAnsi="Arial"/>
          <w:sz w:val="21"/>
          <w:szCs w:val="21"/>
          <w:color w:val="auto"/>
        </w:rPr>
        <w:t>” means either lots per month or Equivalent Lots per month, in each case as mutually agreed by the Parties.</w:t>
      </w:r>
    </w:p>
    <w:p>
      <w:pPr>
        <w:spacing w:after="0" w:line="231" w:lineRule="exact"/>
        <w:rPr>
          <w:sz w:val="20"/>
          <w:szCs w:val="20"/>
          <w:color w:val="auto"/>
        </w:rPr>
      </w:pPr>
    </w:p>
    <w:p>
      <w:pPr>
        <w:ind w:right="4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applicable provisions of all (a) constitutions, treaties, statutes, laws (including common law), rules, regulations, ordinances or codes; (b) orders, decisions, judgments, awards or decrees; and (c) requests, guidelines or directives (whether or not having the force of law), in each case of any Governmental Authority of any applicable jurisdiction.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Representatives</w:t>
      </w:r>
      <w:r>
        <w:rPr>
          <w:rFonts w:ascii="Arial" w:cs="Arial" w:eastAsia="Arial" w:hAnsi="Arial"/>
          <w:sz w:val="22"/>
          <w:szCs w:val="22"/>
          <w:color w:val="auto"/>
        </w:rPr>
        <w:t>” has the meaning set forth in the JV Agreements.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Operative Documents</w:t>
      </w:r>
      <w:r>
        <w:rPr>
          <w:rFonts w:ascii="Arial" w:cs="Arial" w:eastAsia="Arial" w:hAnsi="Arial"/>
          <w:sz w:val="22"/>
          <w:szCs w:val="22"/>
          <w:color w:val="auto"/>
        </w:rPr>
        <w:t>” means the Existing Agreements and the New Agreements.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Breach</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Memory R&amp;D Center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Commitment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NAND Flash Memory Products</w:t>
      </w:r>
      <w:r>
        <w:rPr>
          <w:rFonts w:ascii="Arial" w:cs="Arial" w:eastAsia="Arial" w:hAnsi="Arial"/>
          <w:sz w:val="22"/>
          <w:szCs w:val="22"/>
          <w:color w:val="auto"/>
        </w:rPr>
        <w:t>” has the meaning set forth in the JV Agreements.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Agreements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Y2 Agreement</w:t>
      </w:r>
      <w:r>
        <w:rPr>
          <w:rFonts w:ascii="Arial" w:cs="Arial" w:eastAsia="Arial" w:hAnsi="Arial"/>
          <w:sz w:val="22"/>
          <w:szCs w:val="22"/>
          <w:color w:val="auto"/>
        </w:rPr>
        <w:t>” means that certain New Y2 Facility Agreement, dated as of October 20, 2015, by and among TMC, SanDisk LLC, SanDisk Cayman, SanDisk Ireland, SanDisk Flash, FPL, FAL and FFL.</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Y2 BiCS Products</w:t>
      </w:r>
      <w:r>
        <w:rPr>
          <w:rFonts w:ascii="Arial" w:cs="Arial" w:eastAsia="Arial" w:hAnsi="Arial"/>
          <w:sz w:val="22"/>
          <w:szCs w:val="22"/>
          <w:color w:val="auto"/>
        </w:rPr>
        <w:t>” means BiCS Products manufactured at the Yokkaichi Facility and that are identified **** as New Y2 lots.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Y2 Facility</w:t>
      </w:r>
      <w:r>
        <w:rPr>
          <w:rFonts w:ascii="Arial" w:cs="Arial" w:eastAsia="Arial" w:hAnsi="Arial"/>
          <w:sz w:val="21"/>
          <w:szCs w:val="21"/>
          <w:color w:val="auto"/>
        </w:rPr>
        <w:t>” means the production facility within the Yokkaichi Facility described in the New Y2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Y2 Products</w:t>
      </w:r>
      <w:r>
        <w:rPr>
          <w:rFonts w:ascii="Arial" w:cs="Arial" w:eastAsia="Arial" w:hAnsi="Arial"/>
          <w:sz w:val="22"/>
          <w:szCs w:val="22"/>
          <w:color w:val="auto"/>
        </w:rPr>
        <w:t>” has the meaning set forth in the New Y2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Y2 Unilateral BiCS Expansion</w:t>
      </w:r>
      <w:r>
        <w:rPr>
          <w:rFonts w:ascii="Arial" w:cs="Arial" w:eastAsia="Arial" w:hAnsi="Arial"/>
          <w:sz w:val="19"/>
          <w:szCs w:val="19"/>
          <w:color w:val="auto"/>
        </w:rPr>
        <w:t>” means a Yokkaichi Unilateral BiCS Expansion made within the New Y2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8"/>
        <w:spacing w:after="0" w:line="275" w:lineRule="auto"/>
        <w:tabs>
          <w:tab w:leader="none" w:pos="36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Non-NAND Products</w:t>
      </w:r>
      <w:r>
        <w:rPr>
          <w:rFonts w:ascii="Arial" w:cs="Arial" w:eastAsia="Arial" w:hAnsi="Arial"/>
          <w:sz w:val="22"/>
          <w:szCs w:val="22"/>
          <w:color w:val="auto"/>
        </w:rPr>
        <w:t>” means any technology or product other than NAND Flash Memory Products.</w:t>
      </w:r>
    </w:p>
    <w:p>
      <w:pPr>
        <w:spacing w:after="0" w:line="22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Committees</w:t>
      </w:r>
      <w:r>
        <w:rPr>
          <w:rFonts w:ascii="Arial" w:cs="Arial" w:eastAsia="Arial" w:hAnsi="Arial"/>
          <w:sz w:val="22"/>
          <w:szCs w:val="22"/>
          <w:color w:val="auto"/>
        </w:rPr>
        <w:t>” means the Y3 Operating Committee, Y4 Operating Committee, Y5 Operating Committee (each as defined in the JV Agreements), the New Y2 Operating Committee (as defined in the New Y2 Agreement) and the Y6 Operating Committee (as defined in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Parties</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Indemnification Termination Agreement</w:t>
      </w:r>
      <w:r>
        <w:rPr>
          <w:rFonts w:ascii="Arial" w:cs="Arial" w:eastAsia="Arial" w:hAnsi="Arial"/>
          <w:sz w:val="22"/>
          <w:szCs w:val="22"/>
          <w:color w:val="auto"/>
        </w:rPr>
        <w:t>” means the Termination Agreement, dated as of even date herewith, by and among Toshiba, TMC, WD and SanDisk.</w:t>
      </w:r>
    </w:p>
    <w:p>
      <w:pPr>
        <w:spacing w:after="0" w:line="175"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or entity, including any private or public real estate operating company or real estate investment trust, exempted company, exempted limited partnership, private limited company, corporation, partnership, limited partnership, limited liability company, trust, charitable trust or other legal entity, wherever organized, or any unincorporated association or Governmental Authority.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Implementation</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Investment</w:t>
      </w:r>
      <w:r>
        <w:rPr>
          <w:rFonts w:ascii="Arial" w:cs="Arial" w:eastAsia="Arial" w:hAnsi="Arial"/>
          <w:sz w:val="22"/>
          <w:szCs w:val="22"/>
          <w:color w:val="auto"/>
        </w:rPr>
        <w:t>” means the investments described in the Phase I Document.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Phase I Document</w:t>
      </w:r>
      <w:r>
        <w:rPr>
          <w:rFonts w:ascii="Arial" w:cs="Arial" w:eastAsia="Arial" w:hAnsi="Arial"/>
          <w:sz w:val="22"/>
          <w:szCs w:val="22"/>
          <w:color w:val="auto"/>
        </w:rPr>
        <w:t>” ****</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Development Agreement</w:t>
      </w:r>
      <w:r>
        <w:rPr>
          <w:rFonts w:ascii="Arial" w:cs="Arial" w:eastAsia="Arial" w:hAnsi="Arial"/>
          <w:sz w:val="22"/>
          <w:szCs w:val="22"/>
          <w:color w:val="auto"/>
        </w:rPr>
        <w:t>” means the Third Amended and Restated Product Development Agreement, dated as of March 1, 2011, between SanDisk LLC and TMC.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NAND Flash Memory Products</w:t>
      </w:r>
      <w:r>
        <w:rPr>
          <w:rFonts w:ascii="Arial" w:cs="Arial" w:eastAsia="Arial" w:hAnsi="Arial"/>
          <w:sz w:val="19"/>
          <w:szCs w:val="19"/>
          <w:color w:val="auto"/>
        </w:rPr>
        <w:t>” means NAND Flash Memory Products which are proprietary to a Parent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Proprietary BiCS Products</w:t>
      </w:r>
      <w:r>
        <w:rPr>
          <w:rFonts w:ascii="Arial" w:cs="Arial" w:eastAsia="Arial" w:hAnsi="Arial"/>
          <w:sz w:val="22"/>
          <w:szCs w:val="22"/>
          <w:color w:val="auto"/>
        </w:rPr>
        <w:t>” means BiCS Products that are proprietary to a Parent Party.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Proprietary Flash Products</w:t>
      </w:r>
      <w:r>
        <w:rPr>
          <w:rFonts w:ascii="Arial" w:cs="Arial" w:eastAsia="Arial" w:hAnsi="Arial"/>
          <w:sz w:val="21"/>
          <w:szCs w:val="21"/>
          <w:color w:val="auto"/>
        </w:rPr>
        <w:t>” means Proprietary NAND Flash Memory Products and Proprietary BiCS Products.</w:t>
      </w:r>
    </w:p>
    <w:p>
      <w:pPr>
        <w:spacing w:after="0" w:line="231"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and Supply Agreements</w:t>
      </w:r>
      <w:r>
        <w:rPr>
          <w:rFonts w:ascii="Arial" w:cs="Arial" w:eastAsia="Arial" w:hAnsi="Arial"/>
          <w:sz w:val="22"/>
          <w:szCs w:val="22"/>
          <w:color w:val="auto"/>
        </w:rPr>
        <w:t>” means the FPL Purchase and Supply Agreements, the FAL Purchase and Supply Agreements, and the FFL Purchase and Supply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
        <w:spacing w:after="0" w:line="275" w:lineRule="auto"/>
        <w:tabs>
          <w:tab w:leader="none" w:pos="36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Manufacturing Cost Reconciliation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8.1(d)</w:t>
      </w:r>
      <w:r>
        <w:rPr>
          <w:rFonts w:ascii="Arial" w:cs="Arial" w:eastAsia="Arial" w:hAnsi="Arial"/>
          <w:sz w:val="22"/>
          <w:szCs w:val="22"/>
          <w:color w:val="auto"/>
        </w:rPr>
        <w:t>.</w:t>
      </w:r>
    </w:p>
    <w:p>
      <w:pPr>
        <w:spacing w:after="0" w:line="220"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Ramp-Up Commitment</w:t>
      </w:r>
      <w:r>
        <w:rPr>
          <w:rFonts w:ascii="Arial" w:cs="Arial" w:eastAsia="Arial" w:hAnsi="Arial"/>
          <w:sz w:val="22"/>
          <w:szCs w:val="22"/>
          <w:color w:val="auto"/>
        </w:rPr>
        <w:t>” means the investment necessary to implement an agreed BiCS Expansion, BiCS Technology Transition or BiCS Conversion, in each case using the Y6 Facility, as set forth in a JV’s Investment Plan (as defined in the JV Agreements), after the Minimum Commitment has been fulfilled.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Restructuring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15.6(b)(ii)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Cayman</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Flash</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Ireland</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SanDisk LLC</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of the United States.</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promulgated thereunder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Agreement</w:t>
      </w:r>
      <w:r>
        <w:rPr>
          <w:rFonts w:ascii="Arial" w:cs="Arial" w:eastAsia="Arial" w:hAnsi="Arial"/>
          <w:sz w:val="22"/>
          <w:szCs w:val="22"/>
          <w:color w:val="auto"/>
        </w:rPr>
        <w:t>” means the Confidential Settlement and Mutual Release Agreement, dated as of even date herewith, among Toshiba, TMC, WD and SanDisk.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any other Person:</w:t>
      </w:r>
    </w:p>
    <w:p>
      <w:pPr>
        <w:spacing w:after="0" w:line="220" w:lineRule="exact"/>
        <w:rPr>
          <w:sz w:val="20"/>
          <w:szCs w:val="20"/>
          <w:color w:val="auto"/>
        </w:rPr>
      </w:pPr>
    </w:p>
    <w:p>
      <w:pPr>
        <w:ind w:left="1300" w:right="160" w:hanging="320"/>
        <w:spacing w:after="0" w:line="26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more than 50% of whose outstanding shares or securities (representing the right to vote for the election of directors or other managing authority) are, or</w:t>
      </w:r>
    </w:p>
    <w:p>
      <w:pPr>
        <w:spacing w:after="0" w:line="174" w:lineRule="exact"/>
        <w:rPr>
          <w:rFonts w:ascii="Arial" w:cs="Arial" w:eastAsia="Arial" w:hAnsi="Arial"/>
          <w:sz w:val="22"/>
          <w:szCs w:val="22"/>
          <w:color w:val="auto"/>
        </w:rPr>
      </w:pPr>
    </w:p>
    <w:p>
      <w:pPr>
        <w:ind w:left="1300" w:right="40" w:hanging="320"/>
        <w:spacing w:after="0" w:line="312" w:lineRule="auto"/>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120" w:firstLine="8"/>
        <w:spacing w:after="0" w:line="275" w:lineRule="auto"/>
        <w:tabs>
          <w:tab w:leader="none" w:pos="36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 xml:space="preserve">now or hereafter owned or controlled, directly or indirectly, by such Person, but such other Person shall be deemed to be a Subsidiary only so long as such ownership or control exists;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 Subsidiary, when used in relation to a Party or any of its Affiliates, shall not include any JV or any of the JVs’ Subsidiaries (except that, when used in relation to a Party that is a JV, the term Subsidiary shall include such JV’s own Subsidiaries).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Start-Up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Start-Up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Toshiba Capacity</w:t>
      </w:r>
      <w:r>
        <w:rPr>
          <w:rFonts w:ascii="Arial" w:cs="Arial" w:eastAsia="Arial" w:hAnsi="Arial"/>
          <w:sz w:val="22"/>
          <w:szCs w:val="22"/>
          <w:color w:val="auto"/>
        </w:rPr>
        <w:t>” has the meaning ascribed to such term in the JVRA and includes, for the avoidance of doubt, any Toshiba Unilateral Expansion Space (as defined in the FFL Master Agreement) and any Yokkaichi Unilateral BiCS Expansion Space (as defined in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3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Undertaking</w:t>
      </w:r>
      <w:r>
        <w:rPr>
          <w:rFonts w:ascii="Arial" w:cs="Arial" w:eastAsia="Arial" w:hAnsi="Arial"/>
          <w:sz w:val="21"/>
          <w:szCs w:val="21"/>
          <w:color w:val="auto"/>
        </w:rPr>
        <w:t>” means the Parent Guarantee and Undertaking as to Collaboration, dated as of even date herewith, entered into by and among WD, Toshiba and TMC, and acknowledged and agreed by SanDisk and the JVs.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Personnel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Representative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Team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WD-TMC PCLA</w:t>
      </w:r>
      <w:r>
        <w:rPr>
          <w:rFonts w:ascii="Arial" w:cs="Arial" w:eastAsia="Arial" w:hAnsi="Arial"/>
          <w:sz w:val="19"/>
          <w:szCs w:val="19"/>
          <w:color w:val="auto"/>
        </w:rPr>
        <w:t>” means the Patent Cross License Agreement, dated as of even date herewith, between WD and TMC.</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Y3 Facility</w:t>
      </w:r>
      <w:r>
        <w:rPr>
          <w:rFonts w:ascii="Arial" w:cs="Arial" w:eastAsia="Arial" w:hAnsi="Arial"/>
          <w:sz w:val="22"/>
          <w:szCs w:val="22"/>
          <w:color w:val="auto"/>
        </w:rPr>
        <w:t>” means the production facility within the Yokkaichi Facility described in the FPL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Y3 Products</w:t>
      </w:r>
      <w:r>
        <w:rPr>
          <w:rFonts w:ascii="Arial" w:cs="Arial" w:eastAsia="Arial" w:hAnsi="Arial"/>
          <w:sz w:val="22"/>
          <w:szCs w:val="22"/>
          <w:color w:val="auto"/>
        </w:rPr>
        <w:t>” means products manufactured at the Yokkaichi Facility and identified **** as Y3 lots.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Y4 Facility</w:t>
      </w:r>
      <w:r>
        <w:rPr>
          <w:rFonts w:ascii="Arial" w:cs="Arial" w:eastAsia="Arial" w:hAnsi="Arial"/>
          <w:sz w:val="22"/>
          <w:szCs w:val="22"/>
          <w:color w:val="auto"/>
        </w:rPr>
        <w:t>” means the production facility within the Yokkaichi Facility described in the FAL Master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Y4 Products</w:t>
      </w:r>
      <w:r>
        <w:rPr>
          <w:rFonts w:ascii="Arial" w:cs="Arial" w:eastAsia="Arial" w:hAnsi="Arial"/>
          <w:sz w:val="22"/>
          <w:szCs w:val="22"/>
          <w:color w:val="auto"/>
        </w:rPr>
        <w:t>” means products manufactured at the Yokkaichi Facility and identified **** as Y4 lots.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Y5 Facility</w:t>
      </w:r>
      <w:r>
        <w:rPr>
          <w:rFonts w:ascii="Arial" w:cs="Arial" w:eastAsia="Arial" w:hAnsi="Arial"/>
          <w:sz w:val="22"/>
          <w:szCs w:val="22"/>
          <w:color w:val="auto"/>
        </w:rPr>
        <w:t>” means the production facility within the Yokkaichi Facility described in the FFL Master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Y5 Products</w:t>
      </w:r>
      <w:r>
        <w:rPr>
          <w:rFonts w:ascii="Arial" w:cs="Arial" w:eastAsia="Arial" w:hAnsi="Arial"/>
          <w:sz w:val="22"/>
          <w:szCs w:val="22"/>
          <w:color w:val="auto"/>
        </w:rPr>
        <w:t>” means products manufactured at the Yokkaichi Facility and **** as Y5 lots.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Capacity Ratio</w:t>
      </w:r>
      <w:r>
        <w:rPr>
          <w:rFonts w:ascii="Arial" w:cs="Arial" w:eastAsia="Arial" w:hAnsi="Arial"/>
          <w:sz w:val="22"/>
          <w:szCs w:val="22"/>
          <w:color w:val="auto"/>
        </w:rPr>
        <w:t>” for either WD or TMC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Y6 Facility</w:t>
      </w:r>
      <w:r>
        <w:rPr>
          <w:rFonts w:ascii="Arial" w:cs="Arial" w:eastAsia="Arial" w:hAnsi="Arial"/>
          <w:sz w:val="19"/>
          <w:szCs w:val="19"/>
          <w:color w:val="auto"/>
        </w:rPr>
        <w:t>” means the production facility currently under construction, owned by TMC and forming part of the Yokkaichi Facility, including a building shell, cleanroom, and all culverts, piping, ducting and associated infrastructure connecting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Fixed Manufacturing Costs</w:t>
      </w:r>
      <w:r>
        <w:rPr>
          <w:rFonts w:ascii="Arial" w:cs="Arial" w:eastAsia="Arial" w:hAnsi="Arial"/>
          <w:sz w:val="22"/>
          <w:szCs w:val="22"/>
          <w:color w:val="auto"/>
        </w:rPr>
        <w:t xml:space="preserve">” means the Y6 Manufacturing Costs described on </w:t>
      </w:r>
      <w:r>
        <w:rPr>
          <w:rFonts w:ascii="Arial" w:cs="Arial" w:eastAsia="Arial" w:hAnsi="Arial"/>
          <w:sz w:val="22"/>
          <w:szCs w:val="22"/>
          <w:u w:val="single" w:color="auto"/>
          <w:color w:val="auto"/>
        </w:rPr>
        <w:t>Schedule 8.4(b)(i)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JV Engineers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JV Headcount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MCEIA</w:t>
      </w:r>
      <w:r>
        <w:rPr>
          <w:rFonts w:ascii="Arial" w:cs="Arial" w:eastAsia="Arial" w:hAnsi="Arial"/>
          <w:sz w:val="22"/>
          <w:szCs w:val="22"/>
          <w:color w:val="auto"/>
        </w:rPr>
        <w:t>” means that certain Y6 Mutual Contribution and Environmental Indemnification Agreement, dated as of even date herewith, by and among TMC, SanDisk Cayman, SanDisk Ireland and SanDisk Flash.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Operating Committee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Product Fixed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8.4(b)(i)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Product Variable Manufacturing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8.4(b)(ii)</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Products</w:t>
      </w:r>
      <w:r>
        <w:rPr>
          <w:rFonts w:ascii="Arial" w:cs="Arial" w:eastAsia="Arial" w:hAnsi="Arial"/>
          <w:sz w:val="22"/>
          <w:szCs w:val="22"/>
          <w:color w:val="auto"/>
        </w:rPr>
        <w:t xml:space="preserve">” means Y6 BiCS Products plus any other products manufactured using Y6 Facility cleanroom space in accordance with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that are **** as Y6 lots.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Unilateral BiCS Expansion</w:t>
      </w:r>
      <w:r>
        <w:rPr>
          <w:rFonts w:ascii="Arial" w:cs="Arial" w:eastAsia="Arial" w:hAnsi="Arial"/>
          <w:sz w:val="22"/>
          <w:szCs w:val="22"/>
          <w:color w:val="auto"/>
        </w:rPr>
        <w:t>” means a Yokkaichi Unilateral BiCS Expansion made within the Y6 Facility.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Unilateral BiCS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Unilateral Conversion Space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3.2(b)(iii)</w:t>
      </w: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Unilateral Space</w:t>
      </w:r>
      <w:r>
        <w:rPr>
          <w:rFonts w:ascii="Arial" w:cs="Arial" w:eastAsia="Arial" w:hAnsi="Arial"/>
          <w:sz w:val="22"/>
          <w:szCs w:val="22"/>
          <w:color w:val="auto"/>
        </w:rPr>
        <w:t>” means (i) any Yokkaichi Unilateral BiCS Expansion Space within the Y6 Facility, (ii) ****, (iii) Y6 Unilateral Conversion Space, and (iv) any cleanroom space in the Y6 Facility attributable to NAND Flash production capacity resulting from any NAND Flash unilateral expansions or unilateral technology transitions effected in accordance with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Y6 Variable Manufacturing Costs</w:t>
      </w:r>
      <w:r>
        <w:rPr>
          <w:rFonts w:ascii="Arial" w:cs="Arial" w:eastAsia="Arial" w:hAnsi="Arial"/>
          <w:sz w:val="22"/>
          <w:szCs w:val="22"/>
          <w:color w:val="auto"/>
        </w:rPr>
        <w:t xml:space="preserve">” means the Y6 Manufacturing Costs described on </w:t>
      </w:r>
      <w:r>
        <w:rPr>
          <w:rFonts w:ascii="Arial" w:cs="Arial" w:eastAsia="Arial" w:hAnsi="Arial"/>
          <w:sz w:val="22"/>
          <w:szCs w:val="22"/>
          <w:u w:val="single" w:color="auto"/>
          <w:color w:val="auto"/>
        </w:rPr>
        <w:t>Schedule 8.4(b)(ii)</w:t>
      </w:r>
      <w:r>
        <w:rPr>
          <w:rFonts w:ascii="Arial" w:cs="Arial" w:eastAsia="Arial" w:hAnsi="Arial"/>
          <w:sz w:val="22"/>
          <w:szCs w:val="22"/>
          <w:color w:val="auto"/>
        </w:rPr>
        <w:t>.</w:t>
      </w:r>
    </w:p>
    <w:p>
      <w:pPr>
        <w:spacing w:after="0" w:line="220"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Yokkaichi Facility</w:t>
      </w:r>
      <w:r>
        <w:rPr>
          <w:rFonts w:ascii="Arial" w:cs="Arial" w:eastAsia="Arial" w:hAnsi="Arial"/>
          <w:sz w:val="22"/>
          <w:szCs w:val="22"/>
          <w:color w:val="auto"/>
        </w:rPr>
        <w:t>” means TMC’s facilities in Yokkaichi Japan, including the New Y2 Facility, the Y3 Facility, the Y4 Facility, the Y5 Facility, the Y6 Facility and TMC’s Asahi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Yokkaichi BiCS Expansion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Yokkaichi Unilateral BiCS Expansion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4.2(c)(i)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Yokkaichi Unilateral BiCS Expansion Space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firstLine="8"/>
        <w:spacing w:after="0" w:line="275" w:lineRule="auto"/>
        <w:tabs>
          <w:tab w:leader="none" w:pos="3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6"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Y6 FACILITY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TOSHIBA MEMORY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WESTERN DIGITAL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SANDISK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SANDISK (CAYMAN) LIMITED,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SANDISK (IRELAND) LIMITED,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SANDISK FLASH B.V.,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FLASH PARTNERS,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FLASH ALLIANCE,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FLASH FORWARD,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955040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8"/>
        <w:spacing w:after="0" w:line="275" w:lineRule="auto"/>
        <w:tabs>
          <w:tab w:leader="none" w:pos="36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26"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250"/>
        </w:trPr>
        <w:tc>
          <w:tcPr>
            <w:tcW w:w="180" w:type="dxa"/>
            <w:vAlign w:val="bottom"/>
          </w:tcPr>
          <w:p>
            <w:pPr>
              <w:spacing w:after="0"/>
              <w:rPr>
                <w:sz w:val="20"/>
                <w:szCs w:val="20"/>
                <w:color w:val="auto"/>
              </w:rPr>
            </w:pPr>
            <w:r>
              <w:rPr>
                <w:rFonts w:ascii="Arial" w:cs="Arial" w:eastAsia="Arial" w:hAnsi="Arial"/>
                <w:sz w:val="20"/>
                <w:szCs w:val="20"/>
                <w:color w:val="auto"/>
              </w:rPr>
              <w:t>1</w:t>
            </w:r>
          </w:p>
        </w:tc>
        <w:tc>
          <w:tcPr>
            <w:tcW w:w="7920" w:type="dxa"/>
            <w:vAlign w:val="bottom"/>
            <w:gridSpan w:val="2"/>
          </w:tcPr>
          <w:p>
            <w:pPr>
              <w:ind w:left="60"/>
              <w:spacing w:after="0"/>
              <w:rPr>
                <w:sz w:val="20"/>
                <w:szCs w:val="20"/>
                <w:color w:val="auto"/>
              </w:rPr>
            </w:pPr>
            <w:r>
              <w:rPr>
                <w:rFonts w:ascii="Arial" w:cs="Arial" w:eastAsia="Arial" w:hAnsi="Arial"/>
                <w:sz w:val="20"/>
                <w:szCs w:val="20"/>
                <w:color w:val="auto"/>
              </w:rPr>
              <w:t>FRAMEWORK</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w:t>
            </w:r>
          </w:p>
        </w:tc>
        <w:tc>
          <w:tcPr>
            <w:tcW w:w="7120" w:type="dxa"/>
            <w:vAlign w:val="bottom"/>
          </w:tcPr>
          <w:p>
            <w:pPr>
              <w:ind w:left="60"/>
              <w:spacing w:after="0"/>
              <w:rPr>
                <w:sz w:val="20"/>
                <w:szCs w:val="20"/>
                <w:color w:val="auto"/>
              </w:rPr>
            </w:pPr>
            <w:r>
              <w:rPr>
                <w:rFonts w:ascii="Arial" w:cs="Arial" w:eastAsia="Arial" w:hAnsi="Arial"/>
                <w:sz w:val="20"/>
                <w:szCs w:val="20"/>
                <w:color w:val="auto"/>
              </w:rPr>
              <w:t>New Y2 Production Framework</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8100" w:type="dxa"/>
            <w:vAlign w:val="bottom"/>
            <w:gridSpan w:val="3"/>
          </w:tcPr>
          <w:p>
            <w:pPr>
              <w:spacing w:after="0"/>
              <w:rPr>
                <w:sz w:val="20"/>
                <w:szCs w:val="20"/>
                <w:color w:val="auto"/>
              </w:rPr>
            </w:pPr>
            <w:r>
              <w:rPr>
                <w:rFonts w:ascii="Arial" w:cs="Arial" w:eastAsia="Arial" w:hAnsi="Arial"/>
                <w:sz w:val="20"/>
                <w:szCs w:val="20"/>
                <w:color w:val="auto"/>
              </w:rPr>
              <w:t>2  Y6 FACILITY AND CONSTRUCTION</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w:t>
            </w:r>
          </w:p>
        </w:tc>
        <w:tc>
          <w:tcPr>
            <w:tcW w:w="7120" w:type="dxa"/>
            <w:vAlign w:val="bottom"/>
          </w:tcPr>
          <w:p>
            <w:pPr>
              <w:ind w:left="60"/>
              <w:spacing w:after="0"/>
              <w:rPr>
                <w:sz w:val="20"/>
                <w:szCs w:val="20"/>
                <w:color w:val="auto"/>
              </w:rPr>
            </w:pPr>
            <w:r>
              <w:rPr>
                <w:rFonts w:ascii="Arial" w:cs="Arial" w:eastAsia="Arial" w:hAnsi="Arial"/>
                <w:sz w:val="20"/>
                <w:szCs w:val="20"/>
                <w:color w:val="auto"/>
              </w:rPr>
              <w:t>Purpose of Y6</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w:t>
            </w:r>
          </w:p>
        </w:tc>
        <w:tc>
          <w:tcPr>
            <w:tcW w:w="7120" w:type="dxa"/>
            <w:vAlign w:val="bottom"/>
          </w:tcPr>
          <w:p>
            <w:pPr>
              <w:ind w:left="60"/>
              <w:spacing w:after="0"/>
              <w:rPr>
                <w:sz w:val="20"/>
                <w:szCs w:val="20"/>
                <w:color w:val="auto"/>
              </w:rPr>
            </w:pPr>
            <w:r>
              <w:rPr>
                <w:rFonts w:ascii="Arial" w:cs="Arial" w:eastAsia="Arial" w:hAnsi="Arial"/>
                <w:sz w:val="20"/>
                <w:szCs w:val="20"/>
                <w:color w:val="auto"/>
              </w:rPr>
              <w:t>First JV Wafer Out</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2.3</w:t>
            </w:r>
          </w:p>
        </w:tc>
        <w:tc>
          <w:tcPr>
            <w:tcW w:w="7120" w:type="dxa"/>
            <w:vAlign w:val="bottom"/>
          </w:tcPr>
          <w:p>
            <w:pPr>
              <w:ind w:left="60"/>
              <w:spacing w:after="0"/>
              <w:rPr>
                <w:sz w:val="20"/>
                <w:szCs w:val="20"/>
                <w:color w:val="auto"/>
              </w:rPr>
            </w:pPr>
            <w:r>
              <w:rPr>
                <w:rFonts w:ascii="Arial" w:cs="Arial" w:eastAsia="Arial" w:hAnsi="Arial"/>
                <w:sz w:val="20"/>
                <w:szCs w:val="20"/>
                <w:color w:val="auto"/>
              </w:rPr>
              <w:t>Rights and Responsibilities in Construction</w:t>
            </w:r>
          </w:p>
        </w:tc>
        <w:tc>
          <w:tcPr>
            <w:tcW w:w="29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w:t>
            </w:r>
          </w:p>
        </w:tc>
        <w:tc>
          <w:tcPr>
            <w:tcW w:w="7120" w:type="dxa"/>
            <w:vAlign w:val="bottom"/>
          </w:tcPr>
          <w:p>
            <w:pPr>
              <w:ind w:left="60"/>
              <w:spacing w:after="0"/>
              <w:rPr>
                <w:sz w:val="20"/>
                <w:szCs w:val="20"/>
                <w:color w:val="auto"/>
              </w:rPr>
            </w:pPr>
            <w:r>
              <w:rPr>
                <w:rFonts w:ascii="Arial" w:cs="Arial" w:eastAsia="Arial" w:hAnsi="Arial"/>
                <w:sz w:val="20"/>
                <w:szCs w:val="20"/>
                <w:color w:val="auto"/>
              </w:rPr>
              <w:t>Phases of Construction</w:t>
            </w:r>
          </w:p>
        </w:tc>
        <w:tc>
          <w:tcPr>
            <w:tcW w:w="2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2.5</w:t>
            </w:r>
          </w:p>
        </w:tc>
        <w:tc>
          <w:tcPr>
            <w:tcW w:w="7120" w:type="dxa"/>
            <w:vAlign w:val="bottom"/>
          </w:tcPr>
          <w:p>
            <w:pPr>
              <w:ind w:left="60"/>
              <w:spacing w:after="0"/>
              <w:rPr>
                <w:sz w:val="20"/>
                <w:szCs w:val="20"/>
                <w:color w:val="auto"/>
              </w:rPr>
            </w:pPr>
            <w:r>
              <w:rPr>
                <w:rFonts w:ascii="Arial" w:cs="Arial" w:eastAsia="Arial" w:hAnsi="Arial"/>
                <w:sz w:val="20"/>
                <w:szCs w:val="20"/>
                <w:color w:val="auto"/>
              </w:rPr>
              <w:t>Construction Costs and Related Costs</w:t>
            </w:r>
          </w:p>
        </w:tc>
        <w:tc>
          <w:tcPr>
            <w:tcW w:w="2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w:t>
            </w:r>
          </w:p>
        </w:tc>
        <w:tc>
          <w:tcPr>
            <w:tcW w:w="7120" w:type="dxa"/>
            <w:vAlign w:val="bottom"/>
          </w:tcPr>
          <w:p>
            <w:pPr>
              <w:ind w:left="60"/>
              <w:spacing w:after="0"/>
              <w:rPr>
                <w:sz w:val="20"/>
                <w:szCs w:val="20"/>
                <w:color w:val="auto"/>
              </w:rPr>
            </w:pPr>
            <w:r>
              <w:rPr>
                <w:rFonts w:ascii="Arial" w:cs="Arial" w:eastAsia="Arial" w:hAnsi="Arial"/>
                <w:sz w:val="20"/>
                <w:szCs w:val="20"/>
                <w:color w:val="auto"/>
              </w:rPr>
              <w:t>Incentives</w:t>
            </w:r>
          </w:p>
        </w:tc>
        <w:tc>
          <w:tcPr>
            <w:tcW w:w="2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w:t>
            </w:r>
          </w:p>
        </w:tc>
        <w:tc>
          <w:tcPr>
            <w:tcW w:w="7120" w:type="dxa"/>
            <w:vAlign w:val="bottom"/>
          </w:tcPr>
          <w:p>
            <w:pPr>
              <w:ind w:left="60"/>
              <w:spacing w:after="0"/>
              <w:rPr>
                <w:sz w:val="20"/>
                <w:szCs w:val="20"/>
                <w:color w:val="auto"/>
              </w:rPr>
            </w:pPr>
            <w:r>
              <w:rPr>
                <w:rFonts w:ascii="Arial" w:cs="Arial" w:eastAsia="Arial" w:hAnsi="Arial"/>
                <w:sz w:val="20"/>
                <w:szCs w:val="20"/>
                <w:color w:val="auto"/>
              </w:rPr>
              <w:t>Insurance</w:t>
            </w:r>
          </w:p>
        </w:tc>
        <w:tc>
          <w:tcPr>
            <w:tcW w:w="2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8100" w:type="dxa"/>
            <w:vAlign w:val="bottom"/>
            <w:gridSpan w:val="3"/>
          </w:tcPr>
          <w:p>
            <w:pPr>
              <w:spacing w:after="0"/>
              <w:rPr>
                <w:sz w:val="20"/>
                <w:szCs w:val="20"/>
                <w:color w:val="auto"/>
              </w:rPr>
            </w:pPr>
            <w:r>
              <w:rPr>
                <w:rFonts w:ascii="Arial" w:cs="Arial" w:eastAsia="Arial" w:hAnsi="Arial"/>
                <w:sz w:val="20"/>
                <w:szCs w:val="20"/>
                <w:color w:val="auto"/>
              </w:rPr>
              <w:t>3  PRODUCTS; RIGHTS TO CLEANROOM SPACE; TOOLS</w:t>
            </w:r>
          </w:p>
        </w:tc>
        <w:tc>
          <w:tcPr>
            <w:tcW w:w="2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3.1</w:t>
            </w:r>
          </w:p>
        </w:tc>
        <w:tc>
          <w:tcPr>
            <w:tcW w:w="7120" w:type="dxa"/>
            <w:vAlign w:val="bottom"/>
          </w:tcPr>
          <w:p>
            <w:pPr>
              <w:ind w:left="60"/>
              <w:spacing w:after="0"/>
              <w:rPr>
                <w:sz w:val="20"/>
                <w:szCs w:val="20"/>
                <w:color w:val="auto"/>
              </w:rPr>
            </w:pPr>
            <w:r>
              <w:rPr>
                <w:rFonts w:ascii="Arial" w:cs="Arial" w:eastAsia="Arial" w:hAnsi="Arial"/>
                <w:sz w:val="20"/>
                <w:szCs w:val="20"/>
                <w:color w:val="auto"/>
              </w:rPr>
              <w:t>BiCS Products</w:t>
            </w:r>
          </w:p>
        </w:tc>
        <w:tc>
          <w:tcPr>
            <w:tcW w:w="2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7120" w:type="dxa"/>
            <w:vAlign w:val="bottom"/>
          </w:tcPr>
          <w:p>
            <w:pPr>
              <w:ind w:left="60"/>
              <w:spacing w:after="0"/>
              <w:rPr>
                <w:sz w:val="20"/>
                <w:szCs w:val="20"/>
                <w:color w:val="auto"/>
              </w:rPr>
            </w:pPr>
            <w:r>
              <w:rPr>
                <w:rFonts w:ascii="Arial" w:cs="Arial" w:eastAsia="Arial" w:hAnsi="Arial"/>
                <w:sz w:val="20"/>
                <w:szCs w:val="20"/>
                <w:color w:val="auto"/>
              </w:rPr>
              <w:t>Rights to Cleanroom Space</w:t>
            </w:r>
          </w:p>
        </w:tc>
        <w:tc>
          <w:tcPr>
            <w:tcW w:w="2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3.3</w:t>
            </w:r>
          </w:p>
        </w:tc>
        <w:tc>
          <w:tcPr>
            <w:tcW w:w="7120" w:type="dxa"/>
            <w:vAlign w:val="bottom"/>
          </w:tcPr>
          <w:p>
            <w:pPr>
              <w:ind w:left="60"/>
              <w:spacing w:after="0"/>
              <w:rPr>
                <w:sz w:val="20"/>
                <w:szCs w:val="20"/>
                <w:color w:val="auto"/>
              </w:rPr>
            </w:pPr>
            <w:r>
              <w:rPr>
                <w:rFonts w:ascii="Arial" w:cs="Arial" w:eastAsia="Arial" w:hAnsi="Arial"/>
                <w:sz w:val="20"/>
                <w:szCs w:val="20"/>
                <w:color w:val="auto"/>
              </w:rPr>
              <w:t>Tool Acquisition, Usage and Layout</w:t>
            </w:r>
          </w:p>
        </w:tc>
        <w:tc>
          <w:tcPr>
            <w:tcW w:w="2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3.4</w:t>
            </w:r>
          </w:p>
        </w:tc>
        <w:tc>
          <w:tcPr>
            <w:tcW w:w="7120" w:type="dxa"/>
            <w:vAlign w:val="bottom"/>
          </w:tcPr>
          <w:p>
            <w:pPr>
              <w:ind w:left="60"/>
              <w:spacing w:after="0"/>
              <w:rPr>
                <w:sz w:val="20"/>
                <w:szCs w:val="20"/>
                <w:color w:val="auto"/>
              </w:rPr>
            </w:pPr>
            <w:r>
              <w:rPr>
                <w:rFonts w:ascii="Arial" w:cs="Arial" w:eastAsia="Arial" w:hAnsi="Arial"/>
                <w:sz w:val="20"/>
                <w:szCs w:val="20"/>
                <w:color w:val="auto"/>
              </w:rPr>
              <w:t>NAND Flash Memory Products</w:t>
            </w:r>
          </w:p>
        </w:tc>
        <w:tc>
          <w:tcPr>
            <w:tcW w:w="2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80" w:type="dxa"/>
            <w:vAlign w:val="bottom"/>
          </w:tcPr>
          <w:p>
            <w:pPr>
              <w:spacing w:after="0"/>
              <w:rPr>
                <w:sz w:val="20"/>
                <w:szCs w:val="20"/>
                <w:color w:val="auto"/>
              </w:rPr>
            </w:pPr>
            <w:r>
              <w:rPr>
                <w:rFonts w:ascii="Arial" w:cs="Arial" w:eastAsia="Arial" w:hAnsi="Arial"/>
                <w:sz w:val="20"/>
                <w:szCs w:val="20"/>
                <w:color w:val="auto"/>
              </w:rPr>
              <w:t>4</w:t>
            </w:r>
          </w:p>
        </w:tc>
        <w:tc>
          <w:tcPr>
            <w:tcW w:w="7920" w:type="dxa"/>
            <w:vAlign w:val="bottom"/>
            <w:gridSpan w:val="2"/>
          </w:tcPr>
          <w:p>
            <w:pPr>
              <w:ind w:left="60"/>
              <w:spacing w:after="0"/>
              <w:rPr>
                <w:sz w:val="20"/>
                <w:szCs w:val="20"/>
                <w:color w:val="auto"/>
              </w:rPr>
            </w:pPr>
            <w:r>
              <w:rPr>
                <w:rFonts w:ascii="Arial" w:cs="Arial" w:eastAsia="Arial" w:hAnsi="Arial"/>
                <w:sz w:val="20"/>
                <w:szCs w:val="20"/>
                <w:color w:val="auto"/>
              </w:rPr>
              <w:t>RAMP-UP PROCESS</w:t>
            </w:r>
          </w:p>
        </w:tc>
        <w:tc>
          <w:tcPr>
            <w:tcW w:w="2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4.1</w:t>
            </w:r>
          </w:p>
        </w:tc>
        <w:tc>
          <w:tcPr>
            <w:tcW w:w="7120" w:type="dxa"/>
            <w:vAlign w:val="bottom"/>
          </w:tcPr>
          <w:p>
            <w:pPr>
              <w:ind w:left="60"/>
              <w:spacing w:after="0"/>
              <w:rPr>
                <w:sz w:val="20"/>
                <w:szCs w:val="20"/>
                <w:color w:val="auto"/>
              </w:rPr>
            </w:pPr>
            <w:r>
              <w:rPr>
                <w:rFonts w:ascii="Arial" w:cs="Arial" w:eastAsia="Arial" w:hAnsi="Arial"/>
                <w:sz w:val="20"/>
                <w:szCs w:val="20"/>
                <w:color w:val="auto"/>
              </w:rPr>
              <w:t>Minimum Commitment</w:t>
            </w:r>
          </w:p>
        </w:tc>
        <w:tc>
          <w:tcPr>
            <w:tcW w:w="29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4.2</w:t>
            </w:r>
          </w:p>
        </w:tc>
        <w:tc>
          <w:tcPr>
            <w:tcW w:w="7120" w:type="dxa"/>
            <w:vAlign w:val="bottom"/>
          </w:tcPr>
          <w:p>
            <w:pPr>
              <w:ind w:left="60"/>
              <w:spacing w:after="0"/>
              <w:rPr>
                <w:sz w:val="20"/>
                <w:szCs w:val="20"/>
                <w:color w:val="auto"/>
              </w:rPr>
            </w:pPr>
            <w:r>
              <w:rPr>
                <w:rFonts w:ascii="Arial" w:cs="Arial" w:eastAsia="Arial" w:hAnsi="Arial"/>
                <w:sz w:val="20"/>
                <w:szCs w:val="20"/>
                <w:color w:val="auto"/>
              </w:rPr>
              <w:t>Yokkaichi BiCS Expansion</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4.3</w:t>
            </w:r>
          </w:p>
        </w:tc>
        <w:tc>
          <w:tcPr>
            <w:tcW w:w="7120" w:type="dxa"/>
            <w:vAlign w:val="bottom"/>
          </w:tcPr>
          <w:p>
            <w:pPr>
              <w:ind w:left="60"/>
              <w:spacing w:after="0"/>
              <w:rPr>
                <w:sz w:val="20"/>
                <w:szCs w:val="20"/>
                <w:color w:val="auto"/>
              </w:rPr>
            </w:pPr>
            <w:r>
              <w:rPr>
                <w:rFonts w:ascii="Arial" w:cs="Arial" w:eastAsia="Arial" w:hAnsi="Arial"/>
                <w:sz w:val="20"/>
                <w:szCs w:val="20"/>
                <w:color w:val="auto"/>
              </w:rPr>
              <w:t>Other Facility Expansions</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w:t>
            </w:r>
          </w:p>
        </w:tc>
        <w:tc>
          <w:tcPr>
            <w:tcW w:w="7120" w:type="dxa"/>
            <w:vAlign w:val="bottom"/>
          </w:tcPr>
          <w:p>
            <w:pPr>
              <w:ind w:left="60"/>
              <w:spacing w:after="0"/>
              <w:rPr>
                <w:sz w:val="20"/>
                <w:szCs w:val="20"/>
                <w:color w:val="auto"/>
              </w:rPr>
            </w:pPr>
            <w:r>
              <w:rPr>
                <w:rFonts w:ascii="Arial" w:cs="Arial" w:eastAsia="Arial" w:hAnsi="Arial"/>
                <w:sz w:val="20"/>
                <w:szCs w:val="20"/>
                <w:color w:val="auto"/>
              </w:rPr>
              <w:t>BiCS Conversions and BiCS Technology Transitions</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w:t>
            </w:r>
          </w:p>
        </w:tc>
        <w:tc>
          <w:tcPr>
            <w:tcW w:w="7120" w:type="dxa"/>
            <w:vAlign w:val="bottom"/>
          </w:tcPr>
          <w:p>
            <w:pPr>
              <w:ind w:left="60"/>
              <w:spacing w:after="0"/>
              <w:rPr>
                <w:sz w:val="20"/>
                <w:szCs w:val="20"/>
                <w:color w:val="auto"/>
              </w:rPr>
            </w:pPr>
            <w:r>
              <w:rPr>
                <w:rFonts w:ascii="Arial" w:cs="Arial" w:eastAsia="Arial" w:hAnsi="Arial"/>
                <w:sz w:val="20"/>
                <w:szCs w:val="20"/>
                <w:color w:val="auto"/>
              </w:rPr>
              <w:t>Failure to Invest</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4.6</w:t>
            </w:r>
          </w:p>
        </w:tc>
        <w:tc>
          <w:tcPr>
            <w:tcW w:w="7120" w:type="dxa"/>
            <w:vAlign w:val="bottom"/>
          </w:tcPr>
          <w:p>
            <w:pPr>
              <w:ind w:left="60"/>
              <w:spacing w:after="0"/>
              <w:rPr>
                <w:sz w:val="20"/>
                <w:szCs w:val="20"/>
                <w:color w:val="auto"/>
              </w:rPr>
            </w:pPr>
            <w:r>
              <w:rPr>
                <w:rFonts w:ascii="Arial" w:cs="Arial" w:eastAsia="Arial" w:hAnsi="Arial"/>
                <w:sz w:val="20"/>
                <w:szCs w:val="20"/>
                <w:color w:val="auto"/>
              </w:rPr>
              <w:t>Phase I Investment Cost Sharing</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c>
          <w:tcPr>
            <w:tcW w:w="7120" w:type="dxa"/>
            <w:vAlign w:val="bottom"/>
          </w:tcPr>
          <w:p>
            <w:pPr>
              <w:ind w:left="60"/>
              <w:spacing w:after="0"/>
              <w:rPr>
                <w:sz w:val="20"/>
                <w:szCs w:val="20"/>
                <w:color w:val="auto"/>
              </w:rPr>
            </w:pPr>
            <w:r>
              <w:rPr>
                <w:rFonts w:ascii="Arial" w:cs="Arial" w:eastAsia="Arial" w:hAnsi="Arial"/>
                <w:sz w:val="20"/>
                <w:szCs w:val="20"/>
                <w:color w:val="auto"/>
              </w:rPr>
              <w:t>Iwate Facility</w:t>
            </w:r>
          </w:p>
        </w:tc>
        <w:tc>
          <w:tcPr>
            <w:tcW w:w="2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4.8</w:t>
            </w:r>
          </w:p>
        </w:tc>
        <w:tc>
          <w:tcPr>
            <w:tcW w:w="7120" w:type="dxa"/>
            <w:vAlign w:val="bottom"/>
          </w:tcPr>
          <w:p>
            <w:pPr>
              <w:ind w:left="60"/>
              <w:spacing w:after="0"/>
              <w:rPr>
                <w:sz w:val="20"/>
                <w:szCs w:val="20"/>
                <w:color w:val="auto"/>
              </w:rPr>
            </w:pPr>
            <w:r>
              <w:rPr>
                <w:rFonts w:ascii="Arial" w:cs="Arial" w:eastAsia="Arial" w:hAnsi="Arial"/>
                <w:sz w:val="20"/>
                <w:szCs w:val="20"/>
                <w:color w:val="auto"/>
              </w:rPr>
              <w:t>Prior Agreement</w:t>
            </w:r>
          </w:p>
        </w:tc>
        <w:tc>
          <w:tcPr>
            <w:tcW w:w="2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80" w:type="dxa"/>
            <w:vAlign w:val="bottom"/>
          </w:tcPr>
          <w:p>
            <w:pPr>
              <w:spacing w:after="0"/>
              <w:rPr>
                <w:sz w:val="20"/>
                <w:szCs w:val="20"/>
                <w:color w:val="auto"/>
              </w:rPr>
            </w:pPr>
            <w:r>
              <w:rPr>
                <w:rFonts w:ascii="Arial" w:cs="Arial" w:eastAsia="Arial" w:hAnsi="Arial"/>
                <w:sz w:val="20"/>
                <w:szCs w:val="20"/>
                <w:color w:val="auto"/>
              </w:rPr>
              <w:t>5</w:t>
            </w:r>
          </w:p>
        </w:tc>
        <w:tc>
          <w:tcPr>
            <w:tcW w:w="7920" w:type="dxa"/>
            <w:vAlign w:val="bottom"/>
            <w:gridSpan w:val="2"/>
          </w:tcPr>
          <w:p>
            <w:pPr>
              <w:ind w:left="60"/>
              <w:spacing w:after="0"/>
              <w:rPr>
                <w:sz w:val="20"/>
                <w:szCs w:val="20"/>
                <w:color w:val="auto"/>
              </w:rPr>
            </w:pPr>
            <w:r>
              <w:rPr>
                <w:rFonts w:ascii="Arial" w:cs="Arial" w:eastAsia="Arial" w:hAnsi="Arial"/>
                <w:sz w:val="20"/>
                <w:szCs w:val="20"/>
                <w:color w:val="auto"/>
              </w:rPr>
              <w:t>BiCS PRODUCTS PRIORITY</w:t>
            </w:r>
          </w:p>
        </w:tc>
        <w:tc>
          <w:tcPr>
            <w:tcW w:w="2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w:t>
            </w:r>
          </w:p>
        </w:tc>
        <w:tc>
          <w:tcPr>
            <w:tcW w:w="7120" w:type="dxa"/>
            <w:vAlign w:val="bottom"/>
          </w:tcPr>
          <w:p>
            <w:pPr>
              <w:ind w:left="60"/>
              <w:spacing w:after="0"/>
              <w:rPr>
                <w:sz w:val="20"/>
                <w:szCs w:val="20"/>
                <w:color w:val="auto"/>
              </w:rPr>
            </w:pPr>
            <w:r>
              <w:rPr>
                <w:rFonts w:ascii="Arial" w:cs="Arial" w:eastAsia="Arial" w:hAnsi="Arial"/>
                <w:sz w:val="20"/>
                <w:szCs w:val="20"/>
                <w:color w:val="auto"/>
              </w:rPr>
              <w:t>****</w:t>
            </w:r>
          </w:p>
        </w:tc>
        <w:tc>
          <w:tcPr>
            <w:tcW w:w="2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5.2</w:t>
            </w:r>
          </w:p>
        </w:tc>
        <w:tc>
          <w:tcPr>
            <w:tcW w:w="7120" w:type="dxa"/>
            <w:vAlign w:val="bottom"/>
          </w:tcPr>
          <w:p>
            <w:pPr>
              <w:ind w:left="60"/>
              <w:spacing w:after="0"/>
              <w:rPr>
                <w:sz w:val="20"/>
                <w:szCs w:val="20"/>
                <w:color w:val="auto"/>
              </w:rPr>
            </w:pPr>
            <w:r>
              <w:rPr>
                <w:rFonts w:ascii="Arial" w:cs="Arial" w:eastAsia="Arial" w:hAnsi="Arial"/>
                <w:sz w:val="20"/>
                <w:szCs w:val="20"/>
                <w:color w:val="auto"/>
              </w:rPr>
              <w:t>****</w:t>
            </w:r>
          </w:p>
        </w:tc>
        <w:tc>
          <w:tcPr>
            <w:tcW w:w="2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5.3</w:t>
            </w:r>
          </w:p>
        </w:tc>
        <w:tc>
          <w:tcPr>
            <w:tcW w:w="7120" w:type="dxa"/>
            <w:vAlign w:val="bottom"/>
          </w:tcPr>
          <w:p>
            <w:pPr>
              <w:ind w:left="60"/>
              <w:spacing w:after="0"/>
              <w:rPr>
                <w:sz w:val="20"/>
                <w:szCs w:val="20"/>
                <w:color w:val="auto"/>
              </w:rPr>
            </w:pPr>
            <w:r>
              <w:rPr>
                <w:rFonts w:ascii="Arial" w:cs="Arial" w:eastAsia="Arial" w:hAnsi="Arial"/>
                <w:sz w:val="20"/>
                <w:szCs w:val="20"/>
                <w:color w:val="auto"/>
              </w:rPr>
              <w:t>****</w:t>
            </w:r>
          </w:p>
        </w:tc>
        <w:tc>
          <w:tcPr>
            <w:tcW w:w="2960" w:type="dxa"/>
            <w:vAlign w:val="bottom"/>
          </w:tcPr>
          <w:p>
            <w:pPr>
              <w:jc w:val="right"/>
              <w:spacing w:after="0"/>
              <w:rPr>
                <w:sz w:val="20"/>
                <w:szCs w:val="20"/>
                <w:color w:val="auto"/>
              </w:rPr>
            </w:pPr>
            <w:r>
              <w:rPr>
                <w:rFonts w:ascii="Arial" w:cs="Arial" w:eastAsia="Arial" w:hAnsi="Arial"/>
                <w:sz w:val="20"/>
                <w:szCs w:val="2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2583180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firstLine="8"/>
        <w:spacing w:after="0" w:line="275" w:lineRule="auto"/>
        <w:tabs>
          <w:tab w:leader="none" w:pos="36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952" w:gutter="0" w:footer="0" w:header="0"/>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126" w:right="239" w:bottom="952"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280" w:type="dxa"/>
            <w:vAlign w:val="bottom"/>
          </w:tcPr>
          <w:p>
            <w:pPr>
              <w:jc w:val="right"/>
              <w:spacing w:after="0"/>
              <w:rPr>
                <w:sz w:val="20"/>
                <w:szCs w:val="20"/>
                <w:color w:val="auto"/>
              </w:rPr>
            </w:pPr>
            <w:r>
              <w:rPr>
                <w:rFonts w:ascii="Arial" w:cs="Arial" w:eastAsia="Arial" w:hAnsi="Arial"/>
                <w:sz w:val="20"/>
                <w:szCs w:val="20"/>
                <w:color w:val="auto"/>
              </w:rPr>
              <w:t>6</w:t>
            </w:r>
          </w:p>
        </w:tc>
        <w:tc>
          <w:tcPr>
            <w:tcW w:w="8080" w:type="dxa"/>
            <w:vAlign w:val="bottom"/>
            <w:gridSpan w:val="3"/>
          </w:tcPr>
          <w:p>
            <w:pPr>
              <w:ind w:left="60"/>
              <w:spacing w:after="0"/>
              <w:rPr>
                <w:sz w:val="20"/>
                <w:szCs w:val="20"/>
                <w:color w:val="auto"/>
              </w:rPr>
            </w:pPr>
            <w:r>
              <w:rPr>
                <w:rFonts w:ascii="Arial" w:cs="Arial" w:eastAsia="Arial" w:hAnsi="Arial"/>
                <w:sz w:val="20"/>
                <w:szCs w:val="20"/>
                <w:color w:val="auto"/>
              </w:rPr>
              <w:t>Y6 OPERATING COMMITTEE</w:t>
            </w:r>
          </w:p>
        </w:tc>
        <w:tc>
          <w:tcPr>
            <w:tcW w:w="28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6.1</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Committee Purpose and Authority</w:t>
            </w:r>
          </w:p>
        </w:tc>
        <w:tc>
          <w:tcPr>
            <w:tcW w:w="28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6.2</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Parent Party Representatives</w:t>
            </w:r>
          </w:p>
        </w:tc>
        <w:tc>
          <w:tcPr>
            <w:tcW w:w="28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Committee Meetings</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6.4</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Dispute Resolution</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8360" w:type="dxa"/>
            <w:vAlign w:val="bottom"/>
            <w:gridSpan w:val="4"/>
          </w:tcPr>
          <w:p>
            <w:pPr>
              <w:ind w:left="100"/>
              <w:spacing w:after="0"/>
              <w:rPr>
                <w:sz w:val="20"/>
                <w:szCs w:val="20"/>
                <w:color w:val="auto"/>
              </w:rPr>
            </w:pPr>
            <w:r>
              <w:rPr>
                <w:rFonts w:ascii="Arial" w:cs="Arial" w:eastAsia="Arial" w:hAnsi="Arial"/>
                <w:sz w:val="20"/>
                <w:szCs w:val="20"/>
                <w:color w:val="auto"/>
              </w:rPr>
              <w:t>7  ENGINEERS AND HEADCOUNT PLAN</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7.1</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JV Engineers; Personnel</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JV Headcount Plan</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7.3</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Staffing</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7.4</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Integration; Headcount Working Group</w:t>
            </w: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WD Team</w:t>
            </w:r>
          </w:p>
        </w:tc>
        <w:tc>
          <w:tcPr>
            <w:tcW w:w="28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7.6</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Indemnification</w:t>
            </w:r>
          </w:p>
        </w:tc>
        <w:tc>
          <w:tcPr>
            <w:tcW w:w="28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7.7</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Other Personnel</w:t>
            </w:r>
          </w:p>
        </w:tc>
        <w:tc>
          <w:tcPr>
            <w:tcW w:w="28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80" w:type="dxa"/>
            <w:vAlign w:val="bottom"/>
          </w:tcPr>
          <w:p>
            <w:pPr>
              <w:jc w:val="right"/>
              <w:spacing w:after="0"/>
              <w:rPr>
                <w:sz w:val="20"/>
                <w:szCs w:val="20"/>
                <w:color w:val="auto"/>
              </w:rPr>
            </w:pPr>
            <w:r>
              <w:rPr>
                <w:rFonts w:ascii="Arial" w:cs="Arial" w:eastAsia="Arial" w:hAnsi="Arial"/>
                <w:sz w:val="20"/>
                <w:szCs w:val="20"/>
                <w:color w:val="auto"/>
              </w:rPr>
              <w:t>8</w:t>
            </w:r>
          </w:p>
        </w:tc>
        <w:tc>
          <w:tcPr>
            <w:tcW w:w="8080" w:type="dxa"/>
            <w:vAlign w:val="bottom"/>
            <w:gridSpan w:val="3"/>
          </w:tcPr>
          <w:p>
            <w:pPr>
              <w:ind w:left="60"/>
              <w:spacing w:after="0"/>
              <w:rPr>
                <w:sz w:val="20"/>
                <w:szCs w:val="20"/>
                <w:color w:val="auto"/>
              </w:rPr>
            </w:pPr>
            <w:r>
              <w:rPr>
                <w:rFonts w:ascii="Arial" w:cs="Arial" w:eastAsia="Arial" w:hAnsi="Arial"/>
                <w:sz w:val="20"/>
                <w:szCs w:val="20"/>
                <w:color w:val="auto"/>
              </w:rPr>
              <w:t>MANUFACTURING COSTS</w:t>
            </w:r>
          </w:p>
        </w:tc>
        <w:tc>
          <w:tcPr>
            <w:tcW w:w="28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8.1</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Manufacturing Costs</w:t>
            </w:r>
          </w:p>
        </w:tc>
        <w:tc>
          <w:tcPr>
            <w:tcW w:w="28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8.2</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Manufacturing Cost Allocation Framework</w:t>
            </w:r>
          </w:p>
        </w:tc>
        <w:tc>
          <w:tcPr>
            <w:tcW w:w="28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8.3</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Manufacturing Cost Allocation Methodology</w:t>
            </w:r>
          </w:p>
        </w:tc>
        <w:tc>
          <w:tcPr>
            <w:tcW w:w="28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8.4</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Product Manufacturing Costs</w:t>
            </w:r>
          </w:p>
        </w:tc>
        <w:tc>
          <w:tcPr>
            <w:tcW w:w="28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8.5</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Accounting and Cost Methodology</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8.6</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No Duplication of Costs or Expenses</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8360" w:type="dxa"/>
            <w:vAlign w:val="bottom"/>
            <w:gridSpan w:val="4"/>
          </w:tcPr>
          <w:p>
            <w:pPr>
              <w:ind w:left="100"/>
              <w:spacing w:after="0"/>
              <w:rPr>
                <w:sz w:val="20"/>
                <w:szCs w:val="20"/>
                <w:color w:val="auto"/>
              </w:rPr>
            </w:pPr>
            <w:r>
              <w:rPr>
                <w:rFonts w:ascii="Arial" w:cs="Arial" w:eastAsia="Arial" w:hAnsi="Arial"/>
                <w:sz w:val="20"/>
                <w:szCs w:val="20"/>
                <w:color w:val="auto"/>
              </w:rPr>
              <w:t>9  FOUNDRY AND PURCHASE AND SUPPLY ARRANGEMENTS</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9.1</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Foundry Arrangements</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9.2</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Purchase and Supply Agreements</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9.3</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Equal Right to JV Production</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9.4</w:t>
            </w:r>
          </w:p>
        </w:tc>
        <w:tc>
          <w:tcPr>
            <w:tcW w:w="340" w:type="dxa"/>
            <w:vAlign w:val="bottom"/>
          </w:tcPr>
          <w:p>
            <w:pPr>
              <w:ind w:left="60"/>
              <w:spacing w:after="0"/>
              <w:rPr>
                <w:sz w:val="20"/>
                <w:szCs w:val="20"/>
                <w:color w:val="auto"/>
              </w:rPr>
            </w:pPr>
            <w:r>
              <w:rPr>
                <w:rFonts w:ascii="Arial" w:cs="Arial" w:eastAsia="Arial" w:hAnsi="Arial"/>
                <w:sz w:val="20"/>
                <w:szCs w:val="20"/>
                <w:color w:val="auto"/>
              </w:rPr>
              <w:t>Y6</w:t>
            </w:r>
          </w:p>
        </w:tc>
        <w:tc>
          <w:tcPr>
            <w:tcW w:w="6940" w:type="dxa"/>
            <w:vAlign w:val="bottom"/>
          </w:tcPr>
          <w:p>
            <w:pPr>
              <w:ind w:left="20"/>
              <w:spacing w:after="0"/>
              <w:rPr>
                <w:sz w:val="20"/>
                <w:szCs w:val="20"/>
                <w:color w:val="auto"/>
              </w:rPr>
            </w:pPr>
            <w:r>
              <w:rPr>
                <w:rFonts w:ascii="Arial" w:cs="Arial" w:eastAsia="Arial" w:hAnsi="Arial"/>
                <w:sz w:val="20"/>
                <w:szCs w:val="20"/>
                <w:color w:val="auto"/>
              </w:rPr>
              <w:t>Product Output Allocation</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9.5</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Alternative Use of Allocated Capacity</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jc w:val="right"/>
              <w:spacing w:after="0"/>
              <w:rPr>
                <w:sz w:val="20"/>
                <w:szCs w:val="20"/>
                <w:color w:val="auto"/>
              </w:rPr>
            </w:pPr>
            <w:r>
              <w:rPr>
                <w:rFonts w:ascii="Arial" w:cs="Arial" w:eastAsia="Arial" w:hAnsi="Arial"/>
                <w:sz w:val="20"/>
                <w:szCs w:val="20"/>
                <w:color w:val="auto"/>
                <w:w w:val="80"/>
              </w:rPr>
              <w:t>10</w:t>
            </w:r>
          </w:p>
        </w:tc>
        <w:tc>
          <w:tcPr>
            <w:tcW w:w="8080" w:type="dxa"/>
            <w:vAlign w:val="bottom"/>
            <w:gridSpan w:val="3"/>
          </w:tcPr>
          <w:p>
            <w:pPr>
              <w:ind w:left="60"/>
              <w:spacing w:after="0"/>
              <w:rPr>
                <w:sz w:val="20"/>
                <w:szCs w:val="20"/>
                <w:color w:val="auto"/>
              </w:rPr>
            </w:pPr>
            <w:r>
              <w:rPr>
                <w:rFonts w:ascii="Arial" w:cs="Arial" w:eastAsia="Arial" w:hAnsi="Arial"/>
                <w:sz w:val="20"/>
                <w:szCs w:val="20"/>
                <w:color w:val="auto"/>
              </w:rPr>
              <w:t>RESEARCH AND DEVELOPMENT</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10.1</w:t>
            </w:r>
          </w:p>
        </w:tc>
        <w:tc>
          <w:tcPr>
            <w:tcW w:w="728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2797810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firstLine="8"/>
        <w:spacing w:after="0" w:line="275" w:lineRule="auto"/>
        <w:tabs>
          <w:tab w:leader="none" w:pos="36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871"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126" w:right="239" w:bottom="871"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c>
          <w:tcPr>
            <w:tcW w:w="7920" w:type="dxa"/>
            <w:vAlign w:val="bottom"/>
          </w:tcPr>
          <w:p>
            <w:pPr>
              <w:ind w:left="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10.3</w:t>
            </w:r>
          </w:p>
        </w:tc>
        <w:tc>
          <w:tcPr>
            <w:tcW w:w="7920" w:type="dxa"/>
            <w:vAlign w:val="bottom"/>
          </w:tcPr>
          <w:p>
            <w:pPr>
              <w:ind w:left="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10.4</w:t>
            </w:r>
          </w:p>
        </w:tc>
        <w:tc>
          <w:tcPr>
            <w:tcW w:w="7920" w:type="dxa"/>
            <w:vAlign w:val="bottom"/>
          </w:tcPr>
          <w:p>
            <w:pPr>
              <w:ind w:left="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10.5</w:t>
            </w:r>
          </w:p>
        </w:tc>
        <w:tc>
          <w:tcPr>
            <w:tcW w:w="7920" w:type="dxa"/>
            <w:vAlign w:val="bottom"/>
          </w:tcPr>
          <w:p>
            <w:pPr>
              <w:ind w:left="60"/>
              <w:spacing w:after="0"/>
              <w:rPr>
                <w:sz w:val="20"/>
                <w:szCs w:val="20"/>
                <w:color w:val="auto"/>
              </w:rPr>
            </w:pPr>
            <w:r>
              <w:rPr>
                <w:rFonts w:ascii="Arial" w:cs="Arial" w:eastAsia="Arial" w:hAnsi="Arial"/>
                <w:sz w:val="20"/>
                <w:szCs w:val="20"/>
                <w:color w:val="auto"/>
              </w:rPr>
              <w:t>No Change to Common R&amp;D</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000" w:type="dxa"/>
            <w:vAlign w:val="bottom"/>
            <w:gridSpan w:val="3"/>
          </w:tcPr>
          <w:p>
            <w:pPr>
              <w:spacing w:after="0"/>
              <w:rPr>
                <w:sz w:val="20"/>
                <w:szCs w:val="20"/>
                <w:color w:val="auto"/>
              </w:rPr>
            </w:pPr>
            <w:r>
              <w:rPr>
                <w:rFonts w:ascii="Arial" w:cs="Arial" w:eastAsia="Arial" w:hAnsi="Arial"/>
                <w:sz w:val="20"/>
                <w:szCs w:val="20"/>
                <w:color w:val="auto"/>
              </w:rPr>
              <w:t>11  Y6 INFORMATION AND DATA SHARING</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11.1</w:t>
            </w:r>
          </w:p>
        </w:tc>
        <w:tc>
          <w:tcPr>
            <w:tcW w:w="7920" w:type="dxa"/>
            <w:vAlign w:val="bottom"/>
          </w:tcPr>
          <w:p>
            <w:pPr>
              <w:ind w:left="60"/>
              <w:spacing w:after="0"/>
              <w:rPr>
                <w:sz w:val="20"/>
                <w:szCs w:val="20"/>
                <w:color w:val="auto"/>
              </w:rPr>
            </w:pPr>
            <w:r>
              <w:rPr>
                <w:rFonts w:ascii="Arial" w:cs="Arial" w:eastAsia="Arial" w:hAnsi="Arial"/>
                <w:sz w:val="20"/>
                <w:szCs w:val="20"/>
                <w:color w:val="auto"/>
              </w:rPr>
              <w:t>Management and Operating Reports</w:t>
            </w:r>
          </w:p>
        </w:tc>
        <w:tc>
          <w:tcPr>
            <w:tcW w:w="21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11.2</w:t>
            </w:r>
          </w:p>
        </w:tc>
        <w:tc>
          <w:tcPr>
            <w:tcW w:w="7920" w:type="dxa"/>
            <w:vAlign w:val="bottom"/>
          </w:tcPr>
          <w:p>
            <w:pPr>
              <w:ind w:left="60"/>
              <w:spacing w:after="0"/>
              <w:rPr>
                <w:sz w:val="20"/>
                <w:szCs w:val="20"/>
                <w:color w:val="auto"/>
              </w:rPr>
            </w:pPr>
            <w:r>
              <w:rPr>
                <w:rFonts w:ascii="Arial" w:cs="Arial" w:eastAsia="Arial" w:hAnsi="Arial"/>
                <w:sz w:val="20"/>
                <w:szCs w:val="20"/>
                <w:color w:val="auto"/>
              </w:rPr>
              <w:t>Production Control; Access to Y6 Data</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11.3</w:t>
            </w:r>
          </w:p>
        </w:tc>
        <w:tc>
          <w:tcPr>
            <w:tcW w:w="7920" w:type="dxa"/>
            <w:vAlign w:val="bottom"/>
          </w:tcPr>
          <w:p>
            <w:pPr>
              <w:ind w:left="60"/>
              <w:spacing w:after="0"/>
              <w:rPr>
                <w:sz w:val="20"/>
                <w:szCs w:val="20"/>
                <w:color w:val="auto"/>
              </w:rPr>
            </w:pPr>
            <w:r>
              <w:rPr>
                <w:rFonts w:ascii="Arial" w:cs="Arial" w:eastAsia="Arial" w:hAnsi="Arial"/>
                <w:sz w:val="20"/>
                <w:szCs w:val="20"/>
                <w:color w:val="auto"/>
              </w:rPr>
              <w:t>Engineering Wafers</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11.4</w:t>
            </w:r>
          </w:p>
        </w:tc>
        <w:tc>
          <w:tcPr>
            <w:tcW w:w="7920" w:type="dxa"/>
            <w:vAlign w:val="bottom"/>
          </w:tcPr>
          <w:p>
            <w:pPr>
              <w:ind w:left="60"/>
              <w:spacing w:after="0"/>
              <w:rPr>
                <w:sz w:val="20"/>
                <w:szCs w:val="20"/>
                <w:color w:val="auto"/>
              </w:rPr>
            </w:pPr>
            <w:r>
              <w:rPr>
                <w:rFonts w:ascii="Arial" w:cs="Arial" w:eastAsia="Arial" w:hAnsi="Arial"/>
                <w:sz w:val="20"/>
                <w:szCs w:val="20"/>
                <w:color w:val="auto"/>
              </w:rPr>
              <w:t>Unilateral Capacity Data</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11.5</w:t>
            </w:r>
          </w:p>
        </w:tc>
        <w:tc>
          <w:tcPr>
            <w:tcW w:w="7920" w:type="dxa"/>
            <w:vAlign w:val="bottom"/>
          </w:tcPr>
          <w:p>
            <w:pPr>
              <w:ind w:left="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000" w:type="dxa"/>
            <w:vAlign w:val="bottom"/>
            <w:gridSpan w:val="3"/>
          </w:tcPr>
          <w:p>
            <w:pPr>
              <w:spacing w:after="0"/>
              <w:rPr>
                <w:sz w:val="20"/>
                <w:szCs w:val="20"/>
                <w:color w:val="auto"/>
              </w:rPr>
            </w:pPr>
            <w:r>
              <w:rPr>
                <w:rFonts w:ascii="Arial" w:cs="Arial" w:eastAsia="Arial" w:hAnsi="Arial"/>
                <w:sz w:val="20"/>
                <w:szCs w:val="20"/>
                <w:color w:val="auto"/>
              </w:rPr>
              <w:t>12  OTHER MODIFICATIONS TO CERTAIN MASTER OPERATIVE DOCUMENTS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12.1</w:t>
            </w:r>
          </w:p>
        </w:tc>
        <w:tc>
          <w:tcPr>
            <w:tcW w:w="7920" w:type="dxa"/>
            <w:vAlign w:val="bottom"/>
          </w:tcPr>
          <w:p>
            <w:pPr>
              <w:ind w:left="60"/>
              <w:spacing w:after="0"/>
              <w:rPr>
                <w:sz w:val="20"/>
                <w:szCs w:val="20"/>
                <w:color w:val="auto"/>
              </w:rPr>
            </w:pPr>
            <w:r>
              <w:rPr>
                <w:rFonts w:ascii="Arial" w:cs="Arial" w:eastAsia="Arial" w:hAnsi="Arial"/>
                <w:sz w:val="20"/>
                <w:szCs w:val="20"/>
                <w:color w:val="auto"/>
              </w:rPr>
              <w:t>JV Master Agreements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12.2</w:t>
            </w:r>
          </w:p>
        </w:tc>
        <w:tc>
          <w:tcPr>
            <w:tcW w:w="7920" w:type="dxa"/>
            <w:vAlign w:val="bottom"/>
          </w:tcPr>
          <w:p>
            <w:pPr>
              <w:ind w:left="60"/>
              <w:spacing w:after="0"/>
              <w:rPr>
                <w:sz w:val="20"/>
                <w:szCs w:val="20"/>
                <w:color w:val="auto"/>
              </w:rPr>
            </w:pPr>
            <w:r>
              <w:rPr>
                <w:rFonts w:ascii="Arial" w:cs="Arial" w:eastAsia="Arial" w:hAnsi="Arial"/>
                <w:sz w:val="20"/>
                <w:szCs w:val="20"/>
                <w:color w:val="auto"/>
              </w:rPr>
              <w:t>JV Operating Agreements; Management and Operating Reports</w:t>
            </w:r>
          </w:p>
        </w:tc>
        <w:tc>
          <w:tcPr>
            <w:tcW w:w="21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12.3</w:t>
            </w:r>
          </w:p>
        </w:tc>
        <w:tc>
          <w:tcPr>
            <w:tcW w:w="7920" w:type="dxa"/>
            <w:vAlign w:val="bottom"/>
          </w:tcPr>
          <w:p>
            <w:pPr>
              <w:ind w:left="60"/>
              <w:spacing w:after="0"/>
              <w:rPr>
                <w:sz w:val="20"/>
                <w:szCs w:val="20"/>
                <w:color w:val="auto"/>
              </w:rPr>
            </w:pPr>
            <w:r>
              <w:rPr>
                <w:rFonts w:ascii="Arial" w:cs="Arial" w:eastAsia="Arial" w:hAnsi="Arial"/>
                <w:sz w:val="20"/>
                <w:szCs w:val="20"/>
                <w:color w:val="auto"/>
              </w:rPr>
              <w:t>JV Foundry Agreements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12.4</w:t>
            </w:r>
          </w:p>
        </w:tc>
        <w:tc>
          <w:tcPr>
            <w:tcW w:w="7920" w:type="dxa"/>
            <w:vAlign w:val="bottom"/>
          </w:tcPr>
          <w:p>
            <w:pPr>
              <w:ind w:left="60"/>
              <w:spacing w:after="0"/>
              <w:rPr>
                <w:sz w:val="20"/>
                <w:szCs w:val="20"/>
                <w:color w:val="auto"/>
              </w:rPr>
            </w:pPr>
            <w:r>
              <w:rPr>
                <w:rFonts w:ascii="Arial" w:cs="Arial" w:eastAsia="Arial" w:hAnsi="Arial"/>
                <w:sz w:val="20"/>
                <w:szCs w:val="20"/>
                <w:color w:val="auto"/>
              </w:rPr>
              <w:t>JV Purchase and Supply Agreements.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12.5</w:t>
            </w:r>
          </w:p>
        </w:tc>
        <w:tc>
          <w:tcPr>
            <w:tcW w:w="7920" w:type="dxa"/>
            <w:vAlign w:val="bottom"/>
          </w:tcPr>
          <w:p>
            <w:pPr>
              <w:ind w:left="60"/>
              <w:spacing w:after="0"/>
              <w:rPr>
                <w:sz w:val="20"/>
                <w:szCs w:val="20"/>
                <w:color w:val="auto"/>
              </w:rPr>
            </w:pPr>
            <w:r>
              <w:rPr>
                <w:rFonts w:ascii="Arial" w:cs="Arial" w:eastAsia="Arial" w:hAnsi="Arial"/>
                <w:sz w:val="20"/>
                <w:szCs w:val="20"/>
                <w:color w:val="auto"/>
              </w:rPr>
              <w:t>JV Lease Agreements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0"/>
                <w:szCs w:val="20"/>
                <w:color w:val="auto"/>
              </w:rPr>
            </w:pPr>
            <w:r>
              <w:rPr>
                <w:rFonts w:ascii="Arial" w:cs="Arial" w:eastAsia="Arial" w:hAnsi="Arial"/>
                <w:sz w:val="20"/>
                <w:szCs w:val="20"/>
                <w:color w:val="auto"/>
              </w:rPr>
              <w:t>13</w:t>
            </w:r>
          </w:p>
        </w:tc>
        <w:tc>
          <w:tcPr>
            <w:tcW w:w="8720" w:type="dxa"/>
            <w:vAlign w:val="bottom"/>
            <w:gridSpan w:val="2"/>
          </w:tcPr>
          <w:p>
            <w:pPr>
              <w:ind w:left="60"/>
              <w:spacing w:after="0"/>
              <w:rPr>
                <w:sz w:val="20"/>
                <w:szCs w:val="20"/>
                <w:color w:val="auto"/>
              </w:rPr>
            </w:pPr>
            <w:r>
              <w:rPr>
                <w:rFonts w:ascii="Arial" w:cs="Arial" w:eastAsia="Arial" w:hAnsi="Arial"/>
                <w:sz w:val="20"/>
                <w:szCs w:val="20"/>
                <w:color w:val="auto"/>
              </w:rPr>
              <w:t>MEMORY R&amp;D CENTER</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13.1</w:t>
            </w:r>
          </w:p>
        </w:tc>
        <w:tc>
          <w:tcPr>
            <w:tcW w:w="7920" w:type="dxa"/>
            <w:vAlign w:val="bottom"/>
          </w:tcPr>
          <w:p>
            <w:pPr>
              <w:ind w:left="60"/>
              <w:spacing w:after="0"/>
              <w:rPr>
                <w:sz w:val="20"/>
                <w:szCs w:val="20"/>
                <w:color w:val="auto"/>
              </w:rPr>
            </w:pPr>
            <w:r>
              <w:rPr>
                <w:rFonts w:ascii="Arial" w:cs="Arial" w:eastAsia="Arial" w:hAnsi="Arial"/>
                <w:sz w:val="20"/>
                <w:szCs w:val="20"/>
                <w:color w:val="auto"/>
              </w:rPr>
              <w:t>Memory R&amp;D Center</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13.2</w:t>
            </w:r>
          </w:p>
        </w:tc>
        <w:tc>
          <w:tcPr>
            <w:tcW w:w="7920" w:type="dxa"/>
            <w:vAlign w:val="bottom"/>
          </w:tcPr>
          <w:p>
            <w:pPr>
              <w:ind w:left="6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0"/>
                <w:szCs w:val="20"/>
                <w:color w:val="auto"/>
              </w:rPr>
            </w:pPr>
            <w:r>
              <w:rPr>
                <w:rFonts w:ascii="Arial" w:cs="Arial" w:eastAsia="Arial" w:hAnsi="Arial"/>
                <w:sz w:val="20"/>
                <w:szCs w:val="20"/>
                <w:color w:val="auto"/>
              </w:rPr>
              <w:t>14</w:t>
            </w:r>
          </w:p>
        </w:tc>
        <w:tc>
          <w:tcPr>
            <w:tcW w:w="8720" w:type="dxa"/>
            <w:vAlign w:val="bottom"/>
            <w:gridSpan w:val="2"/>
          </w:tcPr>
          <w:p>
            <w:pPr>
              <w:ind w:left="60"/>
              <w:spacing w:after="0"/>
              <w:rPr>
                <w:sz w:val="20"/>
                <w:szCs w:val="20"/>
                <w:color w:val="auto"/>
              </w:rPr>
            </w:pPr>
            <w:r>
              <w:rPr>
                <w:rFonts w:ascii="Arial" w:cs="Arial" w:eastAsia="Arial" w:hAnsi="Arial"/>
                <w:sz w:val="20"/>
                <w:szCs w:val="20"/>
                <w:color w:val="auto"/>
              </w:rPr>
              <w:t>CONFIDENTIALITY AND DISCLOSURE</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w:t>
            </w:r>
          </w:p>
        </w:tc>
        <w:tc>
          <w:tcPr>
            <w:tcW w:w="7920" w:type="dxa"/>
            <w:vAlign w:val="bottom"/>
          </w:tcPr>
          <w:p>
            <w:pPr>
              <w:ind w:left="60"/>
              <w:spacing w:after="0"/>
              <w:rPr>
                <w:sz w:val="20"/>
                <w:szCs w:val="20"/>
                <w:color w:val="auto"/>
              </w:rPr>
            </w:pPr>
            <w:r>
              <w:rPr>
                <w:rFonts w:ascii="Arial" w:cs="Arial" w:eastAsia="Arial" w:hAnsi="Arial"/>
                <w:sz w:val="20"/>
                <w:szCs w:val="20"/>
                <w:color w:val="auto"/>
              </w:rPr>
              <w:t>Public Announcements</w:t>
            </w:r>
          </w:p>
        </w:tc>
        <w:tc>
          <w:tcPr>
            <w:tcW w:w="21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14.2</w:t>
            </w:r>
          </w:p>
        </w:tc>
        <w:tc>
          <w:tcPr>
            <w:tcW w:w="7920" w:type="dxa"/>
            <w:vAlign w:val="bottom"/>
          </w:tcPr>
          <w:p>
            <w:pPr>
              <w:ind w:left="60"/>
              <w:spacing w:after="0"/>
              <w:rPr>
                <w:sz w:val="20"/>
                <w:szCs w:val="20"/>
                <w:color w:val="auto"/>
              </w:rPr>
            </w:pPr>
            <w:r>
              <w:rPr>
                <w:rFonts w:ascii="Arial" w:cs="Arial" w:eastAsia="Arial" w:hAnsi="Arial"/>
                <w:sz w:val="20"/>
                <w:szCs w:val="20"/>
                <w:color w:val="auto"/>
              </w:rPr>
              <w:t>Non-Disclosure Obligations</w:t>
            </w:r>
          </w:p>
        </w:tc>
        <w:tc>
          <w:tcPr>
            <w:tcW w:w="21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14.3</w:t>
            </w:r>
          </w:p>
        </w:tc>
        <w:tc>
          <w:tcPr>
            <w:tcW w:w="7920" w:type="dxa"/>
            <w:vAlign w:val="bottom"/>
          </w:tcPr>
          <w:p>
            <w:pPr>
              <w:ind w:left="60"/>
              <w:spacing w:after="0"/>
              <w:rPr>
                <w:sz w:val="20"/>
                <w:szCs w:val="20"/>
                <w:color w:val="auto"/>
              </w:rPr>
            </w:pPr>
            <w:r>
              <w:rPr>
                <w:rFonts w:ascii="Arial" w:cs="Arial" w:eastAsia="Arial" w:hAnsi="Arial"/>
                <w:sz w:val="20"/>
                <w:szCs w:val="20"/>
                <w:color w:val="auto"/>
              </w:rPr>
              <w:t>Ownership and Return of Information</w:t>
            </w:r>
          </w:p>
        </w:tc>
        <w:tc>
          <w:tcPr>
            <w:tcW w:w="2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280" w:type="dxa"/>
            <w:vAlign w:val="bottom"/>
          </w:tcPr>
          <w:p>
            <w:pPr>
              <w:spacing w:after="0"/>
              <w:rPr>
                <w:sz w:val="20"/>
                <w:szCs w:val="20"/>
                <w:color w:val="auto"/>
              </w:rPr>
            </w:pPr>
            <w:r>
              <w:rPr>
                <w:rFonts w:ascii="Arial" w:cs="Arial" w:eastAsia="Arial" w:hAnsi="Arial"/>
                <w:sz w:val="20"/>
                <w:szCs w:val="20"/>
                <w:color w:val="auto"/>
              </w:rPr>
              <w:t>15</w:t>
            </w:r>
          </w:p>
        </w:tc>
        <w:tc>
          <w:tcPr>
            <w:tcW w:w="8720" w:type="dxa"/>
            <w:vAlign w:val="bottom"/>
            <w:gridSpan w:val="2"/>
          </w:tcPr>
          <w:p>
            <w:pPr>
              <w:ind w:left="60"/>
              <w:spacing w:after="0"/>
              <w:rPr>
                <w:sz w:val="20"/>
                <w:szCs w:val="20"/>
                <w:color w:val="auto"/>
              </w:rPr>
            </w:pPr>
            <w:r>
              <w:rPr>
                <w:rFonts w:ascii="Arial" w:cs="Arial" w:eastAsia="Arial" w:hAnsi="Arial"/>
                <w:sz w:val="20"/>
                <w:szCs w:val="20"/>
                <w:color w:val="auto"/>
              </w:rPr>
              <w:t>TERM AND TERMINATION</w:t>
            </w:r>
          </w:p>
        </w:tc>
        <w:tc>
          <w:tcPr>
            <w:tcW w:w="2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15.1</w:t>
            </w:r>
          </w:p>
        </w:tc>
        <w:tc>
          <w:tcPr>
            <w:tcW w:w="7920" w:type="dxa"/>
            <w:vAlign w:val="bottom"/>
          </w:tcPr>
          <w:p>
            <w:pPr>
              <w:ind w:left="60"/>
              <w:spacing w:after="0"/>
              <w:rPr>
                <w:sz w:val="20"/>
                <w:szCs w:val="20"/>
                <w:color w:val="auto"/>
              </w:rPr>
            </w:pPr>
            <w:r>
              <w:rPr>
                <w:rFonts w:ascii="Arial" w:cs="Arial" w:eastAsia="Arial" w:hAnsi="Arial"/>
                <w:sz w:val="20"/>
                <w:szCs w:val="20"/>
                <w:color w:val="auto"/>
              </w:rPr>
              <w:t>Term</w:t>
            </w:r>
          </w:p>
        </w:tc>
        <w:tc>
          <w:tcPr>
            <w:tcW w:w="2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15.2</w:t>
            </w:r>
          </w:p>
        </w:tc>
        <w:tc>
          <w:tcPr>
            <w:tcW w:w="7920" w:type="dxa"/>
            <w:vAlign w:val="bottom"/>
          </w:tcPr>
          <w:p>
            <w:pPr>
              <w:ind w:left="60"/>
              <w:spacing w:after="0"/>
              <w:rPr>
                <w:sz w:val="20"/>
                <w:szCs w:val="20"/>
                <w:color w:val="auto"/>
              </w:rPr>
            </w:pPr>
            <w:r>
              <w:rPr>
                <w:rFonts w:ascii="Arial" w:cs="Arial" w:eastAsia="Arial" w:hAnsi="Arial"/>
                <w:sz w:val="20"/>
                <w:szCs w:val="20"/>
                <w:color w:val="auto"/>
              </w:rPr>
              <w:t>Termination</w:t>
            </w:r>
          </w:p>
        </w:tc>
        <w:tc>
          <w:tcPr>
            <w:tcW w:w="21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15.3</w:t>
            </w:r>
          </w:p>
        </w:tc>
        <w:tc>
          <w:tcPr>
            <w:tcW w:w="7920" w:type="dxa"/>
            <w:vAlign w:val="bottom"/>
          </w:tcPr>
          <w:p>
            <w:pPr>
              <w:ind w:left="60"/>
              <w:spacing w:after="0"/>
              <w:rPr>
                <w:sz w:val="20"/>
                <w:szCs w:val="20"/>
                <w:color w:val="auto"/>
              </w:rPr>
            </w:pPr>
            <w:r>
              <w:rPr>
                <w:rFonts w:ascii="Arial" w:cs="Arial" w:eastAsia="Arial" w:hAnsi="Arial"/>
                <w:sz w:val="20"/>
                <w:szCs w:val="20"/>
                <w:color w:val="auto"/>
              </w:rPr>
              <w:t>Termination for Material Breach</w:t>
            </w:r>
          </w:p>
        </w:tc>
        <w:tc>
          <w:tcPr>
            <w:tcW w:w="21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15.4</w:t>
            </w:r>
          </w:p>
        </w:tc>
        <w:tc>
          <w:tcPr>
            <w:tcW w:w="7920" w:type="dxa"/>
            <w:vAlign w:val="bottom"/>
          </w:tcPr>
          <w:p>
            <w:pPr>
              <w:ind w:left="60"/>
              <w:spacing w:after="0"/>
              <w:rPr>
                <w:sz w:val="20"/>
                <w:szCs w:val="20"/>
                <w:color w:val="auto"/>
              </w:rPr>
            </w:pPr>
            <w:r>
              <w:rPr>
                <w:rFonts w:ascii="Arial" w:cs="Arial" w:eastAsia="Arial" w:hAnsi="Arial"/>
                <w:sz w:val="20"/>
                <w:szCs w:val="20"/>
                <w:color w:val="auto"/>
              </w:rPr>
              <w:t>Termination in Good Faith</w:t>
            </w:r>
          </w:p>
        </w:tc>
        <w:tc>
          <w:tcPr>
            <w:tcW w:w="216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2583180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firstLine="8"/>
        <w:spacing w:after="0" w:line="275" w:lineRule="auto"/>
        <w:tabs>
          <w:tab w:leader="none" w:pos="36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126" w:right="239"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250"/>
        </w:trPr>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15.5</w:t>
            </w:r>
          </w:p>
        </w:tc>
        <w:tc>
          <w:tcPr>
            <w:tcW w:w="6520" w:type="dxa"/>
            <w:vAlign w:val="bottom"/>
          </w:tcPr>
          <w:p>
            <w:pPr>
              <w:ind w:left="60"/>
              <w:spacing w:after="0"/>
              <w:rPr>
                <w:sz w:val="20"/>
                <w:szCs w:val="20"/>
                <w:color w:val="auto"/>
              </w:rPr>
            </w:pPr>
            <w:r>
              <w:rPr>
                <w:rFonts w:ascii="Arial" w:cs="Arial" w:eastAsia="Arial" w:hAnsi="Arial"/>
                <w:sz w:val="20"/>
                <w:szCs w:val="20"/>
                <w:color w:val="auto"/>
              </w:rPr>
              <w:t>Survival</w:t>
            </w:r>
          </w:p>
        </w:tc>
        <w:tc>
          <w:tcPr>
            <w:tcW w:w="3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15.6</w:t>
            </w:r>
          </w:p>
        </w:tc>
        <w:tc>
          <w:tcPr>
            <w:tcW w:w="6520" w:type="dxa"/>
            <w:vAlign w:val="bottom"/>
          </w:tcPr>
          <w:p>
            <w:pPr>
              <w:ind w:left="60"/>
              <w:spacing w:after="0"/>
              <w:rPr>
                <w:sz w:val="20"/>
                <w:szCs w:val="20"/>
                <w:color w:val="auto"/>
              </w:rPr>
            </w:pPr>
            <w:r>
              <w:rPr>
                <w:rFonts w:ascii="Arial" w:cs="Arial" w:eastAsia="Arial" w:hAnsi="Arial"/>
                <w:sz w:val="20"/>
                <w:szCs w:val="20"/>
                <w:color w:val="auto"/>
              </w:rPr>
              <w:t>Restructuring Costs</w:t>
            </w:r>
          </w:p>
        </w:tc>
        <w:tc>
          <w:tcPr>
            <w:tcW w:w="35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15.7</w:t>
            </w:r>
          </w:p>
        </w:tc>
        <w:tc>
          <w:tcPr>
            <w:tcW w:w="6520" w:type="dxa"/>
            <w:vAlign w:val="bottom"/>
          </w:tcPr>
          <w:p>
            <w:pPr>
              <w:ind w:left="60"/>
              <w:spacing w:after="0"/>
              <w:rPr>
                <w:sz w:val="20"/>
                <w:szCs w:val="20"/>
                <w:color w:val="auto"/>
              </w:rPr>
            </w:pPr>
            <w:r>
              <w:rPr>
                <w:rFonts w:ascii="Arial" w:cs="Arial" w:eastAsia="Arial" w:hAnsi="Arial"/>
                <w:sz w:val="20"/>
                <w:szCs w:val="20"/>
                <w:color w:val="auto"/>
              </w:rPr>
              <w:t>Effect on Other Collaborations</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jc w:val="right"/>
              <w:spacing w:after="0"/>
              <w:rPr>
                <w:sz w:val="20"/>
                <w:szCs w:val="20"/>
                <w:color w:val="auto"/>
              </w:rPr>
            </w:pPr>
            <w:r>
              <w:rPr>
                <w:rFonts w:ascii="Arial" w:cs="Arial" w:eastAsia="Arial" w:hAnsi="Arial"/>
                <w:sz w:val="20"/>
                <w:szCs w:val="20"/>
                <w:color w:val="auto"/>
                <w:w w:val="80"/>
              </w:rPr>
              <w:t>16</w:t>
            </w:r>
          </w:p>
        </w:tc>
        <w:tc>
          <w:tcPr>
            <w:tcW w:w="7320" w:type="dxa"/>
            <w:vAlign w:val="bottom"/>
            <w:gridSpan w:val="2"/>
          </w:tcPr>
          <w:p>
            <w:pPr>
              <w:ind w:left="60"/>
              <w:spacing w:after="0"/>
              <w:rPr>
                <w:sz w:val="20"/>
                <w:szCs w:val="20"/>
                <w:color w:val="auto"/>
              </w:rPr>
            </w:pPr>
            <w:r>
              <w:rPr>
                <w:rFonts w:ascii="Arial" w:cs="Arial" w:eastAsia="Arial" w:hAnsi="Arial"/>
                <w:sz w:val="20"/>
                <w:szCs w:val="20"/>
                <w:color w:val="auto"/>
              </w:rPr>
              <w:t>REPRESENTATIONS AND WARRANTIES</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16.1</w:t>
            </w:r>
          </w:p>
        </w:tc>
        <w:tc>
          <w:tcPr>
            <w:tcW w:w="6520" w:type="dxa"/>
            <w:vAlign w:val="bottom"/>
          </w:tcPr>
          <w:p>
            <w:pPr>
              <w:ind w:left="60"/>
              <w:spacing w:after="0"/>
              <w:rPr>
                <w:sz w:val="20"/>
                <w:szCs w:val="20"/>
                <w:color w:val="auto"/>
              </w:rPr>
            </w:pPr>
            <w:r>
              <w:rPr>
                <w:rFonts w:ascii="Arial" w:cs="Arial" w:eastAsia="Arial" w:hAnsi="Arial"/>
                <w:sz w:val="20"/>
                <w:szCs w:val="20"/>
                <w:color w:val="auto"/>
              </w:rPr>
              <w:t>Organization and Standing</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16.2</w:t>
            </w:r>
          </w:p>
        </w:tc>
        <w:tc>
          <w:tcPr>
            <w:tcW w:w="6520" w:type="dxa"/>
            <w:vAlign w:val="bottom"/>
          </w:tcPr>
          <w:p>
            <w:pPr>
              <w:ind w:left="60"/>
              <w:spacing w:after="0"/>
              <w:rPr>
                <w:sz w:val="20"/>
                <w:szCs w:val="20"/>
                <w:color w:val="auto"/>
              </w:rPr>
            </w:pPr>
            <w:r>
              <w:rPr>
                <w:rFonts w:ascii="Arial" w:cs="Arial" w:eastAsia="Arial" w:hAnsi="Arial"/>
                <w:sz w:val="20"/>
                <w:szCs w:val="20"/>
                <w:color w:val="auto"/>
              </w:rPr>
              <w:t>Authority; Enforceability</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16.3</w:t>
            </w:r>
          </w:p>
        </w:tc>
        <w:tc>
          <w:tcPr>
            <w:tcW w:w="6520" w:type="dxa"/>
            <w:vAlign w:val="bottom"/>
          </w:tcPr>
          <w:p>
            <w:pPr>
              <w:ind w:left="60"/>
              <w:spacing w:after="0"/>
              <w:rPr>
                <w:sz w:val="20"/>
                <w:szCs w:val="20"/>
                <w:color w:val="auto"/>
              </w:rPr>
            </w:pPr>
            <w:r>
              <w:rPr>
                <w:rFonts w:ascii="Arial" w:cs="Arial" w:eastAsia="Arial" w:hAnsi="Arial"/>
                <w:sz w:val="20"/>
                <w:szCs w:val="20"/>
                <w:color w:val="auto"/>
              </w:rPr>
              <w:t>No Conflict</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16.4</w:t>
            </w:r>
          </w:p>
        </w:tc>
        <w:tc>
          <w:tcPr>
            <w:tcW w:w="6520" w:type="dxa"/>
            <w:vAlign w:val="bottom"/>
          </w:tcPr>
          <w:p>
            <w:pPr>
              <w:ind w:left="60"/>
              <w:spacing w:after="0"/>
              <w:rPr>
                <w:sz w:val="20"/>
                <w:szCs w:val="20"/>
                <w:color w:val="auto"/>
              </w:rPr>
            </w:pPr>
            <w:r>
              <w:rPr>
                <w:rFonts w:ascii="Arial" w:cs="Arial" w:eastAsia="Arial" w:hAnsi="Arial"/>
                <w:sz w:val="20"/>
                <w:szCs w:val="20"/>
                <w:color w:val="auto"/>
              </w:rPr>
              <w:t>Proceedings</w:t>
            </w:r>
          </w:p>
        </w:tc>
        <w:tc>
          <w:tcPr>
            <w:tcW w:w="35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16.5</w:t>
            </w:r>
          </w:p>
        </w:tc>
        <w:tc>
          <w:tcPr>
            <w:tcW w:w="6520" w:type="dxa"/>
            <w:vAlign w:val="bottom"/>
          </w:tcPr>
          <w:p>
            <w:pPr>
              <w:ind w:left="60"/>
              <w:spacing w:after="0"/>
              <w:rPr>
                <w:sz w:val="20"/>
                <w:szCs w:val="20"/>
                <w:color w:val="auto"/>
              </w:rPr>
            </w:pPr>
            <w:r>
              <w:rPr>
                <w:rFonts w:ascii="Arial" w:cs="Arial" w:eastAsia="Arial" w:hAnsi="Arial"/>
                <w:sz w:val="20"/>
                <w:szCs w:val="20"/>
                <w:color w:val="auto"/>
              </w:rPr>
              <w:t>Litigation; Decrees</w:t>
            </w:r>
          </w:p>
        </w:tc>
        <w:tc>
          <w:tcPr>
            <w:tcW w:w="35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16.6</w:t>
            </w:r>
          </w:p>
        </w:tc>
        <w:tc>
          <w:tcPr>
            <w:tcW w:w="6520" w:type="dxa"/>
            <w:vAlign w:val="bottom"/>
          </w:tcPr>
          <w:p>
            <w:pPr>
              <w:ind w:left="60"/>
              <w:spacing w:after="0"/>
              <w:rPr>
                <w:sz w:val="20"/>
                <w:szCs w:val="20"/>
                <w:color w:val="auto"/>
              </w:rPr>
            </w:pPr>
            <w:r>
              <w:rPr>
                <w:rFonts w:ascii="Arial" w:cs="Arial" w:eastAsia="Arial" w:hAnsi="Arial"/>
                <w:sz w:val="20"/>
                <w:szCs w:val="20"/>
                <w:color w:val="auto"/>
              </w:rPr>
              <w:t>Compliance with Other Instruments</w:t>
            </w:r>
          </w:p>
        </w:tc>
        <w:tc>
          <w:tcPr>
            <w:tcW w:w="35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16.7</w:t>
            </w:r>
          </w:p>
        </w:tc>
        <w:tc>
          <w:tcPr>
            <w:tcW w:w="6520" w:type="dxa"/>
            <w:vAlign w:val="bottom"/>
          </w:tcPr>
          <w:p>
            <w:pPr>
              <w:ind w:left="60"/>
              <w:spacing w:after="0"/>
              <w:rPr>
                <w:sz w:val="20"/>
                <w:szCs w:val="20"/>
                <w:color w:val="auto"/>
              </w:rPr>
            </w:pPr>
            <w:r>
              <w:rPr>
                <w:rFonts w:ascii="Arial" w:cs="Arial" w:eastAsia="Arial" w:hAnsi="Arial"/>
                <w:sz w:val="20"/>
                <w:szCs w:val="20"/>
                <w:color w:val="auto"/>
              </w:rPr>
              <w:t>Patents and Proprietary Rights</w:t>
            </w:r>
          </w:p>
        </w:tc>
        <w:tc>
          <w:tcPr>
            <w:tcW w:w="35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16.8</w:t>
            </w:r>
          </w:p>
        </w:tc>
        <w:tc>
          <w:tcPr>
            <w:tcW w:w="6520" w:type="dxa"/>
            <w:vAlign w:val="bottom"/>
          </w:tcPr>
          <w:p>
            <w:pPr>
              <w:ind w:left="60"/>
              <w:spacing w:after="0"/>
              <w:rPr>
                <w:sz w:val="20"/>
                <w:szCs w:val="20"/>
                <w:color w:val="auto"/>
              </w:rPr>
            </w:pPr>
            <w:r>
              <w:rPr>
                <w:rFonts w:ascii="Arial" w:cs="Arial" w:eastAsia="Arial" w:hAnsi="Arial"/>
                <w:sz w:val="20"/>
                <w:szCs w:val="20"/>
                <w:color w:val="auto"/>
              </w:rPr>
              <w:t>Compliance with Laws</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16.9</w:t>
            </w:r>
          </w:p>
        </w:tc>
        <w:tc>
          <w:tcPr>
            <w:tcW w:w="6520" w:type="dxa"/>
            <w:vAlign w:val="bottom"/>
          </w:tcPr>
          <w:p>
            <w:pPr>
              <w:ind w:left="60"/>
              <w:spacing w:after="0"/>
              <w:rPr>
                <w:sz w:val="20"/>
                <w:szCs w:val="20"/>
                <w:color w:val="auto"/>
              </w:rPr>
            </w:pPr>
            <w:r>
              <w:rPr>
                <w:rFonts w:ascii="Arial" w:cs="Arial" w:eastAsia="Arial" w:hAnsi="Arial"/>
                <w:sz w:val="20"/>
                <w:szCs w:val="20"/>
                <w:color w:val="auto"/>
              </w:rPr>
              <w:t>Patent Cross Licenses</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jc w:val="right"/>
              <w:spacing w:after="0"/>
              <w:rPr>
                <w:sz w:val="20"/>
                <w:szCs w:val="20"/>
                <w:color w:val="auto"/>
              </w:rPr>
            </w:pPr>
            <w:r>
              <w:rPr>
                <w:rFonts w:ascii="Arial" w:cs="Arial" w:eastAsia="Arial" w:hAnsi="Arial"/>
                <w:sz w:val="20"/>
                <w:szCs w:val="20"/>
                <w:color w:val="auto"/>
                <w:w w:val="80"/>
              </w:rPr>
              <w:t>17</w:t>
            </w:r>
          </w:p>
        </w:tc>
        <w:tc>
          <w:tcPr>
            <w:tcW w:w="7320" w:type="dxa"/>
            <w:vAlign w:val="bottom"/>
            <w:gridSpan w:val="2"/>
          </w:tcPr>
          <w:p>
            <w:pPr>
              <w:ind w:left="60"/>
              <w:spacing w:after="0"/>
              <w:rPr>
                <w:sz w:val="20"/>
                <w:szCs w:val="20"/>
                <w:color w:val="auto"/>
              </w:rPr>
            </w:pPr>
            <w:r>
              <w:rPr>
                <w:rFonts w:ascii="Arial" w:cs="Arial" w:eastAsia="Arial" w:hAnsi="Arial"/>
                <w:sz w:val="20"/>
                <w:szCs w:val="20"/>
                <w:color w:val="auto"/>
              </w:rPr>
              <w:t>MISCELLANEOUS</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w:t>
            </w:r>
          </w:p>
        </w:tc>
        <w:tc>
          <w:tcPr>
            <w:tcW w:w="6520" w:type="dxa"/>
            <w:vAlign w:val="bottom"/>
          </w:tcPr>
          <w:p>
            <w:pPr>
              <w:ind w:left="60"/>
              <w:spacing w:after="0"/>
              <w:rPr>
                <w:sz w:val="20"/>
                <w:szCs w:val="20"/>
                <w:color w:val="auto"/>
              </w:rPr>
            </w:pPr>
            <w:r>
              <w:rPr>
                <w:rFonts w:ascii="Arial" w:cs="Arial" w:eastAsia="Arial" w:hAnsi="Arial"/>
                <w:sz w:val="20"/>
                <w:szCs w:val="20"/>
                <w:color w:val="auto"/>
              </w:rPr>
              <w:t>Entire Agreement</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17.2</w:t>
            </w:r>
          </w:p>
        </w:tc>
        <w:tc>
          <w:tcPr>
            <w:tcW w:w="6520" w:type="dxa"/>
            <w:vAlign w:val="bottom"/>
          </w:tcPr>
          <w:p>
            <w:pPr>
              <w:ind w:left="60"/>
              <w:spacing w:after="0"/>
              <w:rPr>
                <w:sz w:val="20"/>
                <w:szCs w:val="20"/>
                <w:color w:val="auto"/>
              </w:rPr>
            </w:pPr>
            <w:r>
              <w:rPr>
                <w:rFonts w:ascii="Arial" w:cs="Arial" w:eastAsia="Arial" w:hAnsi="Arial"/>
                <w:sz w:val="20"/>
                <w:szCs w:val="20"/>
                <w:color w:val="auto"/>
              </w:rPr>
              <w:t>Undertaking as to Affiliate Obligations</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17.3</w:t>
            </w:r>
          </w:p>
        </w:tc>
        <w:tc>
          <w:tcPr>
            <w:tcW w:w="6520" w:type="dxa"/>
            <w:vAlign w:val="bottom"/>
          </w:tcPr>
          <w:p>
            <w:pPr>
              <w:ind w:left="60"/>
              <w:spacing w:after="0"/>
              <w:rPr>
                <w:sz w:val="20"/>
                <w:szCs w:val="20"/>
                <w:color w:val="auto"/>
              </w:rPr>
            </w:pPr>
            <w:r>
              <w:rPr>
                <w:rFonts w:ascii="Arial" w:cs="Arial" w:eastAsia="Arial" w:hAnsi="Arial"/>
                <w:sz w:val="20"/>
                <w:szCs w:val="20"/>
                <w:color w:val="auto"/>
              </w:rPr>
              <w:t>Governing Law</w:t>
            </w:r>
          </w:p>
        </w:tc>
        <w:tc>
          <w:tcPr>
            <w:tcW w:w="35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17.4</w:t>
            </w:r>
          </w:p>
        </w:tc>
        <w:tc>
          <w:tcPr>
            <w:tcW w:w="6520" w:type="dxa"/>
            <w:vAlign w:val="bottom"/>
          </w:tcPr>
          <w:p>
            <w:pPr>
              <w:ind w:left="60"/>
              <w:spacing w:after="0"/>
              <w:rPr>
                <w:sz w:val="20"/>
                <w:szCs w:val="20"/>
                <w:color w:val="auto"/>
              </w:rPr>
            </w:pPr>
            <w:r>
              <w:rPr>
                <w:rFonts w:ascii="Arial" w:cs="Arial" w:eastAsia="Arial" w:hAnsi="Arial"/>
                <w:sz w:val="20"/>
                <w:szCs w:val="20"/>
                <w:color w:val="auto"/>
              </w:rPr>
              <w:t>Dispute Resolution; Arbitration</w:t>
            </w:r>
          </w:p>
        </w:tc>
        <w:tc>
          <w:tcPr>
            <w:tcW w:w="35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17.5</w:t>
            </w:r>
          </w:p>
        </w:tc>
        <w:tc>
          <w:tcPr>
            <w:tcW w:w="6520" w:type="dxa"/>
            <w:vAlign w:val="bottom"/>
          </w:tcPr>
          <w:p>
            <w:pPr>
              <w:ind w:left="60"/>
              <w:spacing w:after="0"/>
              <w:rPr>
                <w:sz w:val="20"/>
                <w:szCs w:val="20"/>
                <w:color w:val="auto"/>
              </w:rPr>
            </w:pPr>
            <w:r>
              <w:rPr>
                <w:rFonts w:ascii="Arial" w:cs="Arial" w:eastAsia="Arial" w:hAnsi="Arial"/>
                <w:sz w:val="20"/>
                <w:szCs w:val="20"/>
                <w:color w:val="auto"/>
              </w:rPr>
              <w:t>Remedies</w:t>
            </w:r>
          </w:p>
        </w:tc>
        <w:tc>
          <w:tcPr>
            <w:tcW w:w="35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17.6</w:t>
            </w:r>
          </w:p>
        </w:tc>
        <w:tc>
          <w:tcPr>
            <w:tcW w:w="6520" w:type="dxa"/>
            <w:vAlign w:val="bottom"/>
          </w:tcPr>
          <w:p>
            <w:pPr>
              <w:ind w:left="60"/>
              <w:spacing w:after="0"/>
              <w:rPr>
                <w:sz w:val="20"/>
                <w:szCs w:val="20"/>
                <w:color w:val="auto"/>
              </w:rPr>
            </w:pPr>
            <w:r>
              <w:rPr>
                <w:rFonts w:ascii="Arial" w:cs="Arial" w:eastAsia="Arial" w:hAnsi="Arial"/>
                <w:sz w:val="20"/>
                <w:szCs w:val="20"/>
                <w:color w:val="auto"/>
              </w:rPr>
              <w:t>Relationship of the Parties</w:t>
            </w:r>
          </w:p>
        </w:tc>
        <w:tc>
          <w:tcPr>
            <w:tcW w:w="35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17.7</w:t>
            </w:r>
          </w:p>
        </w:tc>
        <w:tc>
          <w:tcPr>
            <w:tcW w:w="6520" w:type="dxa"/>
            <w:vAlign w:val="bottom"/>
          </w:tcPr>
          <w:p>
            <w:pPr>
              <w:ind w:left="60"/>
              <w:spacing w:after="0"/>
              <w:rPr>
                <w:sz w:val="20"/>
                <w:szCs w:val="20"/>
                <w:color w:val="auto"/>
              </w:rPr>
            </w:pPr>
            <w:r>
              <w:rPr>
                <w:rFonts w:ascii="Arial" w:cs="Arial" w:eastAsia="Arial" w:hAnsi="Arial"/>
                <w:sz w:val="20"/>
                <w:szCs w:val="20"/>
                <w:color w:val="auto"/>
              </w:rPr>
              <w:t>Official Language</w:t>
            </w:r>
          </w:p>
        </w:tc>
        <w:tc>
          <w:tcPr>
            <w:tcW w:w="35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17.8</w:t>
            </w:r>
          </w:p>
        </w:tc>
        <w:tc>
          <w:tcPr>
            <w:tcW w:w="6520" w:type="dxa"/>
            <w:vAlign w:val="bottom"/>
          </w:tcPr>
          <w:p>
            <w:pPr>
              <w:ind w:left="60"/>
              <w:spacing w:after="0"/>
              <w:rPr>
                <w:sz w:val="20"/>
                <w:szCs w:val="20"/>
                <w:color w:val="auto"/>
              </w:rPr>
            </w:pPr>
            <w:r>
              <w:rPr>
                <w:rFonts w:ascii="Arial" w:cs="Arial" w:eastAsia="Arial" w:hAnsi="Arial"/>
                <w:sz w:val="20"/>
                <w:szCs w:val="20"/>
                <w:color w:val="auto"/>
              </w:rPr>
              <w:t>No Implied Licenses</w:t>
            </w:r>
          </w:p>
        </w:tc>
        <w:tc>
          <w:tcPr>
            <w:tcW w:w="35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17.9</w:t>
            </w:r>
          </w:p>
        </w:tc>
        <w:tc>
          <w:tcPr>
            <w:tcW w:w="6520" w:type="dxa"/>
            <w:vAlign w:val="bottom"/>
          </w:tcPr>
          <w:p>
            <w:pPr>
              <w:ind w:left="60"/>
              <w:spacing w:after="0"/>
              <w:rPr>
                <w:sz w:val="20"/>
                <w:szCs w:val="20"/>
                <w:color w:val="auto"/>
              </w:rPr>
            </w:pPr>
            <w:r>
              <w:rPr>
                <w:rFonts w:ascii="Arial" w:cs="Arial" w:eastAsia="Arial" w:hAnsi="Arial"/>
                <w:sz w:val="20"/>
                <w:szCs w:val="20"/>
                <w:color w:val="auto"/>
              </w:rPr>
              <w:t>Export Laws</w:t>
            </w:r>
          </w:p>
        </w:tc>
        <w:tc>
          <w:tcPr>
            <w:tcW w:w="35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17.10</w:t>
            </w:r>
          </w:p>
        </w:tc>
        <w:tc>
          <w:tcPr>
            <w:tcW w:w="6520" w:type="dxa"/>
            <w:vAlign w:val="bottom"/>
          </w:tcPr>
          <w:p>
            <w:pPr>
              <w:ind w:left="60"/>
              <w:spacing w:after="0"/>
              <w:rPr>
                <w:sz w:val="20"/>
                <w:szCs w:val="20"/>
                <w:color w:val="auto"/>
              </w:rPr>
            </w:pPr>
            <w:r>
              <w:rPr>
                <w:rFonts w:ascii="Arial" w:cs="Arial" w:eastAsia="Arial" w:hAnsi="Arial"/>
                <w:sz w:val="20"/>
                <w:szCs w:val="20"/>
                <w:color w:val="auto"/>
              </w:rPr>
              <w:t>Definitions; Interpretation</w:t>
            </w:r>
          </w:p>
        </w:tc>
        <w:tc>
          <w:tcPr>
            <w:tcW w:w="35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17.11</w:t>
            </w:r>
          </w:p>
        </w:tc>
        <w:tc>
          <w:tcPr>
            <w:tcW w:w="6520" w:type="dxa"/>
            <w:vAlign w:val="bottom"/>
          </w:tcPr>
          <w:p>
            <w:pPr>
              <w:ind w:left="60"/>
              <w:spacing w:after="0"/>
              <w:rPr>
                <w:sz w:val="20"/>
                <w:szCs w:val="20"/>
                <w:color w:val="auto"/>
              </w:rPr>
            </w:pPr>
            <w:r>
              <w:rPr>
                <w:rFonts w:ascii="Arial" w:cs="Arial" w:eastAsia="Arial" w:hAnsi="Arial"/>
                <w:sz w:val="20"/>
                <w:szCs w:val="20"/>
                <w:color w:val="auto"/>
              </w:rPr>
              <w:t>Notices and Contact Information</w:t>
            </w:r>
          </w:p>
        </w:tc>
        <w:tc>
          <w:tcPr>
            <w:tcW w:w="35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17.12</w:t>
            </w:r>
          </w:p>
        </w:tc>
        <w:tc>
          <w:tcPr>
            <w:tcW w:w="6520" w:type="dxa"/>
            <w:vAlign w:val="bottom"/>
          </w:tcPr>
          <w:p>
            <w:pPr>
              <w:ind w:left="60"/>
              <w:spacing w:after="0"/>
              <w:rPr>
                <w:sz w:val="20"/>
                <w:szCs w:val="20"/>
                <w:color w:val="auto"/>
              </w:rPr>
            </w:pPr>
            <w:r>
              <w:rPr>
                <w:rFonts w:ascii="Arial" w:cs="Arial" w:eastAsia="Arial" w:hAnsi="Arial"/>
                <w:sz w:val="20"/>
                <w:szCs w:val="20"/>
                <w:color w:val="auto"/>
              </w:rPr>
              <w:t>Assignment</w:t>
            </w:r>
          </w:p>
        </w:tc>
        <w:tc>
          <w:tcPr>
            <w:tcW w:w="35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17.13</w:t>
            </w:r>
          </w:p>
        </w:tc>
        <w:tc>
          <w:tcPr>
            <w:tcW w:w="6520" w:type="dxa"/>
            <w:vAlign w:val="bottom"/>
          </w:tcPr>
          <w:p>
            <w:pPr>
              <w:ind w:left="60"/>
              <w:spacing w:after="0"/>
              <w:rPr>
                <w:sz w:val="20"/>
                <w:szCs w:val="20"/>
                <w:color w:val="auto"/>
              </w:rPr>
            </w:pPr>
            <w:r>
              <w:rPr>
                <w:rFonts w:ascii="Arial" w:cs="Arial" w:eastAsia="Arial" w:hAnsi="Arial"/>
                <w:sz w:val="20"/>
                <w:szCs w:val="20"/>
                <w:color w:val="auto"/>
              </w:rPr>
              <w:t>Amendment and Waiver</w:t>
            </w:r>
          </w:p>
        </w:tc>
        <w:tc>
          <w:tcPr>
            <w:tcW w:w="35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17.14</w:t>
            </w:r>
          </w:p>
        </w:tc>
        <w:tc>
          <w:tcPr>
            <w:tcW w:w="6520" w:type="dxa"/>
            <w:vAlign w:val="bottom"/>
          </w:tcPr>
          <w:p>
            <w:pPr>
              <w:ind w:left="60"/>
              <w:spacing w:after="0"/>
              <w:rPr>
                <w:sz w:val="20"/>
                <w:szCs w:val="20"/>
                <w:color w:val="auto"/>
              </w:rPr>
            </w:pPr>
            <w:r>
              <w:rPr>
                <w:rFonts w:ascii="Arial" w:cs="Arial" w:eastAsia="Arial" w:hAnsi="Arial"/>
                <w:sz w:val="20"/>
                <w:szCs w:val="20"/>
                <w:color w:val="auto"/>
              </w:rPr>
              <w:t>Severability</w:t>
            </w:r>
          </w:p>
        </w:tc>
        <w:tc>
          <w:tcPr>
            <w:tcW w:w="3560" w:type="dxa"/>
            <w:vAlign w:val="bottom"/>
          </w:tcPr>
          <w:p>
            <w:pPr>
              <w:jc w:val="right"/>
              <w:spacing w:after="0"/>
              <w:rPr>
                <w:sz w:val="20"/>
                <w:szCs w:val="20"/>
                <w:color w:val="auto"/>
              </w:rPr>
            </w:pPr>
            <w:r>
              <w:rPr>
                <w:rFonts w:ascii="Arial" w:cs="Arial" w:eastAsia="Arial" w:hAnsi="Arial"/>
                <w:sz w:val="20"/>
                <w:szCs w:val="20"/>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2797810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20" w:firstLine="8"/>
        <w:spacing w:after="0" w:line="275" w:lineRule="auto"/>
        <w:tabs>
          <w:tab w:leader="none" w:pos="36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905" w:gutter="0" w:footer="0" w:header="0"/>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420"/>
          </w:cols>
          <w:pgMar w:left="240" w:top="126" w:right="239" w:bottom="905" w:gutter="0" w:footer="0" w:header="0"/>
          <w:type w:val="continuous"/>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520" w:type="dxa"/>
            <w:vAlign w:val="bottom"/>
          </w:tcPr>
          <w:p>
            <w:pPr>
              <w:jc w:val="right"/>
              <w:spacing w:after="0"/>
              <w:rPr>
                <w:sz w:val="20"/>
                <w:szCs w:val="20"/>
                <w:color w:val="auto"/>
              </w:rPr>
            </w:pPr>
            <w:r>
              <w:rPr>
                <w:rFonts w:ascii="Arial" w:cs="Arial" w:eastAsia="Arial" w:hAnsi="Arial"/>
                <w:sz w:val="20"/>
                <w:szCs w:val="20"/>
                <w:color w:val="auto"/>
                <w:w w:val="83"/>
              </w:rPr>
              <w:t>17.15</w:t>
            </w:r>
          </w:p>
        </w:tc>
        <w:tc>
          <w:tcPr>
            <w:tcW w:w="6060" w:type="dxa"/>
            <w:vAlign w:val="bottom"/>
          </w:tcPr>
          <w:p>
            <w:pPr>
              <w:ind w:left="60"/>
              <w:spacing w:after="0"/>
              <w:rPr>
                <w:sz w:val="20"/>
                <w:szCs w:val="20"/>
                <w:color w:val="auto"/>
              </w:rPr>
            </w:pPr>
            <w:r>
              <w:rPr>
                <w:rFonts w:ascii="Arial" w:cs="Arial" w:eastAsia="Arial" w:hAnsi="Arial"/>
                <w:sz w:val="20"/>
                <w:szCs w:val="20"/>
                <w:color w:val="auto"/>
              </w:rPr>
              <w:t>Counterparts; Effectiveness</w:t>
            </w:r>
          </w:p>
        </w:tc>
        <w:tc>
          <w:tcPr>
            <w:tcW w:w="402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520" w:type="dxa"/>
            <w:vAlign w:val="bottom"/>
          </w:tcPr>
          <w:p>
            <w:pPr>
              <w:jc w:val="right"/>
              <w:spacing w:after="0"/>
              <w:rPr>
                <w:sz w:val="20"/>
                <w:szCs w:val="20"/>
                <w:color w:val="auto"/>
              </w:rPr>
            </w:pPr>
            <w:r>
              <w:rPr>
                <w:rFonts w:ascii="Arial" w:cs="Arial" w:eastAsia="Arial" w:hAnsi="Arial"/>
                <w:sz w:val="20"/>
                <w:szCs w:val="20"/>
                <w:color w:val="auto"/>
                <w:w w:val="83"/>
              </w:rPr>
              <w:t>17.16</w:t>
            </w:r>
          </w:p>
        </w:tc>
        <w:tc>
          <w:tcPr>
            <w:tcW w:w="6060" w:type="dxa"/>
            <w:vAlign w:val="bottom"/>
          </w:tcPr>
          <w:p>
            <w:pPr>
              <w:ind w:left="60"/>
              <w:spacing w:after="0"/>
              <w:rPr>
                <w:sz w:val="20"/>
                <w:szCs w:val="20"/>
                <w:color w:val="auto"/>
              </w:rPr>
            </w:pPr>
            <w:r>
              <w:rPr>
                <w:rFonts w:ascii="Arial" w:cs="Arial" w:eastAsia="Arial" w:hAnsi="Arial"/>
                <w:sz w:val="20"/>
                <w:szCs w:val="20"/>
                <w:color w:val="auto"/>
              </w:rPr>
              <w:t>No Admission</w:t>
            </w:r>
          </w:p>
        </w:tc>
        <w:tc>
          <w:tcPr>
            <w:tcW w:w="4020" w:type="dxa"/>
            <w:vAlign w:val="bottom"/>
          </w:tcPr>
          <w:p>
            <w:pPr>
              <w:jc w:val="right"/>
              <w:spacing w:after="0"/>
              <w:rPr>
                <w:sz w:val="20"/>
                <w:szCs w:val="20"/>
                <w:color w:val="auto"/>
              </w:rPr>
            </w:pPr>
            <w:r>
              <w:rPr>
                <w:rFonts w:ascii="Arial" w:cs="Arial" w:eastAsia="Arial" w:hAnsi="Arial"/>
                <w:sz w:val="20"/>
                <w:szCs w:val="20"/>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20" w:firstLine="8"/>
        <w:spacing w:after="0" w:line="275" w:lineRule="auto"/>
        <w:tabs>
          <w:tab w:leader="none" w:pos="36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126"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1"/>
          <w:szCs w:val="21"/>
          <w:color w:val="auto"/>
        </w:rPr>
        <w:t>DEFINITIONS</w:t>
      </w:r>
    </w:p>
    <w:p>
      <w:pPr>
        <w:spacing w:after="0" w:line="220"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SCHEDULE 4.6(b)</w:t>
      </w:r>
      <w:r>
        <w:rPr>
          <w:sz w:val="20"/>
          <w:szCs w:val="20"/>
          <w:color w:val="auto"/>
        </w:rPr>
        <w:tab/>
      </w:r>
      <w:r>
        <w:rPr>
          <w:rFonts w:ascii="Arial" w:cs="Arial" w:eastAsia="Arial" w:hAnsi="Arial"/>
          <w:sz w:val="21"/>
          <w:szCs w:val="21"/>
          <w:color w:val="auto"/>
        </w:rPr>
        <w:t>**** TOOLS TO BE PURCHASED BY ****</w:t>
      </w:r>
    </w:p>
    <w:p>
      <w:pPr>
        <w:spacing w:after="0" w:line="22"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SCHEDULE 4.6(c)(X)</w:t>
        <w:tab/>
        <w:t>**** TOOL</w:t>
      </w:r>
    </w:p>
    <w:p>
      <w:pPr>
        <w:spacing w:after="0" w:line="4"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SCHEDULE 4.6(c)(Y)</w:t>
        <w:tab/>
        <w:t>**** TOOLS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820" w:type="dxa"/>
            <w:vAlign w:val="bottom"/>
          </w:tcPr>
          <w:p>
            <w:pPr>
              <w:spacing w:after="0"/>
              <w:rPr>
                <w:sz w:val="20"/>
                <w:szCs w:val="20"/>
                <w:color w:val="auto"/>
              </w:rPr>
            </w:pPr>
            <w:r>
              <w:rPr>
                <w:rFonts w:ascii="Arial" w:cs="Arial" w:eastAsia="Arial" w:hAnsi="Arial"/>
                <w:sz w:val="22"/>
                <w:szCs w:val="22"/>
                <w:color w:val="auto"/>
                <w:w w:val="98"/>
              </w:rPr>
              <w:t>SCHEDULE 8.1(a)</w:t>
            </w:r>
          </w:p>
        </w:tc>
        <w:tc>
          <w:tcPr>
            <w:tcW w:w="3620" w:type="dxa"/>
            <w:vAlign w:val="bottom"/>
          </w:tcPr>
          <w:p>
            <w:pPr>
              <w:ind w:left="100"/>
              <w:spacing w:after="0"/>
              <w:rPr>
                <w:sz w:val="20"/>
                <w:szCs w:val="20"/>
                <w:color w:val="auto"/>
              </w:rPr>
            </w:pPr>
            <w:r>
              <w:rPr>
                <w:rFonts w:ascii="Arial" w:cs="Arial" w:eastAsia="Arial" w:hAnsi="Arial"/>
                <w:sz w:val="22"/>
                <w:szCs w:val="22"/>
                <w:color w:val="auto"/>
              </w:rPr>
              <w:t>**** CHARGES</w:t>
            </w:r>
          </w:p>
        </w:tc>
      </w:tr>
      <w:tr>
        <w:trPr>
          <w:trHeight w:val="257"/>
        </w:trPr>
        <w:tc>
          <w:tcPr>
            <w:tcW w:w="1820" w:type="dxa"/>
            <w:vAlign w:val="bottom"/>
          </w:tcPr>
          <w:p>
            <w:pPr>
              <w:spacing w:after="0"/>
              <w:rPr>
                <w:sz w:val="20"/>
                <w:szCs w:val="20"/>
                <w:color w:val="auto"/>
              </w:rPr>
            </w:pPr>
            <w:r>
              <w:rPr>
                <w:rFonts w:ascii="Arial" w:cs="Arial" w:eastAsia="Arial" w:hAnsi="Arial"/>
                <w:sz w:val="22"/>
                <w:szCs w:val="22"/>
                <w:color w:val="auto"/>
                <w:w w:val="98"/>
              </w:rPr>
              <w:t>SCHEDULE 8.1(b)</w:t>
            </w:r>
          </w:p>
        </w:tc>
        <w:tc>
          <w:tcPr>
            <w:tcW w:w="3620" w:type="dxa"/>
            <w:vAlign w:val="bottom"/>
          </w:tcPr>
          <w:p>
            <w:pPr>
              <w:ind w:left="100"/>
              <w:spacing w:after="0"/>
              <w:rPr>
                <w:sz w:val="20"/>
                <w:szCs w:val="20"/>
                <w:color w:val="auto"/>
              </w:rPr>
            </w:pPr>
            <w:r>
              <w:rPr>
                <w:rFonts w:ascii="Arial" w:cs="Arial" w:eastAsia="Arial" w:hAnsi="Arial"/>
                <w:sz w:val="22"/>
                <w:szCs w:val="22"/>
                <w:color w:val="auto"/>
              </w:rPr>
              <w:t>**** CHARGES</w:t>
            </w:r>
          </w:p>
        </w:tc>
      </w:tr>
      <w:tr>
        <w:trPr>
          <w:trHeight w:val="275"/>
        </w:trPr>
        <w:tc>
          <w:tcPr>
            <w:tcW w:w="5440" w:type="dxa"/>
            <w:vAlign w:val="bottom"/>
            <w:gridSpan w:val="2"/>
          </w:tcPr>
          <w:p>
            <w:pPr>
              <w:spacing w:after="0"/>
              <w:rPr>
                <w:sz w:val="20"/>
                <w:szCs w:val="20"/>
                <w:color w:val="auto"/>
              </w:rPr>
            </w:pPr>
            <w:r>
              <w:rPr>
                <w:rFonts w:ascii="Arial" w:cs="Arial" w:eastAsia="Arial" w:hAnsi="Arial"/>
                <w:sz w:val="22"/>
                <w:szCs w:val="22"/>
                <w:color w:val="auto"/>
                <w:w w:val="96"/>
              </w:rPr>
              <w:t>SCHEDULE 8.4(b)(i)  FIXED MANUFACTURING COSTS</w:t>
            </w:r>
          </w:p>
        </w:tc>
      </w:tr>
    </w:tbl>
    <w:p>
      <w:pPr>
        <w:ind w:right="4720"/>
        <w:spacing w:after="0" w:line="262" w:lineRule="auto"/>
        <w:rPr>
          <w:sz w:val="20"/>
          <w:szCs w:val="20"/>
          <w:color w:val="auto"/>
        </w:rPr>
      </w:pPr>
      <w:r>
        <w:rPr>
          <w:rFonts w:ascii="Arial" w:cs="Arial" w:eastAsia="Arial" w:hAnsi="Arial"/>
          <w:sz w:val="21"/>
          <w:szCs w:val="21"/>
          <w:color w:val="auto"/>
        </w:rPr>
        <w:t>SCHEDULE 8.4(b)(ii) VARIABLE MANUFACTURING COSTS SCHEDULE 11.1 MANAGEMENT AND OPERATING REPORTS SCHEDULE 12.1(c) Y3, Y4, Y5, NEW Y2 AND Y6 CAPACITY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20" w:firstLine="8"/>
        <w:spacing w:after="0" w:line="275" w:lineRule="auto"/>
        <w:tabs>
          <w:tab w:leader="none" w:pos="36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126" w:right="239" w:bottom="1440" w:gutter="0" w:footer="0" w:header="0"/>
        </w:sectPr>
      </w:pPr>
    </w:p>
    <w:bookmarkStart w:id="195" w:name="page196"/>
    <w:bookmarkEnd w:id="19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 SETTLEMENT AND MUTUAL RELEASE AGREEMENT</w:t>
      </w:r>
    </w:p>
    <w:p>
      <w:pPr>
        <w:spacing w:after="0" w:line="222"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color w:val="auto"/>
        </w:rPr>
        <w:t>This CONFIDENTIAL SETTLEMENT AND MUTUAL RELEASE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December 12,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Toshiba Corporation (“</w:t>
      </w:r>
      <w:r>
        <w:rPr>
          <w:rFonts w:ascii="Arial" w:cs="Arial" w:eastAsia="Arial" w:hAnsi="Arial"/>
          <w:sz w:val="18"/>
          <w:szCs w:val="18"/>
          <w:u w:val="single" w:color="auto"/>
          <w:color w:val="auto"/>
        </w:rPr>
        <w:t>TSB</w:t>
      </w:r>
      <w:r>
        <w:rPr>
          <w:rFonts w:ascii="Arial" w:cs="Arial" w:eastAsia="Arial" w:hAnsi="Arial"/>
          <w:sz w:val="18"/>
          <w:szCs w:val="18"/>
          <w:color w:val="auto"/>
        </w:rPr>
        <w:t>”), Toshiba Memory Corporation (“</w:t>
      </w:r>
      <w:r>
        <w:rPr>
          <w:rFonts w:ascii="Arial" w:cs="Arial" w:eastAsia="Arial" w:hAnsi="Arial"/>
          <w:sz w:val="18"/>
          <w:szCs w:val="18"/>
          <w:u w:val="single" w:color="auto"/>
          <w:color w:val="auto"/>
        </w:rPr>
        <w:t>TMC</w:t>
      </w:r>
      <w:r>
        <w:rPr>
          <w:rFonts w:ascii="Arial" w:cs="Arial" w:eastAsia="Arial" w:hAnsi="Arial"/>
          <w:sz w:val="18"/>
          <w:szCs w:val="18"/>
          <w:color w:val="auto"/>
        </w:rPr>
        <w:t>”), Western Digital Corporation (“</w:t>
      </w:r>
      <w:r>
        <w:rPr>
          <w:rFonts w:ascii="Arial" w:cs="Arial" w:eastAsia="Arial" w:hAnsi="Arial"/>
          <w:sz w:val="18"/>
          <w:szCs w:val="18"/>
          <w:u w:val="single" w:color="auto"/>
          <w:color w:val="auto"/>
        </w:rPr>
        <w:t>WD</w:t>
      </w:r>
      <w:r>
        <w:rPr>
          <w:rFonts w:ascii="Arial" w:cs="Arial" w:eastAsia="Arial" w:hAnsi="Arial"/>
          <w:sz w:val="18"/>
          <w:szCs w:val="18"/>
          <w:color w:val="auto"/>
        </w:rPr>
        <w:t>”), SanDisk LLC, SanDisk (Cayman) Limited (“</w:t>
      </w:r>
      <w:r>
        <w:rPr>
          <w:rFonts w:ascii="Arial" w:cs="Arial" w:eastAsia="Arial" w:hAnsi="Arial"/>
          <w:sz w:val="18"/>
          <w:szCs w:val="18"/>
          <w:u w:val="single" w:color="auto"/>
          <w:color w:val="auto"/>
        </w:rPr>
        <w:t>SanDisk Cayman</w:t>
      </w:r>
      <w:r>
        <w:rPr>
          <w:rFonts w:ascii="Arial" w:cs="Arial" w:eastAsia="Arial" w:hAnsi="Arial"/>
          <w:sz w:val="18"/>
          <w:szCs w:val="18"/>
          <w:color w:val="auto"/>
        </w:rPr>
        <w:t>”), SanDisk (Ireland) Limited (“</w:t>
      </w:r>
      <w:r>
        <w:rPr>
          <w:rFonts w:ascii="Arial" w:cs="Arial" w:eastAsia="Arial" w:hAnsi="Arial"/>
          <w:sz w:val="18"/>
          <w:szCs w:val="18"/>
          <w:u w:val="single" w:color="auto"/>
          <w:color w:val="auto"/>
        </w:rPr>
        <w:t>SanDisk Ireland</w:t>
      </w:r>
      <w:r>
        <w:rPr>
          <w:rFonts w:ascii="Arial" w:cs="Arial" w:eastAsia="Arial" w:hAnsi="Arial"/>
          <w:sz w:val="18"/>
          <w:szCs w:val="18"/>
          <w:color w:val="auto"/>
        </w:rPr>
        <w:t>”), SanDisk Flash B.V.</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SanDisk Flash</w:t>
      </w:r>
      <w:r>
        <w:rPr>
          <w:rFonts w:ascii="Arial" w:cs="Arial" w:eastAsia="Arial" w:hAnsi="Arial"/>
          <w:sz w:val="20"/>
          <w:szCs w:val="20"/>
          <w:color w:val="auto"/>
        </w:rPr>
        <w:t>,” and together with SanDisk LLC, SanDisk Cayman, and SanDisk Ireland, “</w:t>
      </w:r>
      <w:r>
        <w:rPr>
          <w:rFonts w:ascii="Arial" w:cs="Arial" w:eastAsia="Arial" w:hAnsi="Arial"/>
          <w:sz w:val="20"/>
          <w:szCs w:val="20"/>
          <w:u w:val="single" w:color="auto"/>
          <w:color w:val="auto"/>
        </w:rPr>
        <w:t>SanDisk</w:t>
      </w:r>
      <w:r>
        <w:rPr>
          <w:rFonts w:ascii="Arial" w:cs="Arial" w:eastAsia="Arial" w:hAnsi="Arial"/>
          <w:sz w:val="20"/>
          <w:szCs w:val="20"/>
          <w:color w:val="auto"/>
        </w:rPr>
        <w:t>”). TSB, TMC, WD, SanDisk LLC, SanDisk Cayman, SanDisk Ireland and SanDisk Flash, shall each be referred to,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 xml:space="preserve">.” Certain capitalized terms used herein are defined herein and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of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WHEREAS, between 2004 and 2011, TSB and SanDisk Corporation (which has since become SanDisk LLC), SanDisk Cayman, SanDisk Ireland, and SanDisk Flash formed the following three joint venture companies: Flash Partners, Ltd., (“</w:t>
      </w:r>
      <w:r>
        <w:rPr>
          <w:rFonts w:ascii="Arial" w:cs="Arial" w:eastAsia="Arial" w:hAnsi="Arial"/>
          <w:sz w:val="20"/>
          <w:szCs w:val="20"/>
          <w:u w:val="single" w:color="auto"/>
          <w:color w:val="auto"/>
        </w:rPr>
        <w:t>FPL</w:t>
      </w:r>
      <w:r>
        <w:rPr>
          <w:rFonts w:ascii="Arial" w:cs="Arial" w:eastAsia="Arial" w:hAnsi="Arial"/>
          <w:sz w:val="20"/>
          <w:szCs w:val="20"/>
          <w:color w:val="auto"/>
        </w:rPr>
        <w:t>”), Flash Alliance, Ltd., (“</w:t>
      </w:r>
      <w:r>
        <w:rPr>
          <w:rFonts w:ascii="Arial" w:cs="Arial" w:eastAsia="Arial" w:hAnsi="Arial"/>
          <w:sz w:val="20"/>
          <w:szCs w:val="20"/>
          <w:u w:val="single" w:color="auto"/>
          <w:color w:val="auto"/>
        </w:rPr>
        <w:t>FAL</w:t>
      </w:r>
      <w:r>
        <w:rPr>
          <w:rFonts w:ascii="Arial" w:cs="Arial" w:eastAsia="Arial" w:hAnsi="Arial"/>
          <w:sz w:val="20"/>
          <w:szCs w:val="20"/>
          <w:color w:val="auto"/>
        </w:rPr>
        <w:t>”), and Flash Forward, Ltd., (“</w:t>
      </w:r>
      <w:r>
        <w:rPr>
          <w:rFonts w:ascii="Arial" w:cs="Arial" w:eastAsia="Arial" w:hAnsi="Arial"/>
          <w:sz w:val="20"/>
          <w:szCs w:val="20"/>
          <w:u w:val="single" w:color="auto"/>
          <w:color w:val="auto"/>
        </w:rPr>
        <w:t>FFL</w:t>
      </w:r>
      <w:r>
        <w:rPr>
          <w:rFonts w:ascii="Arial" w:cs="Arial" w:eastAsia="Arial" w:hAnsi="Arial"/>
          <w:sz w:val="20"/>
          <w:szCs w:val="20"/>
          <w:color w:val="auto"/>
        </w:rPr>
        <w:t>” and together with FPL and FAL, the “</w:t>
      </w:r>
      <w:r>
        <w:rPr>
          <w:rFonts w:ascii="Arial" w:cs="Arial" w:eastAsia="Arial" w:hAnsi="Arial"/>
          <w:sz w:val="20"/>
          <w:szCs w:val="20"/>
          <w:u w:val="single" w:color="auto"/>
          <w:color w:val="auto"/>
        </w:rPr>
        <w:t>JVs</w:t>
      </w:r>
      <w:r>
        <w:rPr>
          <w:rFonts w:ascii="Arial" w:cs="Arial" w:eastAsia="Arial" w:hAnsi="Arial"/>
          <w:sz w:val="20"/>
          <w:szCs w:val="20"/>
          <w:color w:val="auto"/>
        </w:rPr>
        <w:t>”);</w:t>
      </w:r>
    </w:p>
    <w:p>
      <w:pPr>
        <w:spacing w:after="0" w:line="18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WHEREAS, TSB, SanDisk and the JVs, as applicable, entered into various agreements (the “</w:t>
      </w:r>
      <w:r>
        <w:rPr>
          <w:rFonts w:ascii="Arial" w:cs="Arial" w:eastAsia="Arial" w:hAnsi="Arial"/>
          <w:sz w:val="20"/>
          <w:szCs w:val="20"/>
          <w:u w:val="single" w:color="auto"/>
          <w:color w:val="auto"/>
        </w:rPr>
        <w:t>Existing Agreements</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77" w:lineRule="exact"/>
        <w:rPr>
          <w:sz w:val="20"/>
          <w:szCs w:val="20"/>
          <w:color w:val="auto"/>
        </w:rPr>
      </w:pPr>
    </w:p>
    <w:p>
      <w:pPr>
        <w:ind w:right="560"/>
        <w:spacing w:after="0" w:line="250" w:lineRule="auto"/>
        <w:rPr>
          <w:sz w:val="20"/>
          <w:szCs w:val="20"/>
          <w:color w:val="auto"/>
        </w:rPr>
      </w:pPr>
      <w:r>
        <w:rPr>
          <w:rFonts w:ascii="Arial" w:cs="Arial" w:eastAsia="Arial" w:hAnsi="Arial"/>
          <w:sz w:val="20"/>
          <w:szCs w:val="20"/>
          <w:color w:val="auto"/>
        </w:rPr>
        <w:t>WHEREAS, TSB and TMC claim that, effective on or about April 1, 2017, TSB transferred substantially all of the assets, rights and obligations of its memory business (the “</w:t>
      </w:r>
      <w:r>
        <w:rPr>
          <w:rFonts w:ascii="Arial" w:cs="Arial" w:eastAsia="Arial" w:hAnsi="Arial"/>
          <w:sz w:val="20"/>
          <w:szCs w:val="20"/>
          <w:u w:val="single" w:color="auto"/>
          <w:color w:val="auto"/>
        </w:rPr>
        <w:t>Memory Business</w:t>
      </w:r>
      <w:r>
        <w:rPr>
          <w:rFonts w:ascii="Arial" w:cs="Arial" w:eastAsia="Arial" w:hAnsi="Arial"/>
          <w:sz w:val="20"/>
          <w:szCs w:val="20"/>
          <w:color w:val="auto"/>
        </w:rPr>
        <w:t>”), and its JV Shares, to TMC (such transfer is referenced herein as the “</w:t>
      </w:r>
      <w:r>
        <w:rPr>
          <w:rFonts w:ascii="Arial" w:cs="Arial" w:eastAsia="Arial" w:hAnsi="Arial"/>
          <w:sz w:val="20"/>
          <w:szCs w:val="20"/>
          <w:u w:val="single" w:color="auto"/>
          <w:color w:val="auto"/>
        </w:rPr>
        <w:t>TMC</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Transfer</w:t>
      </w:r>
      <w:r>
        <w:rPr>
          <w:rFonts w:ascii="Arial" w:cs="Arial" w:eastAsia="Arial" w:hAnsi="Arial"/>
          <w:sz w:val="20"/>
          <w:szCs w:val="20"/>
          <w:color w:val="auto"/>
        </w:rPr>
        <w:t>”);</w:t>
      </w:r>
    </w:p>
    <w:p>
      <w:pPr>
        <w:spacing w:after="0" w:line="186"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WHEREAS, TSB engaged in an auction process soliciting bids for a sale of all or a part of TMC, which process ended on September 28, 2017 (the “</w:t>
      </w:r>
      <w:r>
        <w:rPr>
          <w:rFonts w:ascii="Arial" w:cs="Arial" w:eastAsia="Arial" w:hAnsi="Arial"/>
          <w:sz w:val="20"/>
          <w:szCs w:val="20"/>
          <w:u w:val="single" w:color="auto"/>
          <w:color w:val="auto"/>
        </w:rPr>
        <w:t>Auction</w:t>
      </w:r>
      <w:r>
        <w:rPr>
          <w:rFonts w:ascii="Arial" w:cs="Arial" w:eastAsia="Arial" w:hAnsi="Arial"/>
          <w:sz w:val="20"/>
          <w:szCs w:val="20"/>
          <w:color w:val="auto"/>
        </w:rPr>
        <w:t>”);</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WHEREAS, TSB and TMC claim that, on or about June 3, 2017, TMC transferred the JV Shares which it had acquired via the TMC Transfer back to TSB (such transfer is referenced herein as the “</w:t>
      </w:r>
      <w:r>
        <w:rPr>
          <w:rFonts w:ascii="Arial" w:cs="Arial" w:eastAsia="Arial" w:hAnsi="Arial"/>
          <w:sz w:val="20"/>
          <w:szCs w:val="20"/>
          <w:u w:val="single" w:color="auto"/>
          <w:color w:val="auto"/>
        </w:rPr>
        <w:t>TSB Transfer</w:t>
      </w:r>
      <w:r>
        <w:rPr>
          <w:rFonts w:ascii="Arial" w:cs="Arial" w:eastAsia="Arial" w:hAnsi="Arial"/>
          <w:sz w:val="20"/>
          <w:szCs w:val="20"/>
          <w:color w:val="auto"/>
        </w:rPr>
        <w:t>”);</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WHEREAS, WD and SanDisk claim that, on or about June 28, 2017, TSB and TMC (i) restricted WD and certain of its Subsidiaries, including Western Digital Technologies, Inc., (and its or their employees) from accessing facilities, databases, and information relating to the JVs, and (ii) refused to ship engineering wafers and samples to locations designated by SanDisk, including in Milpitas, California (such restrictions, the “</w:t>
      </w:r>
      <w:r>
        <w:rPr>
          <w:rFonts w:ascii="Arial" w:cs="Arial" w:eastAsia="Arial" w:hAnsi="Arial"/>
          <w:sz w:val="20"/>
          <w:szCs w:val="20"/>
          <w:u w:val="single" w:color="auto"/>
          <w:color w:val="auto"/>
        </w:rPr>
        <w:t>Access Restrictions</w:t>
      </w:r>
      <w:r>
        <w:rPr>
          <w:rFonts w:ascii="Arial" w:cs="Arial" w:eastAsia="Arial" w:hAnsi="Arial"/>
          <w:sz w:val="20"/>
          <w:szCs w:val="20"/>
          <w:color w:val="auto"/>
        </w:rPr>
        <w:t>”);</w:t>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WHEREAS, on or about August 3, 2017, TMC decided and announced that it will unilaterally invest in manufacturing equipment for the Fab 6 cleanroom at Yokkaichi (the “</w:t>
      </w:r>
      <w:r>
        <w:rPr>
          <w:rFonts w:ascii="Arial" w:cs="Arial" w:eastAsia="Arial" w:hAnsi="Arial"/>
          <w:sz w:val="20"/>
          <w:szCs w:val="20"/>
          <w:u w:val="single" w:color="auto"/>
          <w:color w:val="auto"/>
        </w:rPr>
        <w:t>Fab 6 Unilateral Investment</w:t>
      </w:r>
      <w:r>
        <w:rPr>
          <w:rFonts w:ascii="Arial" w:cs="Arial" w:eastAsia="Arial" w:hAnsi="Arial"/>
          <w:sz w:val="20"/>
          <w:szCs w:val="20"/>
          <w:color w:val="auto"/>
        </w:rPr>
        <w:t>”);</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WHEREAS, on September 28, 2017, TSB entered into the Share Purchase Agreement (the “</w:t>
      </w:r>
      <w:r>
        <w:rPr>
          <w:rFonts w:ascii="Arial" w:cs="Arial" w:eastAsia="Arial" w:hAnsi="Arial"/>
          <w:sz w:val="19"/>
          <w:szCs w:val="19"/>
          <w:u w:val="single" w:color="auto"/>
          <w:color w:val="auto"/>
        </w:rPr>
        <w:t>SPA</w:t>
      </w:r>
      <w:r>
        <w:rPr>
          <w:rFonts w:ascii="Arial" w:cs="Arial" w:eastAsia="Arial" w:hAnsi="Arial"/>
          <w:sz w:val="19"/>
          <w:szCs w:val="19"/>
          <w:color w:val="auto"/>
        </w:rPr>
        <w:t>”) with K.K. Pangea (“</w:t>
      </w:r>
      <w:r>
        <w:rPr>
          <w:rFonts w:ascii="Arial" w:cs="Arial" w:eastAsia="Arial" w:hAnsi="Arial"/>
          <w:sz w:val="19"/>
          <w:szCs w:val="19"/>
          <w:u w:val="single" w:color="auto"/>
          <w:color w:val="auto"/>
        </w:rPr>
        <w:t>Pangea</w:t>
      </w:r>
      <w:r>
        <w:rPr>
          <w:rFonts w:ascii="Arial" w:cs="Arial" w:eastAsia="Arial" w:hAnsi="Arial"/>
          <w:sz w:val="19"/>
          <w:szCs w:val="19"/>
          <w:color w:val="auto"/>
        </w:rPr>
        <w:t>”), a Japanese company that will be owned as of the closing of the TMC Sale by certain members of the Bain Consortium, for the sale of all of the shares of TMC, which sale is expected to be consummated by March 31, 2018 (such sale, together with the other transactions contemplated by and on the terms set forth in the SPA and related agreements and instruments, the “</w:t>
      </w:r>
      <w:r>
        <w:rPr>
          <w:rFonts w:ascii="Arial" w:cs="Arial" w:eastAsia="Arial" w:hAnsi="Arial"/>
          <w:sz w:val="19"/>
          <w:szCs w:val="19"/>
          <w:u w:val="single" w:color="auto"/>
          <w:color w:val="auto"/>
        </w:rPr>
        <w:t>TMC Sale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96" w:name="page197"/>
    <w:bookmarkEnd w:id="196"/>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WHEREAS, following consummation of the TMC Sale, Pangea and TMC may merge (the “</w:t>
      </w:r>
      <w:r>
        <w:rPr>
          <w:rFonts w:ascii="Arial" w:cs="Arial" w:eastAsia="Arial" w:hAnsi="Arial"/>
          <w:sz w:val="20"/>
          <w:szCs w:val="20"/>
          <w:u w:val="single" w:color="auto"/>
          <w:color w:val="auto"/>
        </w:rPr>
        <w:t>TMC Merger</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WHEREAS, SanDisk has objected to the TMC Transfer, the Auction, the TMC Sale, and the Fab 6 Unilateral Investment;</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 xml:space="preserve">WHEREAS, the Parties have commenced the litigation and arbitration proceedings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(together with any motion for a temporary restraining order, preliminary injunction, or other form of injunctive relief, pending or existing, between or among any of the parties to the cases identified in </w:t>
      </w:r>
      <w:r>
        <w:rPr>
          <w:rFonts w:ascii="Arial" w:cs="Arial" w:eastAsia="Arial" w:hAnsi="Arial"/>
          <w:sz w:val="20"/>
          <w:szCs w:val="20"/>
          <w:u w:val="single" w:color="auto"/>
          <w:color w:val="auto"/>
        </w:rPr>
        <w:t>Exhibit C</w:t>
      </w:r>
      <w:r>
        <w:rPr>
          <w:rFonts w:ascii="Arial" w:cs="Arial" w:eastAsia="Arial" w:hAnsi="Arial"/>
          <w:sz w:val="20"/>
          <w:szCs w:val="20"/>
          <w:color w:val="auto"/>
        </w:rPr>
        <w:t>, individually and collectively, the “</w:t>
      </w:r>
      <w:r>
        <w:rPr>
          <w:rFonts w:ascii="Arial" w:cs="Arial" w:eastAsia="Arial" w:hAnsi="Arial"/>
          <w:sz w:val="20"/>
          <w:szCs w:val="20"/>
          <w:u w:val="single" w:color="auto"/>
          <w:color w:val="auto"/>
        </w:rPr>
        <w:t>Proceedings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have agreed to settle the Proceedings; and</w:t>
      </w:r>
    </w:p>
    <w:p>
      <w:pPr>
        <w:spacing w:after="0" w:line="21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NOW THEREFORE, in consideration of the promises, mutual covenants and agreements contained herein and in the Transaction Documents (as defined below), and other good and valuable consideration the receipt and sufficiency of which is hereby acknowledged, the Parties agree as follows:</w:t>
      </w:r>
    </w:p>
    <w:p>
      <w:pPr>
        <w:spacing w:after="0" w:line="221" w:lineRule="exact"/>
        <w:rPr>
          <w:sz w:val="20"/>
          <w:szCs w:val="20"/>
          <w:color w:val="auto"/>
        </w:rPr>
      </w:pPr>
    </w:p>
    <w:p>
      <w:pPr>
        <w:ind w:right="40" w:firstLine="8"/>
        <w:spacing w:after="0" w:line="319" w:lineRule="auto"/>
        <w:tabs>
          <w:tab w:leader="none" w:pos="310"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Withdrawal and Dismissal of the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three (3) Business Days after the Effective Date, each Party shall (a) withdraw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seek dismissal of the Proceedings and all claims asserted therein and (b) cooperate in the preparation and filing of appropriate pleadings in the forms attached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to effectuate the withdrawal and dismissal of the Proceedings with prejudice and without costs, with each Party to bear its own attorneys’ fees.</w:t>
      </w:r>
    </w:p>
    <w:p>
      <w:pPr>
        <w:spacing w:after="0" w:line="127" w:lineRule="exact"/>
        <w:rPr>
          <w:rFonts w:ascii="Arial" w:cs="Arial" w:eastAsia="Arial" w:hAnsi="Arial"/>
          <w:sz w:val="20"/>
          <w:szCs w:val="20"/>
          <w:b w:val="1"/>
          <w:bCs w:val="1"/>
          <w:color w:val="auto"/>
        </w:rPr>
      </w:pPr>
    </w:p>
    <w:p>
      <w:pPr>
        <w:ind w:left="340" w:hanging="332"/>
        <w:spacing w:after="0"/>
        <w:tabs>
          <w:tab w:leader="none" w:pos="340"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Releases and Covenants Not to Sue</w:t>
      </w:r>
      <w:r>
        <w:rPr>
          <w:rFonts w:ascii="Arial" w:cs="Arial" w:eastAsia="Arial" w:hAnsi="Arial"/>
          <w:sz w:val="20"/>
          <w:szCs w:val="20"/>
          <w:b w:val="1"/>
          <w:bCs w:val="1"/>
          <w:color w:val="auto"/>
        </w:rPr>
        <w:t>.</w:t>
      </w:r>
    </w:p>
    <w:p>
      <w:pPr>
        <w:spacing w:after="0" w:line="235"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WD and SanDisk Release</w:t>
      </w:r>
      <w:r>
        <w:rPr>
          <w:rFonts w:ascii="Arial" w:cs="Arial" w:eastAsia="Arial" w:hAnsi="Arial"/>
          <w:sz w:val="18"/>
          <w:szCs w:val="18"/>
          <w:color w:val="auto"/>
        </w:rPr>
        <w:t>. WD and SanDisk, in each case on behalf of itself and its Affiliates, and its and their respective successors, predecessors, assignees, officers, directors, shareholders, employees, representatives and agents (the “</w:t>
      </w:r>
      <w:r>
        <w:rPr>
          <w:rFonts w:ascii="Arial" w:cs="Arial" w:eastAsia="Arial" w:hAnsi="Arial"/>
          <w:sz w:val="18"/>
          <w:szCs w:val="18"/>
          <w:u w:val="single" w:color="auto"/>
          <w:color w:val="auto"/>
        </w:rPr>
        <w:t>WD Releasors</w:t>
      </w:r>
      <w:r>
        <w:rPr>
          <w:rFonts w:ascii="Arial" w:cs="Arial" w:eastAsia="Arial" w:hAnsi="Arial"/>
          <w:sz w:val="18"/>
          <w:szCs w:val="18"/>
          <w:color w:val="auto"/>
        </w:rPr>
        <w:t>”) each hereby releases and forever discharges each of TSB, TMC, their respective Affiliates, and its and their respective successors, assignees, predecessors, officers, directors, shareholders, employees, representatives, attorneys and agents, but, in each case, excluding Bain Capital, any Bain Consortium Member, any Auction Participant and any bank or financial institution (the “</w:t>
      </w:r>
      <w:r>
        <w:rPr>
          <w:rFonts w:ascii="Arial" w:cs="Arial" w:eastAsia="Arial" w:hAnsi="Arial"/>
          <w:sz w:val="18"/>
          <w:szCs w:val="18"/>
          <w:u w:val="single" w:color="auto"/>
          <w:color w:val="auto"/>
        </w:rPr>
        <w:t>TSB Releasees</w:t>
      </w:r>
      <w:r>
        <w:rPr>
          <w:rFonts w:ascii="Arial" w:cs="Arial" w:eastAsia="Arial" w:hAnsi="Arial"/>
          <w:sz w:val="18"/>
          <w:szCs w:val="18"/>
          <w:color w:val="auto"/>
        </w:rPr>
        <w:t xml:space="preserve">”), from all Claims (i) relating to, arising out of, or in connection with the TMC Transfer, the TSB Transfer, the Auction (including TSB’s and TMC’s disclosure of confidential information regarding the Memory Business to bidders in the Auction, or their attorneys or consortium partners, for due diligence purposes), acts, omissions, attempts, or efforts to sell or dispose of any or all shares of or interest in TMC, the Access Restrictions, the Fab 6 Unilateral Investment or the TMC Sale, (ii) that were or could have been asserted in the Proceedings, and/or (iii) that were asserted or threatened to be asserted in any of the correspondence set forth in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WD and SanDisk, in each case on behalf of itself and the other WD Releasors, covenants not to (and to cause its respective Affiliates, and its and their respective successors, predecessors, assignees, officers, directors, shareholders (in their capacity as such), employees, representatives and agents, not to) sue or assert any Claims released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against the TSB Releasees in any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120" w:firstLine="8"/>
        <w:spacing w:after="0" w:line="275" w:lineRule="auto"/>
        <w:tabs>
          <w:tab w:leader="none" w:pos="36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197" w:name="page198"/>
    <w:bookmarkEnd w:id="197"/>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Covenant Not To Sue</w:t>
      </w:r>
      <w:r>
        <w:rPr>
          <w:rFonts w:ascii="Arial" w:cs="Arial" w:eastAsia="Arial" w:hAnsi="Arial"/>
          <w:sz w:val="16"/>
          <w:szCs w:val="16"/>
          <w:color w:val="auto"/>
        </w:rPr>
        <w:t>.</w:t>
      </w:r>
    </w:p>
    <w:p>
      <w:pPr>
        <w:spacing w:after="0" w:line="229" w:lineRule="exact"/>
        <w:rPr>
          <w:sz w:val="20"/>
          <w:szCs w:val="20"/>
          <w:color w:val="auto"/>
        </w:rPr>
      </w:pPr>
    </w:p>
    <w:p>
      <w:pPr>
        <w:ind w:left="1060" w:hanging="404"/>
        <w:spacing w:after="0"/>
        <w:tabs>
          <w:tab w:leader="none" w:pos="10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2.2(c)</w:t>
      </w:r>
      <w:r>
        <w:rPr>
          <w:rFonts w:ascii="Arial" w:cs="Arial" w:eastAsia="Arial" w:hAnsi="Arial"/>
          <w:sz w:val="16"/>
          <w:szCs w:val="16"/>
          <w:color w:val="auto"/>
        </w:rPr>
        <w:t>, WD and SanDisk, in each case on behalf of itself and the other WD Releasors, each covenants not to sue</w:t>
      </w:r>
    </w:p>
    <w:p>
      <w:pPr>
        <w:spacing w:after="0" w:line="99"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20"/>
          <w:szCs w:val="20"/>
          <w:color w:val="auto"/>
        </w:rPr>
        <w:t>or assert any Claims (whether known or unknown) in any forum against any Bain Consortium Member, any Auction Participant, or any bank or other financial institution relating to, arising out of, or in connection with (i) the TMC Transfer, the TSB Transfer, the Auction (including any receipt of confidential information regarding the Memory Business or the JV Shares for due diligence purposes provided such receipt was covered by a confidentiality obligation), acts, omissions, attempts, or efforts to acquire any or all shares of or interest in TMC, or the TMC Sale, the Access Restrictions, or the Fab 6 Unilateral Investment, and/or (ii) any Claims that were asserted or threatened to be asserted in any correspondence regarding or relating to Toshiba, TMC or the Memory Business, sent by or on behalf of WD, SanDisk, or any of their respective Affiliates, in each case to the extent based on any activities, communications or other matters occurring from January 1, 2017 to the Effective Date.</w:t>
      </w:r>
    </w:p>
    <w:p>
      <w:pPr>
        <w:spacing w:after="0" w:line="159" w:lineRule="exact"/>
        <w:rPr>
          <w:rFonts w:ascii="Arial" w:cs="Arial" w:eastAsia="Arial" w:hAnsi="Arial"/>
          <w:sz w:val="16"/>
          <w:szCs w:val="16"/>
          <w:color w:val="auto"/>
        </w:rPr>
      </w:pPr>
    </w:p>
    <w:p>
      <w:pPr>
        <w:ind w:left="1060" w:hanging="404"/>
        <w:spacing w:after="0"/>
        <w:tabs>
          <w:tab w:leader="none" w:pos="10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2.2(c)</w:t>
      </w:r>
      <w:r>
        <w:rPr>
          <w:rFonts w:ascii="Arial" w:cs="Arial" w:eastAsia="Arial" w:hAnsi="Arial"/>
          <w:sz w:val="16"/>
          <w:szCs w:val="16"/>
          <w:color w:val="auto"/>
        </w:rPr>
        <w:t>, WD and SanDisk, in each case on behalf of itself and the other WD Releasors, each covenants not to sue</w:t>
      </w:r>
    </w:p>
    <w:p>
      <w:pPr>
        <w:spacing w:after="0" w:line="99" w:lineRule="exact"/>
        <w:rPr>
          <w:rFonts w:ascii="Arial" w:cs="Arial" w:eastAsia="Arial" w:hAnsi="Arial"/>
          <w:sz w:val="16"/>
          <w:szCs w:val="16"/>
          <w:color w:val="auto"/>
        </w:rPr>
      </w:pPr>
    </w:p>
    <w:p>
      <w:pPr>
        <w:ind w:right="40"/>
        <w:spacing w:after="0" w:line="318" w:lineRule="auto"/>
        <w:rPr>
          <w:rFonts w:ascii="Arial" w:cs="Arial" w:eastAsia="Arial" w:hAnsi="Arial"/>
          <w:sz w:val="16"/>
          <w:szCs w:val="16"/>
          <w:color w:val="auto"/>
        </w:rPr>
      </w:pPr>
      <w:r>
        <w:rPr>
          <w:rFonts w:ascii="Arial" w:cs="Arial" w:eastAsia="Arial" w:hAnsi="Arial"/>
          <w:sz w:val="18"/>
          <w:szCs w:val="18"/>
          <w:color w:val="auto"/>
        </w:rPr>
        <w:t xml:space="preserve">or assert any Claims (whether known or unknown) in any forum against any Bain Consortium Member, any Auction Participant or any bank or other financial institution relating to or arising out of or in connection with ordinary course activities occurring after the Effective Date until the earlier of the closing of the TMC Sale and the termination of the SPA and that are reasonable to effect any matter within the scope of the consents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including without limitation the TMC Sale; provided that, for the avoidance of doubt, the covenant set forth in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does not apply to Claims brought against a Bain Consortium Member, any Auction Participant, or any bank or other financial institution, for any acts, omissions, attempts, or efforts thereof, after the Effective Date until the earlier of the closing of the TMC Sale and the termination of the SPA, that constitutes or results in disclosure in breach of an Existing Agreement, or misappropriation by any third party, including any Bain Consortium Member, any Auction Participant or any bank or other financial institution, of trade secrets or other non-public Intellectual Property owned or rightfully possessed by SanDisk or its Affiliates. For the avoidance of doubt, the covenant not to sue herein shall continue in effect after the closing of the TMC Sale or the termination of the SPA but shall not apply with respect to any acts, omissions, attempts, or efforts after the earlier of the closing of the TMC Sale and the termination of the SPA.</w:t>
      </w:r>
    </w:p>
    <w:p>
      <w:pPr>
        <w:spacing w:after="0" w:line="129" w:lineRule="exact"/>
        <w:rPr>
          <w:rFonts w:ascii="Arial" w:cs="Arial" w:eastAsia="Arial" w:hAnsi="Arial"/>
          <w:sz w:val="16"/>
          <w:szCs w:val="16"/>
          <w:color w:val="auto"/>
        </w:rPr>
      </w:pPr>
    </w:p>
    <w:p>
      <w:pPr>
        <w:ind w:left="1060" w:hanging="404"/>
        <w:spacing w:after="0"/>
        <w:tabs>
          <w:tab w:leader="none" w:pos="1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preceding covenants not to sue or assert shall not apply and shall be of no</w:t>
      </w:r>
    </w:p>
    <w:p>
      <w:pPr>
        <w:spacing w:after="0" w:line="76" w:lineRule="exact"/>
        <w:rPr>
          <w:rFonts w:ascii="Arial" w:cs="Arial" w:eastAsia="Arial" w:hAnsi="Arial"/>
          <w:sz w:val="18"/>
          <w:szCs w:val="18"/>
          <w:color w:val="auto"/>
        </w:rPr>
      </w:pPr>
    </w:p>
    <w:p>
      <w:pPr>
        <w:ind w:right="20"/>
        <w:spacing w:after="0" w:line="285" w:lineRule="auto"/>
        <w:rPr>
          <w:rFonts w:ascii="Arial" w:cs="Arial" w:eastAsia="Arial" w:hAnsi="Arial"/>
          <w:sz w:val="18"/>
          <w:szCs w:val="18"/>
          <w:color w:val="auto"/>
        </w:rPr>
      </w:pPr>
      <w:r>
        <w:rPr>
          <w:rFonts w:ascii="Arial" w:cs="Arial" w:eastAsia="Arial" w:hAnsi="Arial"/>
          <w:sz w:val="20"/>
          <w:szCs w:val="20"/>
          <w:color w:val="auto"/>
        </w:rPr>
        <w:t>force and effect as to any Bain Consortium Member, any Auction Participant or any bank or other financial institution if such Bain Consortium Member, Auction Participant, or bank or other financial institution (or any Person to whom such Bain Consortium Member, Auction Participant, or bank or other financial institution has assigned any of the following Claims) sues or asserts any Claim (whether known or unknown) in any forum against any WD Releasor relating to, arising out of, or in connection with (i) the TMC Transfer, the TSB Transfer, the Auction, the TMC Sale, the Access Restrictions, or the Fab 6 Unilateral Investment and/or (ii) any Claims that were asserted or threatened to be asserted in any correspondence regarding or relating to Toshiba, TMC or the Memory Business, sent by or on behalf of WD, SanDisk, or any of their respective Affiliates, in each case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8"/>
        <w:spacing w:after="0" w:line="275" w:lineRule="auto"/>
        <w:tabs>
          <w:tab w:leader="none" w:pos="36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6" w:right="239" w:bottom="1440" w:gutter="0" w:footer="0" w:header="0"/>
        </w:sectPr>
      </w:pPr>
    </w:p>
    <w:bookmarkStart w:id="198" w:name="page199"/>
    <w:bookmarkEnd w:id="198"/>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 xml:space="preserve">extent based on any activities, communications or other matters occurring prior to the Effective Date, subject, however, to </w:t>
      </w:r>
      <w:r>
        <w:rPr>
          <w:rFonts w:ascii="Arial" w:cs="Arial" w:eastAsia="Arial" w:hAnsi="Arial"/>
          <w:sz w:val="20"/>
          <w:szCs w:val="20"/>
          <w:u w:val="single" w:color="auto"/>
          <w:color w:val="auto"/>
        </w:rPr>
        <w:t>Section 2.2(f)</w:t>
      </w:r>
      <w:r>
        <w:rPr>
          <w:rFonts w:ascii="Arial" w:cs="Arial" w:eastAsia="Arial" w:hAnsi="Arial"/>
          <w:sz w:val="20"/>
          <w:szCs w:val="20"/>
          <w:color w:val="auto"/>
        </w:rPr>
        <w:t xml:space="preserve"> of this Agreement.</w:t>
      </w:r>
    </w:p>
    <w:p>
      <w:pPr>
        <w:spacing w:after="0" w:line="135" w:lineRule="exact"/>
        <w:rPr>
          <w:sz w:val="20"/>
          <w:szCs w:val="20"/>
          <w:color w:val="auto"/>
        </w:rPr>
      </w:pPr>
    </w:p>
    <w:p>
      <w:pPr>
        <w:ind w:left="1060" w:hanging="404"/>
        <w:spacing w:after="0"/>
        <w:tabs>
          <w:tab w:leader="none" w:pos="10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WD and SanDisk, in each case on behalf of itself and the other WD Releasors, shall each execute a mutual release in the form set</w:t>
      </w:r>
    </w:p>
    <w:p>
      <w:pPr>
        <w:spacing w:after="0" w:line="99" w:lineRule="exact"/>
        <w:rPr>
          <w:rFonts w:ascii="Arial" w:cs="Arial" w:eastAsia="Arial" w:hAnsi="Arial"/>
          <w:sz w:val="16"/>
          <w:szCs w:val="16"/>
          <w:color w:val="auto"/>
        </w:rPr>
      </w:pPr>
    </w:p>
    <w:p>
      <w:pPr>
        <w:ind w:right="340"/>
        <w:spacing w:after="0" w:line="288" w:lineRule="auto"/>
        <w:rPr>
          <w:rFonts w:ascii="Arial" w:cs="Arial" w:eastAsia="Arial" w:hAnsi="Arial"/>
          <w:sz w:val="16"/>
          <w:szCs w:val="16"/>
          <w:color w:val="auto"/>
        </w:rPr>
      </w:pPr>
      <w:r>
        <w:rPr>
          <w:rFonts w:ascii="Arial" w:cs="Arial" w:eastAsia="Arial" w:hAnsi="Arial"/>
          <w:sz w:val="20"/>
          <w:szCs w:val="20"/>
          <w:color w:val="auto"/>
        </w:rPr>
        <w:t xml:space="preserve">forth in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(with no substantive changes) with any Bain Consortium Member or bank or other financial institution that elects to enter into such mutual release by delivering an executed counterpart not later than the forty-fifth (45th) day after the Effective Date. Each such mutual release shall, upon execution in full, supersede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with respect to such Bain Consortium Member or such bank or other financial institution, as the case may be.</w:t>
      </w:r>
    </w:p>
    <w:p>
      <w:pPr>
        <w:spacing w:after="0" w:line="152" w:lineRule="exact"/>
        <w:rPr>
          <w:rFonts w:ascii="Arial" w:cs="Arial" w:eastAsia="Arial" w:hAnsi="Arial"/>
          <w:sz w:val="16"/>
          <w:szCs w:val="16"/>
          <w:color w:val="auto"/>
        </w:rPr>
      </w:pPr>
    </w:p>
    <w:p>
      <w:pPr>
        <w:ind w:left="1060" w:hanging="404"/>
        <w:spacing w:after="0"/>
        <w:tabs>
          <w:tab w:leader="none" w:pos="10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Any Bain Consortium Member, Auction Participant or bank or other financial institution referenced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a third</w:t>
      </w:r>
    </w:p>
    <w:p>
      <w:pPr>
        <w:spacing w:after="0" w:line="76" w:lineRule="exact"/>
        <w:rPr>
          <w:rFonts w:ascii="Arial" w:cs="Arial" w:eastAsia="Arial" w:hAnsi="Arial"/>
          <w:sz w:val="18"/>
          <w:szCs w:val="18"/>
          <w:color w:val="auto"/>
        </w:rPr>
      </w:pPr>
    </w:p>
    <w:p>
      <w:pPr>
        <w:ind w:right="200"/>
        <w:spacing w:after="0" w:line="303" w:lineRule="auto"/>
        <w:rPr>
          <w:rFonts w:ascii="Arial" w:cs="Arial" w:eastAsia="Arial" w:hAnsi="Arial"/>
          <w:sz w:val="18"/>
          <w:szCs w:val="18"/>
          <w:color w:val="auto"/>
        </w:rPr>
      </w:pPr>
      <w:r>
        <w:rPr>
          <w:rFonts w:ascii="Arial" w:cs="Arial" w:eastAsia="Arial" w:hAnsi="Arial"/>
          <w:sz w:val="20"/>
          <w:szCs w:val="20"/>
          <w:color w:val="auto"/>
        </w:rPr>
        <w:t xml:space="preserve">party beneficiary under this Agreement, but solely with respect to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and not any other provision hereunder, and shall be entitled to enforce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in its entirety in accordance with its terms.</w:t>
      </w:r>
    </w:p>
    <w:p>
      <w:pPr>
        <w:spacing w:after="0" w:line="135" w:lineRule="exact"/>
        <w:rPr>
          <w:rFonts w:ascii="Arial" w:cs="Arial" w:eastAsia="Arial" w:hAnsi="Arial"/>
          <w:sz w:val="18"/>
          <w:szCs w:val="18"/>
          <w:color w:val="auto"/>
        </w:rPr>
      </w:pPr>
    </w:p>
    <w:p>
      <w:pPr>
        <w:ind w:right="220" w:firstLine="656"/>
        <w:spacing w:after="0" w:line="317" w:lineRule="auto"/>
        <w:tabs>
          <w:tab w:leader="none" w:pos="102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For the avoidance of doubt, none of the foregoing provisions of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apply with respect to any Claim brought to enforce the terms of this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22" w:lineRule="exact"/>
        <w:rPr>
          <w:sz w:val="20"/>
          <w:szCs w:val="20"/>
          <w:color w:val="auto"/>
        </w:rPr>
      </w:pPr>
    </w:p>
    <w:p>
      <w:pPr>
        <w:spacing w:after="0" w:line="320"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TSB and TMC Release</w:t>
      </w:r>
      <w:r>
        <w:rPr>
          <w:rFonts w:ascii="Arial" w:cs="Arial" w:eastAsia="Arial" w:hAnsi="Arial"/>
          <w:sz w:val="18"/>
          <w:szCs w:val="18"/>
          <w:color w:val="auto"/>
        </w:rPr>
        <w:t>. TSB and TMC, in each case on behalf of itself and its Affiliates, and its and their respective successors, predecessors, assignees, officers, directors, shareholders, employees, representatives and agents (the “</w:t>
      </w:r>
      <w:r>
        <w:rPr>
          <w:rFonts w:ascii="Arial" w:cs="Arial" w:eastAsia="Arial" w:hAnsi="Arial"/>
          <w:sz w:val="18"/>
          <w:szCs w:val="18"/>
          <w:u w:val="single" w:color="auto"/>
          <w:color w:val="auto"/>
        </w:rPr>
        <w:t>TSB Releasors</w:t>
      </w:r>
      <w:r>
        <w:rPr>
          <w:rFonts w:ascii="Arial" w:cs="Arial" w:eastAsia="Arial" w:hAnsi="Arial"/>
          <w:sz w:val="18"/>
          <w:szCs w:val="18"/>
          <w:color w:val="auto"/>
        </w:rPr>
        <w:t>”) each hereby releases and forever discharges each of WD, SanDisk, their respective Affiliates, and its and their respective successors, assignees, predecessors, officers, directors, shareholders, employees, representatives, attorneys and agents (the “</w:t>
      </w:r>
      <w:r>
        <w:rPr>
          <w:rFonts w:ascii="Arial" w:cs="Arial" w:eastAsia="Arial" w:hAnsi="Arial"/>
          <w:sz w:val="18"/>
          <w:szCs w:val="18"/>
          <w:u w:val="single" w:color="auto"/>
          <w:color w:val="auto"/>
        </w:rPr>
        <w:t>WD Releasees</w:t>
      </w:r>
      <w:r>
        <w:rPr>
          <w:rFonts w:ascii="Arial" w:cs="Arial" w:eastAsia="Arial" w:hAnsi="Arial"/>
          <w:sz w:val="18"/>
          <w:szCs w:val="18"/>
          <w:color w:val="auto"/>
        </w:rPr>
        <w:t xml:space="preserve">”), from all Claims (i) relating to, arising out of, or in connection with the TMC Transfer, the TSB Transfer, the Auction, acts, omissions, attempts, or efforts to acquire any or all shares of or interest in TMC, the Access Restrictions, the Fab 6 Unilateral Investment or the TMC Sale, (ii) that were or could have been asserted in the Proceedings and/or (iii) that were asserted or threatened to be asserted in any of the correspondence in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TSB and TMC, in each case on behalf of itself and the other TSB Releasors, covenants not to (and to cause its respective Affiliates, and its and their respective successors, predecessors, assignees, officers, directors, shareholders (in their capacity as such), employees, representatives and agents, not to) sue or assert any Claims released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against the WD Releasees in any forum.</w:t>
      </w:r>
    </w:p>
    <w:p>
      <w:pPr>
        <w:spacing w:after="0" w:line="130"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Concurrent Releases with Bain Capital</w:t>
      </w:r>
      <w:r>
        <w:rPr>
          <w:rFonts w:ascii="Arial" w:cs="Arial" w:eastAsia="Arial" w:hAnsi="Arial"/>
          <w:sz w:val="20"/>
          <w:szCs w:val="20"/>
          <w:color w:val="auto"/>
        </w:rPr>
        <w:t xml:space="preserve">. Concurrent with this Agreement, WD and SanDisk, in each case on behalf of itself and the other WD Releasors, shall each execute the Confidential Settlement and Mutual Release Agreement in the form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Bain</w:t>
      </w:r>
      <w:r>
        <w:rPr>
          <w:rFonts w:ascii="Arial" w:cs="Arial" w:eastAsia="Arial" w:hAnsi="Arial"/>
          <w:sz w:val="20"/>
          <w:szCs w:val="20"/>
          <w:color w:val="auto"/>
        </w:rPr>
        <w:t xml:space="preserve"> </w:t>
      </w:r>
      <w:r>
        <w:rPr>
          <w:rFonts w:ascii="Arial" w:cs="Arial" w:eastAsia="Arial" w:hAnsi="Arial"/>
          <w:sz w:val="20"/>
          <w:szCs w:val="20"/>
          <w:u w:val="single" w:color="auto"/>
          <w:color w:val="auto"/>
        </w:rPr>
        <w:t>Settlement Agreement</w:t>
      </w:r>
      <w:r>
        <w:rPr>
          <w:rFonts w:ascii="Arial" w:cs="Arial" w:eastAsia="Arial" w:hAnsi="Arial"/>
          <w:sz w:val="20"/>
          <w:szCs w:val="20"/>
          <w:color w:val="auto"/>
        </w:rPr>
        <w:t>”) with Bain Capital Private Equity, L.P.; BCPE Pangea Cayman, L.P.; BCPE Pangea Cayman2, Ltd.; Bain Capital Fund XII, L.P.; Bain Capital Asia Fund III, L.P.; and Pangea (together, “</w:t>
      </w:r>
      <w:r>
        <w:rPr>
          <w:rFonts w:ascii="Arial" w:cs="Arial" w:eastAsia="Arial" w:hAnsi="Arial"/>
          <w:sz w:val="20"/>
          <w:szCs w:val="20"/>
          <w:u w:val="single" w:color="auto"/>
          <w:color w:val="auto"/>
        </w:rPr>
        <w:t>Bain Capital</w:t>
      </w:r>
      <w:r>
        <w:rPr>
          <w:rFonts w:ascii="Arial" w:cs="Arial" w:eastAsia="Arial" w:hAnsi="Arial"/>
          <w:sz w:val="20"/>
          <w:szCs w:val="20"/>
          <w:color w:val="auto"/>
        </w:rPr>
        <w:t xml:space="preserve">”), the execution of which shall be a condition precedent to the effectiveness of this Agreement. Bain Capital shall be a third party beneficiary under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shall be entitled to enforce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in its entirety in accordance with its terms.</w:t>
      </w:r>
    </w:p>
    <w:p>
      <w:pPr>
        <w:spacing w:after="0" w:line="154" w:lineRule="exact"/>
        <w:rPr>
          <w:sz w:val="20"/>
          <w:szCs w:val="20"/>
          <w:color w:val="auto"/>
        </w:rPr>
      </w:pPr>
    </w:p>
    <w:p>
      <w:pPr>
        <w:ind w:right="320"/>
        <w:spacing w:after="0" w:line="299"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Effect of Dismissals and Releases</w:t>
      </w:r>
      <w:r>
        <w:rPr>
          <w:rFonts w:ascii="Arial" w:cs="Arial" w:eastAsia="Arial" w:hAnsi="Arial"/>
          <w:sz w:val="20"/>
          <w:szCs w:val="20"/>
          <w:color w:val="auto"/>
        </w:rPr>
        <w:t xml:space="preserve">. The Parties intend that the withdrawals and dismissals contemplated by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together with the releases contemplated by </w:t>
      </w:r>
      <w:r>
        <w:rPr>
          <w:rFonts w:ascii="Arial" w:cs="Arial" w:eastAsia="Arial" w:hAnsi="Arial"/>
          <w:sz w:val="20"/>
          <w:szCs w:val="20"/>
          <w:u w:val="single" w:color="auto"/>
          <w:color w:val="auto"/>
        </w:rPr>
        <w:t>Sections 2.1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2.3</w:t>
      </w:r>
      <w:r>
        <w:rPr>
          <w:rFonts w:ascii="Arial" w:cs="Arial" w:eastAsia="Arial" w:hAnsi="Arial"/>
          <w:sz w:val="20"/>
          <w:szCs w:val="20"/>
          <w:color w:val="auto"/>
        </w:rPr>
        <w:t>, will effect, without limitation, a dismissal and release with prejudice of all Proceedings (including counterclaims)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20" w:firstLine="8"/>
        <w:spacing w:after="0" w:line="275" w:lineRule="auto"/>
        <w:tabs>
          <w:tab w:leader="none" w:pos="36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6" w:right="239" w:bottom="1440" w:gutter="0" w:footer="0" w:header="0"/>
        </w:sectPr>
      </w:pPr>
    </w:p>
    <w:bookmarkStart w:id="199" w:name="page200"/>
    <w:bookmarkEnd w:id="199"/>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00"/>
        <w:spacing w:after="0" w:line="303" w:lineRule="auto"/>
        <w:rPr>
          <w:sz w:val="20"/>
          <w:szCs w:val="20"/>
          <w:color w:val="auto"/>
        </w:rPr>
      </w:pPr>
      <w:r>
        <w:rPr>
          <w:rFonts w:ascii="Arial" w:cs="Arial" w:eastAsia="Arial" w:hAnsi="Arial"/>
          <w:sz w:val="20"/>
          <w:szCs w:val="20"/>
          <w:color w:val="auto"/>
        </w:rPr>
        <w:t>pending or threatened between any WD Releasor (as defined above) and any TSB Releasee (as defined above), or between any TSB Releasor (as defined above) and any WD Releasee (as defined above).</w:t>
      </w:r>
    </w:p>
    <w:p>
      <w:pPr>
        <w:spacing w:after="0" w:line="135" w:lineRule="exact"/>
        <w:rPr>
          <w:sz w:val="20"/>
          <w:szCs w:val="20"/>
          <w:color w:val="auto"/>
        </w:rPr>
      </w:pPr>
    </w:p>
    <w:p>
      <w:pPr>
        <w:ind w:right="120"/>
        <w:spacing w:after="0" w:line="320"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Each of WD and SanDisk, on behalf of itself and the other WD Releasors, and each of TSB and TMC, on behalf of itself and the other TSB Releasors, hereby irrevocably and forever waives all rights it may have arising under California Civil Code Section 1542, or any analogous requirement of Law, with respect to the Proceedings and the releases set forth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In addition, each of WD and SanDisk, on behalf of itself and the other WD Releasors, and each of TSB and TMC, on behalf of itself and the other TSB Releasors, hereby confirm that they understand that Section 1542 provides that the releases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are intended to and do operate as full and final releases of all claims within the scope of the releases, including all unknown, unsuspected, or unanticipated claims, rights, demands, actions, obligations, liabilities, and causes of action of every kind and character, and specifically and expressly waives and releases all rights under the provisions of Section 1542 and any like or similar statute or common law doctrine in any jurisdiction. Each of WD and SanDisk, on behalf of itself and the other WD Releasors, and each of TSB and TMC, on behalf of itself and the other TSB Releasors, hereby confirms that it understands that Section 1542 provides that:</w:t>
      </w:r>
    </w:p>
    <w:p>
      <w:pPr>
        <w:spacing w:after="0" w:line="103" w:lineRule="exact"/>
        <w:rPr>
          <w:sz w:val="20"/>
          <w:szCs w:val="20"/>
          <w:color w:val="auto"/>
        </w:rPr>
      </w:pPr>
    </w:p>
    <w:p>
      <w:pPr>
        <w:ind w:left="660" w:right="100"/>
        <w:spacing w:after="0" w:line="250"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 xml:space="preserve">Each Party acknowledges that it has been fully informed by its counsel concerning the effect and import of this Agreement under California Civil Code Section 1542 and other analogous requirements of Law. Each Party acknowledges that the releases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are intended to include in their respective effects, without limitation, claims which they do not know of or suspect exist in their favor and that such releases extinguishes all claims within the scope of the releases. The Parties acknowledge that they are aware that they may hereafter discover facts in addition to or different from those which they now know or believe to be true with respect to the releases set forth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but that they intend to, and do hereby, fully, finally and forever settle, release and discharge all Proceedings, and all Claims within the scope of such releases, without regard to the subsequent discovery or existence of different or additional facts.</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No Admission</w:t>
      </w:r>
      <w:r>
        <w:rPr>
          <w:rFonts w:ascii="Arial" w:cs="Arial" w:eastAsia="Arial" w:hAnsi="Arial"/>
          <w:sz w:val="20"/>
          <w:szCs w:val="20"/>
          <w:color w:val="auto"/>
        </w:rPr>
        <w:t xml:space="preserve">. This Agreement is entered into in order to compromise and settle disputed Claims, without any acquiescence, acknowledgement, or agreement by any Party as to the merit of any Claims or defenses. Neither this Agreement nor any part thereof shall be, or be used as, an admission by anyone, at any time, for any purpose. In addition, without limitation or modification of the provisions set forth in </w:t>
      </w:r>
      <w:r>
        <w:rPr>
          <w:rFonts w:ascii="Arial" w:cs="Arial" w:eastAsia="Arial" w:hAnsi="Arial"/>
          <w:sz w:val="20"/>
          <w:szCs w:val="20"/>
          <w:u w:val="single" w:color="auto"/>
          <w:color w:val="auto"/>
        </w:rPr>
        <w:t>Sections 3.2(a)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3.2(b)</w:t>
      </w:r>
      <w:r>
        <w:rPr>
          <w:rFonts w:ascii="Arial" w:cs="Arial" w:eastAsia="Arial" w:hAnsi="Arial"/>
          <w:sz w:val="20"/>
          <w:szCs w:val="20"/>
          <w:color w:val="auto"/>
        </w:rPr>
        <w:t xml:space="preserve"> hereof, the inclusion in this Agreement of any consent or approval, or of any requirement to provide consent or approval, by any Party shall not be, or be used as, an admission by anyone that any such consent or approval is required under any Existing Agreement or otherwise.</w:t>
      </w:r>
    </w:p>
    <w:p>
      <w:pPr>
        <w:spacing w:after="0" w:line="154"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Attorneys’ Fees and Costs</w:t>
      </w:r>
      <w:r>
        <w:rPr>
          <w:rFonts w:ascii="Arial" w:cs="Arial" w:eastAsia="Arial" w:hAnsi="Arial"/>
          <w:sz w:val="20"/>
          <w:szCs w:val="20"/>
          <w:color w:val="auto"/>
        </w:rPr>
        <w:t xml:space="preserve">. Each Party shall be responsible for its own costs and attorneys’ fees, if any, in connection with this Agreement, including, without limitation, in connection with preparing and filing the dismissals set forth in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20" w:firstLine="8"/>
        <w:spacing w:after="0" w:line="275" w:lineRule="auto"/>
        <w:tabs>
          <w:tab w:leader="none" w:pos="36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200" w:name="page201"/>
    <w:bookmarkEnd w:id="200"/>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1"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Consents</w:t>
      </w:r>
      <w:r>
        <w:rPr>
          <w:rFonts w:ascii="Arial" w:cs="Arial" w:eastAsia="Arial" w:hAnsi="Arial"/>
          <w:sz w:val="20"/>
          <w:szCs w:val="20"/>
          <w:b w:val="1"/>
          <w:bCs w:val="1"/>
          <w:color w:val="auto"/>
        </w:rPr>
        <w:t>.</w:t>
      </w:r>
    </w:p>
    <w:p>
      <w:pPr>
        <w:spacing w:after="0" w:line="23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WD and SanDisk Consents</w:t>
      </w:r>
      <w:r>
        <w:rPr>
          <w:rFonts w:ascii="Arial" w:cs="Arial" w:eastAsia="Arial" w:hAnsi="Arial"/>
          <w:sz w:val="16"/>
          <w:szCs w:val="16"/>
          <w:color w:val="auto"/>
        </w:rPr>
        <w:t>.</w:t>
      </w:r>
    </w:p>
    <w:p>
      <w:pPr>
        <w:spacing w:after="0" w:line="229" w:lineRule="exact"/>
        <w:rPr>
          <w:sz w:val="20"/>
          <w:szCs w:val="20"/>
          <w:color w:val="auto"/>
        </w:rPr>
      </w:pPr>
    </w:p>
    <w:p>
      <w:pPr>
        <w:ind w:right="340" w:firstLine="656"/>
        <w:spacing w:after="0" w:line="317" w:lineRule="auto"/>
        <w:tabs>
          <w:tab w:leader="none" w:pos="1048" w:val="left"/>
        </w:tabs>
        <w:numPr>
          <w:ilvl w:val="1"/>
          <w:numId w:val="21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3.2(a)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3.2(b)</w:t>
      </w:r>
      <w:r>
        <w:rPr>
          <w:rFonts w:ascii="Arial" w:cs="Arial" w:eastAsia="Arial" w:hAnsi="Arial"/>
          <w:sz w:val="20"/>
          <w:szCs w:val="20"/>
          <w:color w:val="auto"/>
        </w:rPr>
        <w:t>, WD and SanDisk each hereby irrevocably consents to, and shall cause its Subsidiaries to irrevocably consent to:</w:t>
      </w:r>
    </w:p>
    <w:p>
      <w:pPr>
        <w:spacing w:after="0" w:line="121" w:lineRule="exact"/>
        <w:rPr>
          <w:rFonts w:ascii="Arial" w:cs="Arial" w:eastAsia="Arial" w:hAnsi="Arial"/>
          <w:sz w:val="20"/>
          <w:szCs w:val="20"/>
          <w:color w:val="auto"/>
        </w:rPr>
      </w:pPr>
    </w:p>
    <w:p>
      <w:pPr>
        <w:ind w:left="1680" w:hanging="375"/>
        <w:spacing w:after="0"/>
        <w:tabs>
          <w:tab w:leader="none" w:pos="168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the Transfer of TSB’s JV Rights to TMC,</w:t>
      </w:r>
    </w:p>
    <w:p>
      <w:pPr>
        <w:spacing w:after="0" w:line="229" w:lineRule="exact"/>
        <w:rPr>
          <w:rFonts w:ascii="Arial" w:cs="Arial" w:eastAsia="Arial" w:hAnsi="Arial"/>
          <w:sz w:val="20"/>
          <w:szCs w:val="20"/>
          <w:color w:val="auto"/>
        </w:rPr>
      </w:pPr>
    </w:p>
    <w:p>
      <w:pPr>
        <w:ind w:left="1720" w:hanging="415"/>
        <w:spacing w:after="0"/>
        <w:tabs>
          <w:tab w:leader="none" w:pos="172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for the avoidance of doubt and without imposing or implying any additional obligations under any Existing Agreement or</w:t>
      </w:r>
    </w:p>
    <w:p>
      <w:pPr>
        <w:spacing w:after="0" w:line="76" w:lineRule="exact"/>
        <w:rPr>
          <w:rFonts w:ascii="Arial" w:cs="Arial" w:eastAsia="Arial" w:hAnsi="Arial"/>
          <w:sz w:val="18"/>
          <w:szCs w:val="18"/>
          <w:color w:val="auto"/>
        </w:rPr>
      </w:pPr>
    </w:p>
    <w:p>
      <w:pPr>
        <w:ind w:right="320"/>
        <w:spacing w:after="0" w:line="338" w:lineRule="auto"/>
        <w:rPr>
          <w:rFonts w:ascii="Arial" w:cs="Arial" w:eastAsia="Arial" w:hAnsi="Arial"/>
          <w:sz w:val="18"/>
          <w:szCs w:val="18"/>
          <w:color w:val="auto"/>
        </w:rPr>
      </w:pPr>
      <w:r>
        <w:rPr>
          <w:rFonts w:ascii="Arial" w:cs="Arial" w:eastAsia="Arial" w:hAnsi="Arial"/>
          <w:sz w:val="18"/>
          <w:szCs w:val="18"/>
          <w:color w:val="auto"/>
        </w:rPr>
        <w:t>any Transaction Document, any future issuances of Equity Interests in TSB, TMC or Pangea or any entity Controlling TMC or Pangea, including in an initial public offering of TMC or Pangea or such Controlling entity on a Qualified Exchange, and any subsequent primary or secondary offering and secondary trading of such Equity Interests in TSB, TMC or Pangea or such Controlling entity,</w:t>
      </w:r>
    </w:p>
    <w:p>
      <w:pPr>
        <w:spacing w:after="0" w:line="111" w:lineRule="exact"/>
        <w:rPr>
          <w:rFonts w:ascii="Arial" w:cs="Arial" w:eastAsia="Arial" w:hAnsi="Arial"/>
          <w:sz w:val="18"/>
          <w:szCs w:val="18"/>
          <w:color w:val="auto"/>
        </w:rPr>
      </w:pPr>
    </w:p>
    <w:p>
      <w:pPr>
        <w:ind w:right="80" w:firstLine="1305"/>
        <w:spacing w:after="0" w:line="317" w:lineRule="auto"/>
        <w:tabs>
          <w:tab w:leader="none" w:pos="1773" w:val="left"/>
        </w:tabs>
        <w:numPr>
          <w:ilvl w:val="2"/>
          <w:numId w:val="219"/>
        </w:numPr>
        <w:rPr>
          <w:rFonts w:ascii="Arial" w:cs="Arial" w:eastAsia="Arial" w:hAnsi="Arial"/>
          <w:sz w:val="20"/>
          <w:szCs w:val="20"/>
          <w:color w:val="auto"/>
        </w:rPr>
      </w:pPr>
      <w:r>
        <w:rPr>
          <w:rFonts w:ascii="Arial" w:cs="Arial" w:eastAsia="Arial" w:hAnsi="Arial"/>
          <w:sz w:val="20"/>
          <w:szCs w:val="20"/>
          <w:color w:val="auto"/>
        </w:rPr>
        <w:t xml:space="preserve">any subsequent Change of Control of TMC or Pangea in accordance with </w:t>
      </w:r>
      <w:r>
        <w:rPr>
          <w:rFonts w:ascii="Arial" w:cs="Arial" w:eastAsia="Arial" w:hAnsi="Arial"/>
          <w:sz w:val="20"/>
          <w:szCs w:val="20"/>
          <w:u w:val="single" w:color="auto"/>
          <w:color w:val="auto"/>
        </w:rPr>
        <w:t>Section 3.7</w:t>
      </w:r>
      <w:r>
        <w:rPr>
          <w:rFonts w:ascii="Arial" w:cs="Arial" w:eastAsia="Arial" w:hAnsi="Arial"/>
          <w:sz w:val="20"/>
          <w:szCs w:val="20"/>
          <w:color w:val="auto"/>
        </w:rPr>
        <w:t>, including for purposes of Sections 4.1(a)(ix) and 9.1(a) of each Operating Agreement and Section 5.1(b) of each Master Agreement,</w:t>
      </w:r>
    </w:p>
    <w:p>
      <w:pPr>
        <w:spacing w:after="0" w:line="121" w:lineRule="exact"/>
        <w:rPr>
          <w:rFonts w:ascii="Arial" w:cs="Arial" w:eastAsia="Arial" w:hAnsi="Arial"/>
          <w:sz w:val="20"/>
          <w:szCs w:val="20"/>
          <w:color w:val="auto"/>
        </w:rPr>
      </w:pPr>
    </w:p>
    <w:p>
      <w:pPr>
        <w:ind w:right="200" w:firstLine="1305"/>
        <w:spacing w:after="0" w:line="317" w:lineRule="auto"/>
        <w:tabs>
          <w:tab w:leader="none" w:pos="1762" w:val="left"/>
        </w:tabs>
        <w:numPr>
          <w:ilvl w:val="2"/>
          <w:numId w:val="219"/>
        </w:numPr>
        <w:rPr>
          <w:rFonts w:ascii="Arial" w:cs="Arial" w:eastAsia="Arial" w:hAnsi="Arial"/>
          <w:sz w:val="20"/>
          <w:szCs w:val="20"/>
          <w:color w:val="auto"/>
        </w:rPr>
      </w:pPr>
      <w:r>
        <w:rPr>
          <w:rFonts w:ascii="Arial" w:cs="Arial" w:eastAsia="Arial" w:hAnsi="Arial"/>
          <w:sz w:val="20"/>
          <w:szCs w:val="20"/>
          <w:color w:val="auto"/>
        </w:rPr>
        <w:t>any Transfer of Equity Interests in TMC or Pangea (or any entity Controlling TMC or Pangea) to any Person, including to members of the Bain Consortium, by TSB or any subsequent transferee of such Equity Interests,</w:t>
      </w:r>
    </w:p>
    <w:p>
      <w:pPr>
        <w:spacing w:after="0" w:line="121" w:lineRule="exact"/>
        <w:rPr>
          <w:rFonts w:ascii="Arial" w:cs="Arial" w:eastAsia="Arial" w:hAnsi="Arial"/>
          <w:sz w:val="20"/>
          <w:szCs w:val="20"/>
          <w:color w:val="auto"/>
        </w:rPr>
      </w:pPr>
    </w:p>
    <w:p>
      <w:pPr>
        <w:ind w:left="1720" w:hanging="415"/>
        <w:spacing w:after="0"/>
        <w:tabs>
          <w:tab w:leader="none" w:pos="172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the TMC Sale,</w:t>
      </w:r>
    </w:p>
    <w:p>
      <w:pPr>
        <w:spacing w:after="0" w:line="229" w:lineRule="exact"/>
        <w:rPr>
          <w:rFonts w:ascii="Arial" w:cs="Arial" w:eastAsia="Arial" w:hAnsi="Arial"/>
          <w:sz w:val="20"/>
          <w:szCs w:val="20"/>
          <w:color w:val="auto"/>
        </w:rPr>
      </w:pPr>
    </w:p>
    <w:p>
      <w:pPr>
        <w:ind w:left="1780" w:hanging="475"/>
        <w:spacing w:after="0"/>
        <w:tabs>
          <w:tab w:leader="none" w:pos="178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the TMC Merger,</w:t>
      </w:r>
    </w:p>
    <w:p>
      <w:pPr>
        <w:spacing w:after="0" w:line="229" w:lineRule="exact"/>
        <w:rPr>
          <w:rFonts w:ascii="Arial" w:cs="Arial" w:eastAsia="Arial" w:hAnsi="Arial"/>
          <w:sz w:val="20"/>
          <w:szCs w:val="20"/>
          <w:color w:val="auto"/>
        </w:rPr>
      </w:pPr>
    </w:p>
    <w:p>
      <w:pPr>
        <w:ind w:left="1820" w:hanging="515"/>
        <w:spacing w:after="0"/>
        <w:tabs>
          <w:tab w:leader="none" w:pos="1820" w:val="left"/>
        </w:tabs>
        <w:numPr>
          <w:ilvl w:val="2"/>
          <w:numId w:val="219"/>
        </w:numPr>
        <w:rPr>
          <w:rFonts w:ascii="Arial" w:cs="Arial" w:eastAsia="Arial" w:hAnsi="Arial"/>
          <w:sz w:val="20"/>
          <w:szCs w:val="20"/>
          <w:color w:val="auto"/>
        </w:rPr>
      </w:pPr>
      <w:r>
        <w:rPr>
          <w:rFonts w:ascii="Arial" w:cs="Arial" w:eastAsia="Arial" w:hAnsi="Arial"/>
          <w:sz w:val="20"/>
          <w:szCs w:val="20"/>
          <w:color w:val="auto"/>
        </w:rPr>
        <w:t>the assignment or Transfer to TMC by TSB (or any of its Affiliates) of the Existing Agreements,</w:t>
      </w:r>
    </w:p>
    <w:p>
      <w:pPr>
        <w:spacing w:after="0" w:line="229" w:lineRule="exact"/>
        <w:rPr>
          <w:rFonts w:ascii="Arial" w:cs="Arial" w:eastAsia="Arial" w:hAnsi="Arial"/>
          <w:sz w:val="20"/>
          <w:szCs w:val="20"/>
          <w:color w:val="auto"/>
        </w:rPr>
      </w:pPr>
    </w:p>
    <w:p>
      <w:pPr>
        <w:ind w:left="1880" w:hanging="575"/>
        <w:spacing w:after="0"/>
        <w:tabs>
          <w:tab w:leader="none" w:pos="1880" w:val="left"/>
        </w:tabs>
        <w:numPr>
          <w:ilvl w:val="2"/>
          <w:numId w:val="219"/>
        </w:numPr>
        <w:rPr>
          <w:rFonts w:ascii="Arial" w:cs="Arial" w:eastAsia="Arial" w:hAnsi="Arial"/>
          <w:sz w:val="19"/>
          <w:szCs w:val="19"/>
          <w:color w:val="auto"/>
        </w:rPr>
      </w:pPr>
      <w:r>
        <w:rPr>
          <w:rFonts w:ascii="Arial" w:cs="Arial" w:eastAsia="Arial" w:hAnsi="Arial"/>
          <w:sz w:val="19"/>
          <w:szCs w:val="19"/>
          <w:color w:val="auto"/>
        </w:rPr>
        <w:t>the assignment or Transfer to TMC by TSB of any Intellectual Property owned by TSB (whether solely or jointly)</w:t>
      </w:r>
    </w:p>
    <w:p>
      <w:pPr>
        <w:spacing w:after="0" w:line="65" w:lineRule="exact"/>
        <w:rPr>
          <w:rFonts w:ascii="Arial" w:cs="Arial" w:eastAsia="Arial" w:hAnsi="Arial"/>
          <w:sz w:val="19"/>
          <w:szCs w:val="19"/>
          <w:color w:val="auto"/>
        </w:rPr>
      </w:pPr>
    </w:p>
    <w:p>
      <w:pPr>
        <w:ind w:right="140"/>
        <w:spacing w:after="0" w:line="303" w:lineRule="auto"/>
        <w:rPr>
          <w:rFonts w:ascii="Arial" w:cs="Arial" w:eastAsia="Arial" w:hAnsi="Arial"/>
          <w:sz w:val="19"/>
          <w:szCs w:val="19"/>
          <w:color w:val="auto"/>
        </w:rPr>
      </w:pPr>
      <w:r>
        <w:rPr>
          <w:rFonts w:ascii="Arial" w:cs="Arial" w:eastAsia="Arial" w:hAnsi="Arial"/>
          <w:sz w:val="20"/>
          <w:szCs w:val="20"/>
          <w:color w:val="auto"/>
        </w:rPr>
        <w:t>pursuant to any Existing Agreement or the Undertaking and/or any rights and licenses under any Intellectual Property set forth in any Existing Agreement or the Undertaking,</w:t>
      </w:r>
    </w:p>
    <w:p>
      <w:pPr>
        <w:spacing w:after="0" w:line="135" w:lineRule="exact"/>
        <w:rPr>
          <w:rFonts w:ascii="Arial" w:cs="Arial" w:eastAsia="Arial" w:hAnsi="Arial"/>
          <w:sz w:val="19"/>
          <w:szCs w:val="19"/>
          <w:color w:val="auto"/>
        </w:rPr>
      </w:pPr>
    </w:p>
    <w:p>
      <w:pPr>
        <w:ind w:left="1780" w:hanging="475"/>
        <w:spacing w:after="0"/>
        <w:tabs>
          <w:tab w:leader="none" w:pos="17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at any time other than the Lien Restricted Period (as defined</w:t>
      </w:r>
    </w:p>
    <w:p>
      <w:pPr>
        <w:spacing w:after="0" w:line="76" w:lineRule="exact"/>
        <w:rPr>
          <w:rFonts w:ascii="Arial" w:cs="Arial" w:eastAsia="Arial" w:hAnsi="Arial"/>
          <w:sz w:val="18"/>
          <w:szCs w:val="18"/>
          <w:color w:val="auto"/>
        </w:rPr>
      </w:pPr>
    </w:p>
    <w:p>
      <w:pPr>
        <w:ind w:right="80"/>
        <w:spacing w:after="0" w:line="285" w:lineRule="auto"/>
        <w:rPr>
          <w:rFonts w:ascii="Arial" w:cs="Arial" w:eastAsia="Arial" w:hAnsi="Arial"/>
          <w:sz w:val="18"/>
          <w:szCs w:val="18"/>
          <w:color w:val="auto"/>
        </w:rPr>
      </w:pPr>
      <w:r>
        <w:rPr>
          <w:rFonts w:ascii="Arial" w:cs="Arial" w:eastAsia="Arial" w:hAnsi="Arial"/>
          <w:sz w:val="20"/>
          <w:szCs w:val="20"/>
          <w:color w:val="auto"/>
        </w:rPr>
        <w:t>below), the granting of any first priority Lien to a third party senior lender to secure indebtedness covering or securing (a) any assets of TSB (other than JV Shares), (b) any Equity Interests in or any assets of TMC or any of its Subsidiaries (other than JV Shares), regardless of whether TMC or such Subsidiaries owns any JV Shares or is a party to any Existing Agreement and (c) solely in connection with a pledge of a material portion of those assets of TMC and its Subsidiaries that are not Collaboration Assets, if any, the JV Shares; provided, that no such lender may enforce any Lien securing such indebtedness that would result in a direct or indirect Transfer of JV Shares unless, after giving effect to such enforcement action, a single Person, together with such Person’s Subsidiaries, holds or owns all Collaboration Assets held or owned by TMC and its Subsidiaries, as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right="120" w:firstLine="8"/>
        <w:spacing w:after="0" w:line="275" w:lineRule="auto"/>
        <w:tabs>
          <w:tab w:leader="none" w:pos="36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6" w:right="239" w:bottom="1440" w:gutter="0" w:footer="0" w:header="0"/>
        </w:sectPr>
      </w:pPr>
    </w:p>
    <w:bookmarkStart w:id="201" w:name="page202"/>
    <w:bookmarkEnd w:id="201"/>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20"/>
        <w:spacing w:after="0" w:line="331" w:lineRule="auto"/>
        <w:rPr>
          <w:sz w:val="20"/>
          <w:szCs w:val="20"/>
          <w:color w:val="auto"/>
        </w:rPr>
      </w:pPr>
      <w:r>
        <w:rPr>
          <w:rFonts w:ascii="Arial" w:cs="Arial" w:eastAsia="Arial" w:hAnsi="Arial"/>
          <w:sz w:val="19"/>
          <w:szCs w:val="19"/>
          <w:color w:val="auto"/>
        </w:rPr>
        <w:t xml:space="preserve">immediately prior to such enforcement; provided further, that no such Lien may be granted on or with respect to JV Rights (other than the JV Shares (pursuant to this </w:t>
      </w:r>
      <w:r>
        <w:rPr>
          <w:rFonts w:ascii="Arial" w:cs="Arial" w:eastAsia="Arial" w:hAnsi="Arial"/>
          <w:sz w:val="19"/>
          <w:szCs w:val="19"/>
          <w:u w:val="single" w:color="auto"/>
          <w:color w:val="auto"/>
        </w:rPr>
        <w:t>Section 3.1(a)(ix)</w:t>
      </w:r>
      <w:r>
        <w:rPr>
          <w:rFonts w:ascii="Arial" w:cs="Arial" w:eastAsia="Arial" w:hAnsi="Arial"/>
          <w:sz w:val="19"/>
          <w:szCs w:val="19"/>
          <w:color w:val="auto"/>
        </w:rPr>
        <w:t>) held by TMC or its Subsidiaries) or the assets, property or rights of the JVs, and</w:t>
      </w:r>
    </w:p>
    <w:p>
      <w:pPr>
        <w:spacing w:after="0" w:line="113" w:lineRule="exact"/>
        <w:rPr>
          <w:sz w:val="20"/>
          <w:szCs w:val="20"/>
          <w:color w:val="auto"/>
        </w:rPr>
      </w:pPr>
    </w:p>
    <w:p>
      <w:pPr>
        <w:ind w:left="1720" w:hanging="415"/>
        <w:spacing w:after="0"/>
        <w:tabs>
          <w:tab w:leader="none" w:pos="172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during the period beginning on the Effective Date and ending on the earlier of (x) the termination of the SPA, (y)</w:t>
      </w:r>
    </w:p>
    <w:p>
      <w:pPr>
        <w:spacing w:after="0" w:line="65" w:lineRule="exact"/>
        <w:rPr>
          <w:rFonts w:ascii="Arial" w:cs="Arial" w:eastAsia="Arial" w:hAnsi="Arial"/>
          <w:sz w:val="19"/>
          <w:szCs w:val="19"/>
          <w:color w:val="auto"/>
        </w:rPr>
      </w:pPr>
    </w:p>
    <w:p>
      <w:pPr>
        <w:ind w:right="60"/>
        <w:spacing w:after="0" w:line="318" w:lineRule="auto"/>
        <w:rPr>
          <w:rFonts w:ascii="Arial" w:cs="Arial" w:eastAsia="Arial" w:hAnsi="Arial"/>
          <w:sz w:val="19"/>
          <w:szCs w:val="19"/>
          <w:color w:val="auto"/>
        </w:rPr>
      </w:pPr>
      <w:r>
        <w:rPr>
          <w:rFonts w:ascii="Arial" w:cs="Arial" w:eastAsia="Arial" w:hAnsi="Arial"/>
          <w:sz w:val="18"/>
          <w:szCs w:val="18"/>
          <w:color w:val="auto"/>
        </w:rPr>
        <w:t>repayment or refinancing in full of all Pangea Financing Arrangements, and (z) the termination of all Pangea Financing Arrangements prior to any drawdown thereof (the “</w:t>
      </w:r>
      <w:r>
        <w:rPr>
          <w:rFonts w:ascii="Arial" w:cs="Arial" w:eastAsia="Arial" w:hAnsi="Arial"/>
          <w:sz w:val="18"/>
          <w:szCs w:val="18"/>
          <w:u w:val="single" w:color="auto"/>
          <w:color w:val="auto"/>
        </w:rPr>
        <w:t>Lien Restricted Period</w:t>
      </w:r>
      <w:r>
        <w:rPr>
          <w:rFonts w:ascii="Arial" w:cs="Arial" w:eastAsia="Arial" w:hAnsi="Arial"/>
          <w:sz w:val="18"/>
          <w:szCs w:val="18"/>
          <w:color w:val="auto"/>
        </w:rPr>
        <w:t xml:space="preserve">”), the granting of any first priority Lien to a third party senior lender to secure indebtedness that is a Pangea Financing Arrangement covering or securing (a) any Equity Interests in or assets of Pangea, TMC or any of their respective Subsidiaries (in each case, other than the JV Shares), regardless of whether Pangea, TMC or any of their respective Subsidiaries owns any JV Shares or is a party to any Existing Agreement and (b) JV Shares held directly or indirectly by TMC or its Subsidiaries; provided, that, in connection with the TMC Sale, consent under this </w:t>
      </w:r>
      <w:r>
        <w:rPr>
          <w:rFonts w:ascii="Arial" w:cs="Arial" w:eastAsia="Arial" w:hAnsi="Arial"/>
          <w:sz w:val="18"/>
          <w:szCs w:val="18"/>
          <w:u w:val="single" w:color="auto"/>
          <w:color w:val="auto"/>
        </w:rPr>
        <w:t>Section 3.1(a)(x)(b)</w:t>
      </w:r>
      <w:r>
        <w:rPr>
          <w:rFonts w:ascii="Arial" w:cs="Arial" w:eastAsia="Arial" w:hAnsi="Arial"/>
          <w:sz w:val="18"/>
          <w:szCs w:val="18"/>
          <w:color w:val="auto"/>
        </w:rPr>
        <w:t xml:space="preserve"> shall not be deemed given unless and until Bain Capital provides WD with written notice that it is satisfied, in Bain Capital’s sole discretion, with the terms of the senior financing being provided to finance the TMC Sale, and provided further, that no such Lien may be granted on or with respect to JV Rights (other than the JV Shares (pursuant to this </w:t>
      </w:r>
      <w:r>
        <w:rPr>
          <w:rFonts w:ascii="Arial" w:cs="Arial" w:eastAsia="Arial" w:hAnsi="Arial"/>
          <w:sz w:val="18"/>
          <w:szCs w:val="18"/>
          <w:u w:val="single" w:color="auto"/>
          <w:color w:val="auto"/>
        </w:rPr>
        <w:t>Section 3.1(a)(x)</w:t>
      </w:r>
      <w:r>
        <w:rPr>
          <w:rFonts w:ascii="Arial" w:cs="Arial" w:eastAsia="Arial" w:hAnsi="Arial"/>
          <w:sz w:val="18"/>
          <w:szCs w:val="18"/>
          <w:color w:val="auto"/>
        </w:rPr>
        <w:t xml:space="preserve">) held by TMC or its Subsidiaries) or the assets, property or rights of the JVs. Bain Capital shall be a third party beneficiary under this </w:t>
      </w:r>
      <w:r>
        <w:rPr>
          <w:rFonts w:ascii="Arial" w:cs="Arial" w:eastAsia="Arial" w:hAnsi="Arial"/>
          <w:sz w:val="18"/>
          <w:szCs w:val="18"/>
          <w:u w:val="single" w:color="auto"/>
          <w:color w:val="auto"/>
        </w:rPr>
        <w:t>Section 3.1(a)(x)</w:t>
      </w:r>
      <w:r>
        <w:rPr>
          <w:rFonts w:ascii="Arial" w:cs="Arial" w:eastAsia="Arial" w:hAnsi="Arial"/>
          <w:sz w:val="18"/>
          <w:szCs w:val="18"/>
          <w:color w:val="auto"/>
        </w:rPr>
        <w:t xml:space="preserve"> and shall be entitled to enforce this </w:t>
      </w:r>
      <w:r>
        <w:rPr>
          <w:rFonts w:ascii="Arial" w:cs="Arial" w:eastAsia="Arial" w:hAnsi="Arial"/>
          <w:sz w:val="18"/>
          <w:szCs w:val="18"/>
          <w:u w:val="single" w:color="auto"/>
          <w:color w:val="auto"/>
        </w:rPr>
        <w:t>Section 3.1(a)(x)</w:t>
      </w:r>
      <w:r>
        <w:rPr>
          <w:rFonts w:ascii="Arial" w:cs="Arial" w:eastAsia="Arial" w:hAnsi="Arial"/>
          <w:sz w:val="18"/>
          <w:szCs w:val="18"/>
          <w:color w:val="auto"/>
        </w:rPr>
        <w:t xml:space="preserve"> in its entirety in accordance with its terms.</w:t>
      </w:r>
    </w:p>
    <w:p>
      <w:pPr>
        <w:spacing w:after="0" w:line="134" w:lineRule="exact"/>
        <w:rPr>
          <w:rFonts w:ascii="Arial" w:cs="Arial" w:eastAsia="Arial" w:hAnsi="Arial"/>
          <w:sz w:val="19"/>
          <w:szCs w:val="19"/>
          <w:color w:val="auto"/>
        </w:rPr>
      </w:pPr>
    </w:p>
    <w:p>
      <w:pPr>
        <w:ind w:left="1060" w:hanging="404"/>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For clarity, (i) subject to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the consents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satisfy any requirement to obtain the</w:t>
      </w:r>
    </w:p>
    <w:p>
      <w:pPr>
        <w:spacing w:after="0" w:line="76" w:lineRule="exact"/>
        <w:rPr>
          <w:rFonts w:ascii="Arial" w:cs="Arial" w:eastAsia="Arial" w:hAnsi="Arial"/>
          <w:sz w:val="18"/>
          <w:szCs w:val="18"/>
          <w:color w:val="auto"/>
        </w:rPr>
      </w:pPr>
    </w:p>
    <w:p>
      <w:pPr>
        <w:ind w:right="40"/>
        <w:spacing w:after="0" w:line="338" w:lineRule="auto"/>
        <w:rPr>
          <w:rFonts w:ascii="Arial" w:cs="Arial" w:eastAsia="Arial" w:hAnsi="Arial"/>
          <w:sz w:val="18"/>
          <w:szCs w:val="18"/>
          <w:color w:val="auto"/>
        </w:rPr>
      </w:pPr>
      <w:r>
        <w:rPr>
          <w:rFonts w:ascii="Arial" w:cs="Arial" w:eastAsia="Arial" w:hAnsi="Arial"/>
          <w:sz w:val="18"/>
          <w:szCs w:val="18"/>
          <w:color w:val="auto"/>
        </w:rPr>
        <w:t xml:space="preserve">consent of SanDisk or any of its Affiliates pursuant to any Existing Agreement with respect to the matters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(ii) the consents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3.2(b)</w:t>
      </w:r>
      <w:r>
        <w:rPr>
          <w:rFonts w:ascii="Arial" w:cs="Arial" w:eastAsia="Arial" w:hAnsi="Arial"/>
          <w:sz w:val="18"/>
          <w:szCs w:val="18"/>
          <w:color w:val="auto"/>
        </w:rPr>
        <w:t>, with respect to a Transfer or issuance of Equity Interests in TMC, Pangea or any entity Controlling TMC or Pangea shall include consent with respect to any resulting indirect Transfer of TMC’s JV Rights.</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Transfer Restrictions</w:t>
      </w:r>
      <w:r>
        <w:rPr>
          <w:rFonts w:ascii="Arial" w:cs="Arial" w:eastAsia="Arial" w:hAnsi="Arial"/>
          <w:sz w:val="18"/>
          <w:szCs w:val="18"/>
          <w:color w:val="auto"/>
        </w:rPr>
        <w:t>. Notwithstanding anything to the contrary in</w:t>
      </w:r>
      <w:r>
        <w:rPr>
          <w:rFonts w:ascii="Arial" w:cs="Arial" w:eastAsia="Arial" w:hAnsi="Arial"/>
          <w:sz w:val="18"/>
          <w:szCs w:val="18"/>
          <w:u w:val="single" w:color="auto"/>
          <w:color w:val="auto"/>
        </w:rPr>
        <w:t xml:space="preserve"> Section 3.1(a)</w:t>
      </w:r>
      <w:r>
        <w:rPr>
          <w:rFonts w:ascii="Arial" w:cs="Arial" w:eastAsia="Arial" w:hAnsi="Arial"/>
          <w:sz w:val="18"/>
          <w:szCs w:val="18"/>
          <w:color w:val="auto"/>
        </w:rPr>
        <w:t>, solely during the Initial Restricted Period and any</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Subsequent Restricted Period, but not during any other period:</w:t>
      </w:r>
    </w:p>
    <w:p>
      <w:pPr>
        <w:spacing w:after="0" w:line="216" w:lineRule="exact"/>
        <w:rPr>
          <w:sz w:val="20"/>
          <w:szCs w:val="20"/>
          <w:color w:val="auto"/>
        </w:rPr>
      </w:pPr>
    </w:p>
    <w:p>
      <w:pPr>
        <w:ind w:right="720" w:firstLine="656"/>
        <w:spacing w:after="0" w:line="317" w:lineRule="auto"/>
        <w:tabs>
          <w:tab w:leader="none" w:pos="1048" w:val="left"/>
        </w:tabs>
        <w:numPr>
          <w:ilvl w:val="1"/>
          <w:numId w:val="222"/>
        </w:numPr>
        <w:rPr>
          <w:rFonts w:ascii="Arial" w:cs="Arial" w:eastAsia="Arial" w:hAnsi="Arial"/>
          <w:sz w:val="20"/>
          <w:szCs w:val="20"/>
          <w:color w:val="auto"/>
        </w:rPr>
      </w:pPr>
      <w:r>
        <w:rPr>
          <w:rFonts w:ascii="Arial" w:cs="Arial" w:eastAsia="Arial" w:hAnsi="Arial"/>
          <w:sz w:val="20"/>
          <w:szCs w:val="20"/>
          <w:color w:val="auto"/>
        </w:rPr>
        <w:t>WD’s separate prior written consent shall be required for each of the following unless and until there is a closing of a WD Competitor CoC:</w:t>
      </w:r>
    </w:p>
    <w:p>
      <w:pPr>
        <w:spacing w:after="0" w:line="121" w:lineRule="exact"/>
        <w:rPr>
          <w:rFonts w:ascii="Arial" w:cs="Arial" w:eastAsia="Arial" w:hAnsi="Arial"/>
          <w:sz w:val="20"/>
          <w:szCs w:val="20"/>
          <w:color w:val="auto"/>
        </w:rPr>
      </w:pPr>
    </w:p>
    <w:p>
      <w:pPr>
        <w:ind w:left="1700" w:hanging="395"/>
        <w:spacing w:after="0"/>
        <w:tabs>
          <w:tab w:leader="none" w:pos="1700" w:val="left"/>
        </w:tabs>
        <w:numPr>
          <w:ilvl w:val="2"/>
          <w:numId w:val="222"/>
        </w:numPr>
        <w:rPr>
          <w:rFonts w:ascii="Arial" w:cs="Arial" w:eastAsia="Arial" w:hAnsi="Arial"/>
          <w:sz w:val="18"/>
          <w:szCs w:val="18"/>
          <w:color w:val="auto"/>
        </w:rPr>
      </w:pPr>
      <w:r>
        <w:rPr>
          <w:rFonts w:ascii="Arial" w:cs="Arial" w:eastAsia="Arial" w:hAnsi="Arial"/>
          <w:sz w:val="18"/>
          <w:szCs w:val="18"/>
          <w:color w:val="auto"/>
        </w:rPr>
        <w:t>any issuance or granting by TMC, Pangea or an Investment Vehicle of Equity Interests in, or the power to direct the voting</w:t>
      </w:r>
    </w:p>
    <w:p>
      <w:pPr>
        <w:spacing w:after="0" w:line="76" w:lineRule="exact"/>
        <w:rPr>
          <w:rFonts w:ascii="Arial" w:cs="Arial" w:eastAsia="Arial" w:hAnsi="Arial"/>
          <w:sz w:val="18"/>
          <w:szCs w:val="18"/>
          <w:color w:val="auto"/>
        </w:rPr>
      </w:pPr>
    </w:p>
    <w:p>
      <w:pPr>
        <w:ind w:right="20"/>
        <w:spacing w:after="0" w:line="285" w:lineRule="auto"/>
        <w:rPr>
          <w:rFonts w:ascii="Arial" w:cs="Arial" w:eastAsia="Arial" w:hAnsi="Arial"/>
          <w:sz w:val="18"/>
          <w:szCs w:val="18"/>
          <w:color w:val="auto"/>
        </w:rPr>
      </w:pPr>
      <w:r>
        <w:rPr>
          <w:rFonts w:ascii="Arial" w:cs="Arial" w:eastAsia="Arial" w:hAnsi="Arial"/>
          <w:sz w:val="20"/>
          <w:szCs w:val="20"/>
          <w:color w:val="auto"/>
        </w:rPr>
        <w:t>or Control of, TMC, Pangea or any of their respective Subsidiaries, in either case to a Competitor, other than (A) an issuance of passive Equity Interests (including limited partnership economic rights) in an Investment Vehicle, or Equity Interests in TMC or Pangea to **** with the proceeds of any such issuance ultimately being used solely in the business or operations of TMC (following a bona fide good faith determination by the board of directors of Pangea that such issuance helps to satisfy TMC’s liquidity needs and is otherwise in the best interests of TMC as compared to other sources of financing reasonably available to TMC or Pangea); provided, that, after giving effect to any such issuance, **** does not (y) hold or own, directly or indirectly, (other than through a passive investment in an Investment Vehicle) Equity Interests in TMC or Pangea in excess of 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right="120" w:firstLine="8"/>
        <w:spacing w:after="0" w:line="275" w:lineRule="auto"/>
        <w:tabs>
          <w:tab w:leader="none" w:pos="36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6" w:right="239" w:bottom="1440" w:gutter="0" w:footer="0" w:header="0"/>
        </w:sectPr>
      </w:pPr>
    </w:p>
    <w:bookmarkStart w:id="202" w:name="page203"/>
    <w:bookmarkEnd w:id="202"/>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color w:val="auto"/>
        </w:rPr>
        <w:t>amount equal to **** of, plus an amount equal to the **** of, the total Equity Interests in TMC or Pangea on a fully diluted and as-converted basis or (z) hold or own, directly or indirectly, or have the right to acquire, any voting or Control rights in, TMC, Pangea or any of their respective Subsidiaries in excess of an amount equal to **** of, plus an amount equal to the **** of, the total voting rights in TMC or Pangea on an as-converted basis, (B) an issuance of Equity Interests in TMC, Pangea or any Investment Vehicle or any of their respective Subsidiaries to TSB or any of its wholly-owned Subsidiaries, in each case, acting solely for its own account and not on behalf of, or for the account of, any other Competitor, with the proceeds of any such issuance ultimately being used solely in the business or operations of TMC; provided that none of TSB nor its Affiliates has any agreement providing any Competitor with the right to vote or acquire such Equity Interests; provided, further that, after giving effect to any such issuance, TSB and its Affiliates collectively do not hold or own, or have the right to acquire, Equity Interests or voting rights in TMC or Pangea in an amount that would constitute, or result in, a Change of Control of TMC, Pangea or any of their respective Subsidiaries or (C) following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closing of the TMC Sale (in the case of the Initial Restricted Period) or a Subsequent Bain Transaction (in the case of a Subsequent Restricted Period), an issuance of Equity Interests in TMC or Pangea, to</w:t>
      </w:r>
    </w:p>
    <w:p>
      <w:pPr>
        <w:spacing w:after="0" w:line="5" w:lineRule="exact"/>
        <w:rPr>
          <w:sz w:val="20"/>
          <w:szCs w:val="20"/>
          <w:color w:val="auto"/>
        </w:rPr>
      </w:pPr>
    </w:p>
    <w:p>
      <w:pPr>
        <w:ind w:right="20" w:firstLine="8"/>
        <w:spacing w:after="0" w:line="325" w:lineRule="auto"/>
        <w:tabs>
          <w:tab w:leader="none" w:pos="44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or any of its Affiliates in amount up to ****, in the aggregate, of the total Equity Interests in TMC or Pangea on a fully diluted and as-converted basis solely in connection and simultaneous with a bona fide primary sale of Equity Interests in TMC or Pangea to multiple purchasers in addition to **** or its Affiliates, with the proceeds of any such issuance ultimately being used solely in the business or operations of TMC (following a bona fide good faith determination by the board of directors of Pangea that such issuance helps to satisfy TMC’s liquidity needs and is otherwise in the best interests of TMC as compared to other sources of financing reasonably available to TMC or Pangea);</w:t>
      </w:r>
    </w:p>
    <w:p>
      <w:pPr>
        <w:spacing w:after="0" w:line="124" w:lineRule="exact"/>
        <w:rPr>
          <w:rFonts w:ascii="Arial" w:cs="Arial" w:eastAsia="Arial" w:hAnsi="Arial"/>
          <w:sz w:val="18"/>
          <w:szCs w:val="18"/>
          <w:color w:val="auto"/>
        </w:rPr>
      </w:pPr>
    </w:p>
    <w:p>
      <w:pPr>
        <w:ind w:left="1720" w:hanging="415"/>
        <w:spacing w:after="0"/>
        <w:tabs>
          <w:tab w:leader="none" w:pos="172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any repurchase of direct or indirect Equity Interests by TMC or Pangea, or any recapitalization or similar transaction</w:t>
      </w:r>
    </w:p>
    <w:p>
      <w:pPr>
        <w:spacing w:after="0" w:line="65" w:lineRule="exact"/>
        <w:rPr>
          <w:rFonts w:ascii="Arial" w:cs="Arial" w:eastAsia="Arial" w:hAnsi="Arial"/>
          <w:sz w:val="19"/>
          <w:szCs w:val="19"/>
          <w:color w:val="auto"/>
        </w:rPr>
      </w:pPr>
    </w:p>
    <w:p>
      <w:pPr>
        <w:ind w:right="20"/>
        <w:spacing w:after="0" w:line="318" w:lineRule="auto"/>
        <w:rPr>
          <w:rFonts w:ascii="Arial" w:cs="Arial" w:eastAsia="Arial" w:hAnsi="Arial"/>
          <w:sz w:val="19"/>
          <w:szCs w:val="19"/>
          <w:color w:val="auto"/>
        </w:rPr>
      </w:pPr>
      <w:r>
        <w:rPr>
          <w:rFonts w:ascii="Arial" w:cs="Arial" w:eastAsia="Arial" w:hAnsi="Arial"/>
          <w:sz w:val="18"/>
          <w:szCs w:val="18"/>
          <w:color w:val="auto"/>
        </w:rPr>
        <w:t>involving a member of the TMC Group, to the extent that any such repurchase, recapitalization or similar transaction, together with all previous repurchases, recapitalizations, or similar transactions, would result in **** (y) holding or owning, directly or indirectly, (other than through a passive investment in an Investment Vehicle) Equity Interests in TMC, Pangea or any of their respective Subsidiaries, other than Equity Interests in TMC or Pangea not in excess of an amount equal to **** of, plus an amount equal to the **** of, the total Equity Interests in TMC or Pangea on a fully diluted and as-converted basis or (z) holding or owning, directly or indirectly, or having the right to acquire, any voting rights in TMC or any of its Subsidiaries, other than voting rights in TMC or Pangea not in excess of an amount equal to **** of, plus an amount equal to the **** of, the total voting rights in TMC or Pangea on an as-converted basis, in each case, unless **** holds or owns, directly or indirectly, or has the right to acquire, voting rights or Equity Interests in TMC or Pangea in an amount in excess of such threshold at the time of the repurchase, recapitalization or similar transaction, in which case such transaction shall not be permitted unless it does not result in any increase in the percentage of voting rights or Equity Interests of **** and its Affiliates collectively in TMC or Pangea, as applicable; or</w:t>
      </w:r>
    </w:p>
    <w:p>
      <w:pPr>
        <w:spacing w:after="0" w:line="134" w:lineRule="exact"/>
        <w:rPr>
          <w:rFonts w:ascii="Arial" w:cs="Arial" w:eastAsia="Arial" w:hAnsi="Arial"/>
          <w:sz w:val="19"/>
          <w:szCs w:val="19"/>
          <w:color w:val="auto"/>
        </w:rPr>
      </w:pPr>
    </w:p>
    <w:p>
      <w:pPr>
        <w:ind w:left="1780" w:hanging="475"/>
        <w:spacing w:after="0"/>
        <w:tabs>
          <w:tab w:leader="none" w:pos="17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Transfer by TSB, Bain Capital or any of their respective Affiliates, or any consent by TSB, Bain Capital or any of</w:t>
      </w:r>
    </w:p>
    <w:p>
      <w:pPr>
        <w:spacing w:after="0" w:line="76" w:lineRule="exact"/>
        <w:rPr>
          <w:rFonts w:ascii="Arial" w:cs="Arial" w:eastAsia="Arial" w:hAnsi="Arial"/>
          <w:sz w:val="18"/>
          <w:szCs w:val="18"/>
          <w:color w:val="auto"/>
        </w:rPr>
      </w:pPr>
    </w:p>
    <w:p>
      <w:pPr>
        <w:ind w:right="260"/>
        <w:spacing w:after="0" w:line="303" w:lineRule="auto"/>
        <w:rPr>
          <w:rFonts w:ascii="Arial" w:cs="Arial" w:eastAsia="Arial" w:hAnsi="Arial"/>
          <w:sz w:val="18"/>
          <w:szCs w:val="18"/>
          <w:color w:val="auto"/>
        </w:rPr>
      </w:pPr>
      <w:r>
        <w:rPr>
          <w:rFonts w:ascii="Arial" w:cs="Arial" w:eastAsia="Arial" w:hAnsi="Arial"/>
          <w:sz w:val="20"/>
          <w:szCs w:val="20"/>
          <w:color w:val="auto"/>
        </w:rPr>
        <w:t>their respective Affiliates, to the Transfer (whether by amendment, waiver, consent, modification or other action, with respect to or under the Pangea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380" w:hanging="372"/>
        <w:spacing w:after="0"/>
        <w:tabs>
          <w:tab w:leader="none" w:pos="38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Indicates that certain information contained herein has been omitted and filed separately with the Securities and Exchange Commission. Confidential treatment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requested with respect to the omitted portions.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6" w:right="239" w:bottom="1440" w:gutter="0" w:footer="0" w:header="0"/>
        </w:sectPr>
      </w:pPr>
    </w:p>
    <w:bookmarkStart w:id="203" w:name="page204"/>
    <w:bookmarkEnd w:id="203"/>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 xml:space="preserve">Shareholders Agreement (or any shareholder agreement in respect of a Subsequent Bain Transaction), the governance documents of any Bain Capital entity, or otherwise), by any other Person of, any Equity Interests or voting rights in TMC, Pangea or any of their respective Subsidiaries to a Competitor, other than (A) a Transfer by Bain Capital of Equity Interests or voting rights in Pangea or TMC to **** only to the extent such Transfer is made simultaneously with (1) a bona fide primary sale of securities by TMC or Pangea to **** permitted under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as determined by the board of directors of Pangea in good faith, or (2) the initial public offering of TMC, Pangea or any entity Controlling TMC or Pangea; provided that (y) in no event may Bain Capital Transfer to **** pursuant to this </w:t>
      </w:r>
      <w:r>
        <w:rPr>
          <w:rFonts w:ascii="Arial" w:cs="Arial" w:eastAsia="Arial" w:hAnsi="Arial"/>
          <w:sz w:val="18"/>
          <w:szCs w:val="18"/>
          <w:u w:val="single" w:color="auto"/>
          <w:color w:val="auto"/>
        </w:rPr>
        <w:t>Section 3.2(a)(iii)</w:t>
      </w:r>
      <w:r>
        <w:rPr>
          <w:rFonts w:ascii="Arial" w:cs="Arial" w:eastAsia="Arial" w:hAnsi="Arial"/>
          <w:sz w:val="18"/>
          <w:szCs w:val="18"/>
          <w:color w:val="auto"/>
        </w:rPr>
        <w:t xml:space="preserve"> Equity Interests or voting rights that exceed **** of the Equity Interests or voting rights in TMC or Pangea, as applicable, in the aggregate (taken together with all Transfers by Bain Capital to ****); and (z) after giving effect to any such primary sale and Transfer, **** does not (1) hold or own, directly or indirectly, (other than through a passive investment in an Investment Vehicle) Equity Interests in TMC or Pangea in excess of an amount equal to **** (in the case of a Transfer to **** pursuant to </w:t>
      </w:r>
      <w:r>
        <w:rPr>
          <w:rFonts w:ascii="Arial" w:cs="Arial" w:eastAsia="Arial" w:hAnsi="Arial"/>
          <w:sz w:val="18"/>
          <w:szCs w:val="18"/>
          <w:u w:val="single" w:color="auto"/>
          <w:color w:val="auto"/>
        </w:rPr>
        <w:t>Section 3.2(a)(iii)(A)(1</w:t>
      </w:r>
      <w:r>
        <w:rPr>
          <w:rFonts w:ascii="Arial" w:cs="Arial" w:eastAsia="Arial" w:hAnsi="Arial"/>
          <w:sz w:val="18"/>
          <w:szCs w:val="18"/>
          <w:color w:val="auto"/>
        </w:rPr>
        <w:t xml:space="preserve">)) of, and **** (in the case of a Transfer to **** pursuant to </w:t>
      </w:r>
      <w:r>
        <w:rPr>
          <w:rFonts w:ascii="Arial" w:cs="Arial" w:eastAsia="Arial" w:hAnsi="Arial"/>
          <w:sz w:val="18"/>
          <w:szCs w:val="18"/>
          <w:u w:val="single" w:color="auto"/>
          <w:color w:val="auto"/>
        </w:rPr>
        <w:t>Section 3.2(a)(iii)(A)(2))</w:t>
      </w:r>
      <w:r>
        <w:rPr>
          <w:rFonts w:ascii="Arial" w:cs="Arial" w:eastAsia="Arial" w:hAnsi="Arial"/>
          <w:sz w:val="18"/>
          <w:szCs w:val="18"/>
          <w:color w:val="auto"/>
        </w:rPr>
        <w:t xml:space="preserve"> of, in either case, plus an amount equal to the **** of, the total Equity Interests in TMC or Pangea on a fully diluted and as-converted basis or (2) hold or own, directly or indirectly, or have the right to acquire, any voting or Control rights in TMC or any of its Subsidiaries in excess of an amount equal to **** of, plus an amount equal to the **** of, the total voting rights in TMC or Pangea on an as-converted basis; and (B) following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closing of the TMC Sale (in the case of the Initial Restricted Period) or a Subsequent Bain Transaction (in the case of the Subsequent Restricted Period), a Transfer of Equity Interests or voting rights in Pangea, TMC, or any entity Controlling TMC or Pangea by Bain Capital to **** or any of its Affiliates in an amount up to the ****, in the aggregate, of the total Equity Interests in TMC or Pangea on a fully diluted and as converted basis; or</w:t>
      </w:r>
    </w:p>
    <w:p>
      <w:pPr>
        <w:spacing w:after="0" w:line="148" w:lineRule="exact"/>
        <w:rPr>
          <w:sz w:val="20"/>
          <w:szCs w:val="20"/>
          <w:color w:val="auto"/>
        </w:rPr>
      </w:pPr>
    </w:p>
    <w:p>
      <w:pPr>
        <w:ind w:right="480" w:firstLine="1305"/>
        <w:spacing w:after="0" w:line="317" w:lineRule="auto"/>
        <w:tabs>
          <w:tab w:leader="none" w:pos="1762"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 transaction constituting a Change of Control of TMC, Pangea or any of their respective Subsidiaries that results in Control of TMC, Pangea or any of their Subsidiaries by a Competitor.</w:t>
      </w:r>
    </w:p>
    <w:p>
      <w:pPr>
        <w:spacing w:after="0" w:line="121" w:lineRule="exact"/>
        <w:rPr>
          <w:rFonts w:ascii="Arial" w:cs="Arial" w:eastAsia="Arial" w:hAnsi="Arial"/>
          <w:sz w:val="20"/>
          <w:szCs w:val="20"/>
          <w:color w:val="auto"/>
        </w:rPr>
      </w:pPr>
    </w:p>
    <w:p>
      <w:pPr>
        <w:ind w:left="1060" w:hanging="404"/>
        <w:spacing w:after="0"/>
        <w:tabs>
          <w:tab w:leader="none" w:pos="10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   Notwithstanding anything herein to the contrary, in no event shall the Parties permit (A) any of ****, **** or **** to own</w:t>
      </w:r>
    </w:p>
    <w:p>
      <w:pPr>
        <w:spacing w:after="0" w:line="65" w:lineRule="exact"/>
        <w:rPr>
          <w:rFonts w:ascii="Arial" w:cs="Arial" w:eastAsia="Arial" w:hAnsi="Arial"/>
          <w:sz w:val="19"/>
          <w:szCs w:val="19"/>
          <w:color w:val="auto"/>
        </w:rPr>
      </w:pPr>
    </w:p>
    <w:p>
      <w:pPr>
        <w:ind w:right="40"/>
        <w:spacing w:after="0" w:line="288" w:lineRule="auto"/>
        <w:rPr>
          <w:rFonts w:ascii="Arial" w:cs="Arial" w:eastAsia="Arial" w:hAnsi="Arial"/>
          <w:sz w:val="19"/>
          <w:szCs w:val="19"/>
          <w:color w:val="auto"/>
        </w:rPr>
      </w:pPr>
      <w:r>
        <w:rPr>
          <w:rFonts w:ascii="Arial" w:cs="Arial" w:eastAsia="Arial" w:hAnsi="Arial"/>
          <w:sz w:val="20"/>
          <w:szCs w:val="20"/>
          <w:color w:val="auto"/>
        </w:rPr>
        <w:t>or hold, or have the right to acquire, any Equity Interests or voting rights in TMC if any of ****, **** or **** own or hold, or have the right to acquire, any Equity Interests or voting rights in Pangea and (B) any of ****, **** or **** be permitted to own or hold, or have the right to acquire, any Equity Interests or voting rights in Pangea if any of ****, **** or **** own or hold, or have the right to acquire, any Equity Interests or voting rights in TMC.</w:t>
      </w:r>
    </w:p>
    <w:p>
      <w:pPr>
        <w:spacing w:after="0" w:line="152" w:lineRule="exact"/>
        <w:rPr>
          <w:rFonts w:ascii="Arial" w:cs="Arial" w:eastAsia="Arial" w:hAnsi="Arial"/>
          <w:sz w:val="19"/>
          <w:szCs w:val="19"/>
          <w:color w:val="auto"/>
        </w:rPr>
      </w:pPr>
    </w:p>
    <w:p>
      <w:pPr>
        <w:ind w:right="80" w:firstLine="1305"/>
        <w:spacing w:after="0" w:line="302" w:lineRule="auto"/>
        <w:tabs>
          <w:tab w:leader="none" w:pos="1725"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As a condition to any Transfer or issuance of Equity Interests or voting rights in TMC, Pangea or an Investment Vehicle, the transferor (or issuer) shall, and TMC shall cause any Subsidiary that is a transferor or issuer to, cause any Transferee to enter into an agreement with TMC or Pangea, as applicable, that requires such Transferee, subject to the other provisions of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to comply with the restrictions on Transfer set forth herein, and other provisions provided in </w:t>
      </w:r>
      <w:r>
        <w:rPr>
          <w:rFonts w:ascii="Arial" w:cs="Arial" w:eastAsia="Arial" w:hAnsi="Arial"/>
          <w:sz w:val="19"/>
          <w:szCs w:val="19"/>
          <w:u w:val="single" w:color="auto"/>
          <w:color w:val="auto"/>
        </w:rPr>
        <w:t>Sections 3.2(a)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3.2(b)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Transfer Restrictions</w:t>
      </w:r>
      <w:r>
        <w:rPr>
          <w:rFonts w:ascii="Arial" w:cs="Arial" w:eastAsia="Arial" w:hAnsi="Arial"/>
          <w:sz w:val="19"/>
          <w:szCs w:val="19"/>
          <w:color w:val="auto"/>
        </w:rPr>
        <w:t>”), which agreement shall provide that WD and SanDisk are intended third-party beneficiaries of the Transferee’s obligation to abide by the Transfer Restrictions with direct rights of enforcement against such Transferee, provided that after the Transferee enters into an agreement with TMC to accede to the Transfer Restrictions, the transferring shareholder will not have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120" w:firstLine="8"/>
        <w:spacing w:after="0" w:line="275" w:lineRule="auto"/>
        <w:tabs>
          <w:tab w:leader="none" w:pos="3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6" w:right="239" w:bottom="1440" w:gutter="0" w:footer="0" w:header="0"/>
        </w:sectPr>
      </w:pPr>
    </w:p>
    <w:bookmarkStart w:id="204" w:name="page205"/>
    <w:bookmarkEnd w:id="20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obligation or liability relating to, arising out of, or in connection with a Transferee’s failure to comply with the Transfer Restrictions and TMC or Pangea, as applicable, shall provide WD a copy of such agreement upon execution thereof.</w:t>
      </w:r>
    </w:p>
    <w:p>
      <w:pPr>
        <w:spacing w:after="0" w:line="135" w:lineRule="exact"/>
        <w:rPr>
          <w:sz w:val="20"/>
          <w:szCs w:val="20"/>
          <w:color w:val="auto"/>
        </w:rPr>
      </w:pPr>
    </w:p>
    <w:p>
      <w:pPr>
        <w:ind w:firstLine="656"/>
        <w:spacing w:after="0" w:line="317" w:lineRule="auto"/>
        <w:tabs>
          <w:tab w:leader="none" w:pos="1048"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3.2</w:t>
      </w:r>
      <w:r>
        <w:rPr>
          <w:rFonts w:ascii="Arial" w:cs="Arial" w:eastAsia="Arial" w:hAnsi="Arial"/>
          <w:sz w:val="20"/>
          <w:szCs w:val="20"/>
          <w:color w:val="auto"/>
        </w:rPr>
        <w:t>, any reference to a “Subsidiary” shall only include a Subsidiary that, directly or indirectly, holds, owns or Controls JV Rights.</w:t>
      </w:r>
    </w:p>
    <w:p>
      <w:pPr>
        <w:spacing w:after="0" w:line="121" w:lineRule="exact"/>
        <w:rPr>
          <w:rFonts w:ascii="Arial" w:cs="Arial" w:eastAsia="Arial" w:hAnsi="Arial"/>
          <w:sz w:val="20"/>
          <w:szCs w:val="20"/>
          <w:color w:val="auto"/>
        </w:rPr>
      </w:pPr>
    </w:p>
    <w:p>
      <w:pPr>
        <w:ind w:left="1060" w:hanging="404"/>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the consummation of an initial public offering of TMC or Pangea or any entity Controlling TMC or Pangea or, if required</w:t>
      </w:r>
    </w:p>
    <w:p>
      <w:pPr>
        <w:spacing w:after="0" w:line="76" w:lineRule="exact"/>
        <w:rPr>
          <w:rFonts w:ascii="Arial" w:cs="Arial" w:eastAsia="Arial" w:hAnsi="Arial"/>
          <w:sz w:val="18"/>
          <w:szCs w:val="18"/>
          <w:color w:val="auto"/>
        </w:rPr>
      </w:pPr>
    </w:p>
    <w:p>
      <w:pPr>
        <w:ind w:right="40"/>
        <w:spacing w:after="0" w:line="286" w:lineRule="auto"/>
        <w:rPr>
          <w:rFonts w:ascii="Arial" w:cs="Arial" w:eastAsia="Arial" w:hAnsi="Arial"/>
          <w:sz w:val="18"/>
          <w:szCs w:val="18"/>
          <w:color w:val="auto"/>
        </w:rPr>
      </w:pPr>
      <w:r>
        <w:rPr>
          <w:rFonts w:ascii="Arial" w:cs="Arial" w:eastAsia="Arial" w:hAnsi="Arial"/>
          <w:sz w:val="20"/>
          <w:szCs w:val="20"/>
          <w:color w:val="auto"/>
        </w:rPr>
        <w:t xml:space="preserve">by the applicable Qualified Exchange, not more than thirty (30) days prior to the anticipated consummation of such initial public offering on a Qualified Exchange, the Parties agree that the terms of this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will be deemed amended to the limited extent necessary for the issuer to comply with the listing requirements imposed by such Qualified Exchange on such issuer and in a manner that preserves the Transfer Restrictions hereunder to the maximum extent permissible; provided, that if an initial public offering is not consummated within forty five (45) days following the date on which the Transfer Restrictions were deemed modified, the Transfer Restrictions shall be deemed reinstated retroactively to the date of such deemed modification.</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the restrictions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have no</w:t>
      </w:r>
    </w:p>
    <w:p>
      <w:pPr>
        <w:spacing w:after="0" w:line="76" w:lineRule="exact"/>
        <w:rPr>
          <w:rFonts w:ascii="Arial" w:cs="Arial" w:eastAsia="Arial" w:hAnsi="Arial"/>
          <w:sz w:val="18"/>
          <w:szCs w:val="18"/>
          <w:color w:val="auto"/>
        </w:rPr>
      </w:pPr>
    </w:p>
    <w:p>
      <w:pPr>
        <w:ind w:right="80"/>
        <w:spacing w:after="0" w:line="363" w:lineRule="auto"/>
        <w:rPr>
          <w:rFonts w:ascii="Arial" w:cs="Arial" w:eastAsia="Arial" w:hAnsi="Arial"/>
          <w:sz w:val="18"/>
          <w:szCs w:val="18"/>
          <w:color w:val="auto"/>
        </w:rPr>
      </w:pPr>
      <w:r>
        <w:rPr>
          <w:rFonts w:ascii="Arial" w:cs="Arial" w:eastAsia="Arial" w:hAnsi="Arial"/>
          <w:sz w:val="18"/>
          <w:szCs w:val="18"/>
          <w:color w:val="auto"/>
        </w:rPr>
        <w:t xml:space="preserve">force or effect following the termination of the SPA; provided, however, that if a Subsequent Bain Transaction is consummated, the restrictions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apply during the Subsequent Restricted Period applicable to such Subsequent Bain Transaction.</w:t>
      </w:r>
    </w:p>
    <w:p>
      <w:pPr>
        <w:spacing w:after="0" w:line="9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TSB and TMC Consents</w:t>
      </w:r>
      <w:r>
        <w:rPr>
          <w:rFonts w:ascii="Arial" w:cs="Arial" w:eastAsia="Arial" w:hAnsi="Arial"/>
          <w:sz w:val="16"/>
          <w:szCs w:val="16"/>
          <w:color w:val="auto"/>
        </w:rPr>
        <w:t>. TSB and TMC each hereby irrevocably consents to, and shall cause its Subsidiaries to irrevocably consent to:</w:t>
      </w:r>
    </w:p>
    <w:p>
      <w:pPr>
        <w:spacing w:after="0" w:line="229" w:lineRule="exact"/>
        <w:rPr>
          <w:sz w:val="20"/>
          <w:szCs w:val="20"/>
          <w:color w:val="auto"/>
        </w:rPr>
      </w:pPr>
    </w:p>
    <w:p>
      <w:pPr>
        <w:ind w:left="1060" w:hanging="404"/>
        <w:spacing w:after="0"/>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granting of any first priority Lien to a third party senior lender to secure indebtedness covering or securing (i) any assets of</w:t>
      </w:r>
    </w:p>
    <w:p>
      <w:pPr>
        <w:spacing w:after="0" w:line="76" w:lineRule="exact"/>
        <w:rPr>
          <w:rFonts w:ascii="Arial" w:cs="Arial" w:eastAsia="Arial" w:hAnsi="Arial"/>
          <w:sz w:val="18"/>
          <w:szCs w:val="18"/>
          <w:color w:val="auto"/>
        </w:rPr>
      </w:pPr>
    </w:p>
    <w:p>
      <w:pPr>
        <w:ind w:right="20"/>
        <w:spacing w:after="0" w:line="284" w:lineRule="auto"/>
        <w:rPr>
          <w:rFonts w:ascii="Arial" w:cs="Arial" w:eastAsia="Arial" w:hAnsi="Arial"/>
          <w:sz w:val="18"/>
          <w:szCs w:val="18"/>
          <w:color w:val="auto"/>
        </w:rPr>
      </w:pPr>
      <w:r>
        <w:rPr>
          <w:rFonts w:ascii="Arial" w:cs="Arial" w:eastAsia="Arial" w:hAnsi="Arial"/>
          <w:sz w:val="20"/>
          <w:szCs w:val="20"/>
          <w:color w:val="auto"/>
        </w:rPr>
        <w:t xml:space="preserve">WD (other than the JV Shares), (ii) any Equity Interests in or any assets of any of its Subsidiaries (other than the JV Shares), regardless of whether WD or such Subsidiaries owns any JV Shares or is a party to any Existing Agreement and (iii) solely in connection with a pledge of a material portion of those assets of WD and its Subsidiaries that are not Collaboration Assets, if any, the JV Shares; provided, that no such lender may enforce any Lien securing such indebtedness that would result in a direct or indirect Transfer of JV Shares unless, after giving effect to such enforcement action, a single Person, together with such Person’s Subsidiaries, holds or owns all Collaboration Assets held or owned by WD and its Subsidiaries, as of immediately prior to such enforcement; provided further, that no such Lien may be granted on or with respect to JV Rights (other than the JV Shares (pursuant to this </w:t>
      </w:r>
      <w:r>
        <w:rPr>
          <w:rFonts w:ascii="Arial" w:cs="Arial" w:eastAsia="Arial" w:hAnsi="Arial"/>
          <w:sz w:val="20"/>
          <w:szCs w:val="20"/>
          <w:u w:val="single" w:color="auto"/>
          <w:color w:val="auto"/>
        </w:rPr>
        <w:t>Section 3.3(a)</w:t>
      </w:r>
      <w:r>
        <w:rPr>
          <w:rFonts w:ascii="Arial" w:cs="Arial" w:eastAsia="Arial" w:hAnsi="Arial"/>
          <w:sz w:val="20"/>
          <w:szCs w:val="20"/>
          <w:color w:val="auto"/>
        </w:rPr>
        <w:t>) held by WD or its Subsidiaries) or the assets, property or rights of the JVs; and</w:t>
      </w:r>
    </w:p>
    <w:p>
      <w:pPr>
        <w:spacing w:after="0" w:line="159" w:lineRule="exact"/>
        <w:rPr>
          <w:rFonts w:ascii="Arial" w:cs="Arial" w:eastAsia="Arial" w:hAnsi="Arial"/>
          <w:sz w:val="18"/>
          <w:szCs w:val="18"/>
          <w:color w:val="auto"/>
        </w:rPr>
      </w:pPr>
    </w:p>
    <w:p>
      <w:pPr>
        <w:ind w:left="1060" w:hanging="404"/>
        <w:spacing w:after="0"/>
        <w:tabs>
          <w:tab w:leader="none" w:pos="10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avoidance of doubt and without imposing or implying any additional obligations under any Existing Agreement or any</w:t>
      </w:r>
    </w:p>
    <w:p>
      <w:pPr>
        <w:spacing w:after="0" w:line="76" w:lineRule="exact"/>
        <w:rPr>
          <w:rFonts w:ascii="Arial" w:cs="Arial" w:eastAsia="Arial" w:hAnsi="Arial"/>
          <w:sz w:val="18"/>
          <w:szCs w:val="18"/>
          <w:color w:val="auto"/>
        </w:rPr>
      </w:pPr>
    </w:p>
    <w:p>
      <w:pPr>
        <w:ind w:right="200"/>
        <w:spacing w:after="0" w:line="303" w:lineRule="auto"/>
        <w:rPr>
          <w:rFonts w:ascii="Arial" w:cs="Arial" w:eastAsia="Arial" w:hAnsi="Arial"/>
          <w:sz w:val="18"/>
          <w:szCs w:val="18"/>
          <w:color w:val="auto"/>
        </w:rPr>
      </w:pPr>
      <w:r>
        <w:rPr>
          <w:rFonts w:ascii="Arial" w:cs="Arial" w:eastAsia="Arial" w:hAnsi="Arial"/>
          <w:sz w:val="20"/>
          <w:szCs w:val="20"/>
          <w:color w:val="auto"/>
        </w:rPr>
        <w:t>Transaction Document, any issuance of Equity Interests in WD or an entity Controlling WD and any primary or secondary offering or trading of such Equity Interests.</w:t>
      </w:r>
    </w:p>
    <w:p>
      <w:pPr>
        <w:spacing w:after="0" w:line="135" w:lineRule="exact"/>
        <w:rPr>
          <w:sz w:val="20"/>
          <w:szCs w:val="20"/>
          <w:color w:val="auto"/>
        </w:rPr>
      </w:pPr>
    </w:p>
    <w:p>
      <w:pPr>
        <w:jc w:val="both"/>
        <w:ind w:right="60"/>
        <w:spacing w:after="0" w:line="299"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Immediate Effectiveness</w:t>
      </w:r>
      <w:r>
        <w:rPr>
          <w:rFonts w:ascii="Arial" w:cs="Arial" w:eastAsia="Arial" w:hAnsi="Arial"/>
          <w:sz w:val="20"/>
          <w:szCs w:val="20"/>
          <w:color w:val="auto"/>
        </w:rPr>
        <w:t xml:space="preserve">. Concurrent with the execution of this Agreement, the applicable Parties will execute or cause to be executed the Y6 Facility Agreement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Y6 Facility Agreement</w:t>
      </w:r>
      <w:r>
        <w:rPr>
          <w:rFonts w:ascii="Arial" w:cs="Arial" w:eastAsia="Arial" w:hAnsi="Arial"/>
          <w:sz w:val="20"/>
          <w:szCs w:val="20"/>
          <w:color w:val="auto"/>
        </w:rPr>
        <w:t xml:space="preserve">”), the FAL Commitment and Extension Agreement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FAL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20" w:firstLine="8"/>
        <w:spacing w:after="0" w:line="275" w:lineRule="auto"/>
        <w:tabs>
          <w:tab w:leader="none" w:pos="36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6" w:right="239" w:bottom="1440" w:gutter="0" w:footer="0" w:header="0"/>
        </w:sectPr>
      </w:pPr>
    </w:p>
    <w:bookmarkStart w:id="205" w:name="page206"/>
    <w:bookmarkEnd w:id="20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160"/>
        <w:spacing w:after="0" w:line="319" w:lineRule="auto"/>
        <w:rPr>
          <w:sz w:val="20"/>
          <w:szCs w:val="20"/>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the FFL Commitment and Extension Agreement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FFL Extension</w:t>
      </w:r>
      <w:r>
        <w:rPr>
          <w:rFonts w:ascii="Arial" w:cs="Arial" w:eastAsia="Arial" w:hAnsi="Arial"/>
          <w:sz w:val="18"/>
          <w:szCs w:val="18"/>
          <w:color w:val="auto"/>
        </w:rPr>
        <w:t xml:space="preserve">”), the Amendment to FPL Commitment and Extension Agreement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FPL Extension Amendment</w:t>
      </w:r>
      <w:r>
        <w:rPr>
          <w:rFonts w:ascii="Arial" w:cs="Arial" w:eastAsia="Arial" w:hAnsi="Arial"/>
          <w:sz w:val="18"/>
          <w:szCs w:val="18"/>
          <w:color w:val="auto"/>
        </w:rPr>
        <w:t xml:space="preserve">”), the Parent Guarantee and Undertaking as to Collaboration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Undertaking</w:t>
      </w:r>
      <w:r>
        <w:rPr>
          <w:rFonts w:ascii="Arial" w:cs="Arial" w:eastAsia="Arial" w:hAnsi="Arial"/>
          <w:sz w:val="18"/>
          <w:szCs w:val="18"/>
          <w:color w:val="auto"/>
        </w:rPr>
        <w:t xml:space="preserve">”), the Termination Agreement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Patent Cross License Agreement between WD and TMC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 the Patent Cross License Agreement between WD and TSB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 the Amended and Restated Joint Memory Development Yokkaichi Agreement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Amended JMDY Agreement</w:t>
      </w:r>
      <w:r>
        <w:rPr>
          <w:rFonts w:ascii="Arial" w:cs="Arial" w:eastAsia="Arial" w:hAnsi="Arial"/>
          <w:sz w:val="18"/>
          <w:szCs w:val="18"/>
          <w:color w:val="auto"/>
        </w:rPr>
        <w:t xml:space="preserve">”) and the Y6 Mutual Contribution and Environmental Indemnification Agreement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Y6 MCEIA</w:t>
      </w:r>
      <w:r>
        <w:rPr>
          <w:rFonts w:ascii="Arial" w:cs="Arial" w:eastAsia="Arial" w:hAnsi="Arial"/>
          <w:sz w:val="18"/>
          <w:szCs w:val="18"/>
          <w:color w:val="auto"/>
        </w:rPr>
        <w:t>”, and together with the Y6 Facility Agreement, the FAL Extension, the FFL Extension, the FPL Extension Amendment, the Undertaking, the Termination Agreement, **** and the Amended JMDY Agreement, the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and the Transaction Documents shall each become effective immediately upon such execution.</w:t>
      </w:r>
    </w:p>
    <w:p>
      <w:pPr>
        <w:spacing w:after="0" w:line="130" w:lineRule="exact"/>
        <w:rPr>
          <w:sz w:val="20"/>
          <w:szCs w:val="20"/>
          <w:color w:val="auto"/>
        </w:rPr>
      </w:pPr>
    </w:p>
    <w:p>
      <w:pPr>
        <w:jc w:val="both"/>
        <w:ind w:right="100"/>
        <w:spacing w:after="0" w:line="299"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Termination of FFL Transition Agreement</w:t>
      </w:r>
      <w:r>
        <w:rPr>
          <w:rFonts w:ascii="Arial" w:cs="Arial" w:eastAsia="Arial" w:hAnsi="Arial"/>
          <w:sz w:val="20"/>
          <w:szCs w:val="20"/>
          <w:color w:val="auto"/>
        </w:rPr>
        <w:t>. The Transition Agreement, by and among TMC, on one side, and SanDisk Flash and SanDisk LLC, on the other side, dated as of July 13, 2010, is hereby terminated in its entirety without any liability, obligation, cost or expense owing to either party and shall be of no further force or effect.</w:t>
      </w:r>
    </w:p>
    <w:p>
      <w:pPr>
        <w:spacing w:after="0" w:line="140" w:lineRule="exact"/>
        <w:rPr>
          <w:sz w:val="20"/>
          <w:szCs w:val="20"/>
          <w:color w:val="auto"/>
        </w:rPr>
      </w:pPr>
    </w:p>
    <w:p>
      <w:pPr>
        <w:ind w:right="40"/>
        <w:spacing w:after="0" w:line="299"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Effect of Transfer</w:t>
      </w:r>
      <w:r>
        <w:rPr>
          <w:rFonts w:ascii="Arial" w:cs="Arial" w:eastAsia="Arial" w:hAnsi="Arial"/>
          <w:sz w:val="20"/>
          <w:szCs w:val="20"/>
          <w:color w:val="auto"/>
        </w:rPr>
        <w:t>. Except as otherwise set forth in this Agreement, the conditions for Transfer, admission and/or withdrawal, to the extent applicable, set out in any Existing Agreement, including for the avoidance of doubt, Article 9 and Section 4.1(a)(ix) of the applicable JV’s Operating Agreement and Section 5.1(b) of the applicable JV’s Master Agreement, shall continue to apply.</w:t>
      </w:r>
    </w:p>
    <w:p>
      <w:pPr>
        <w:spacing w:after="0" w:line="1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9" w:lineRule="exact"/>
        <w:rPr>
          <w:sz w:val="20"/>
          <w:szCs w:val="20"/>
          <w:color w:val="auto"/>
        </w:rPr>
      </w:pPr>
    </w:p>
    <w:p>
      <w:pPr>
        <w:ind w:left="1060" w:hanging="404"/>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Parties acknowledge and agree, that notwithstanding anything to the contrary in this Agreement or the Existing Agreements,</w:t>
      </w:r>
    </w:p>
    <w:p>
      <w:pPr>
        <w:spacing w:after="0" w:line="76" w:lineRule="exact"/>
        <w:rPr>
          <w:rFonts w:ascii="Arial" w:cs="Arial" w:eastAsia="Arial" w:hAnsi="Arial"/>
          <w:sz w:val="18"/>
          <w:szCs w:val="18"/>
          <w:color w:val="auto"/>
        </w:rPr>
      </w:pPr>
    </w:p>
    <w:p>
      <w:pPr>
        <w:ind w:right="260"/>
        <w:spacing w:after="0" w:line="292" w:lineRule="auto"/>
        <w:rPr>
          <w:rFonts w:ascii="Arial" w:cs="Arial" w:eastAsia="Arial" w:hAnsi="Arial"/>
          <w:sz w:val="18"/>
          <w:szCs w:val="18"/>
          <w:color w:val="auto"/>
        </w:rPr>
      </w:pPr>
      <w:r>
        <w:rPr>
          <w:rFonts w:ascii="Arial" w:cs="Arial" w:eastAsia="Arial" w:hAnsi="Arial"/>
          <w:sz w:val="20"/>
          <w:szCs w:val="20"/>
          <w:color w:val="auto"/>
        </w:rPr>
        <w:t>from and after the date hereof, for purposes of Sections 4.1(a)(ix) and 9.1(a) of each Operating Agreement and Section 5.1(b) of each Master Agreement, a “Change of Control” for which consent is not required shall be deemed to refer only to a Change of Control of any Memory Business Owner.</w:t>
      </w:r>
    </w:p>
    <w:p>
      <w:pPr>
        <w:spacing w:after="0" w:line="146" w:lineRule="exact"/>
        <w:rPr>
          <w:rFonts w:ascii="Arial" w:cs="Arial" w:eastAsia="Arial" w:hAnsi="Arial"/>
          <w:sz w:val="18"/>
          <w:szCs w:val="18"/>
          <w:color w:val="auto"/>
        </w:rPr>
      </w:pPr>
    </w:p>
    <w:p>
      <w:pPr>
        <w:ind w:left="1060" w:hanging="404"/>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WD and each of its Subsidiaries may Transfer without consent any Collaboration Assets or Collaboration Liabilities of WD or any</w:t>
      </w:r>
    </w:p>
    <w:p>
      <w:pPr>
        <w:spacing w:after="0" w:line="76" w:lineRule="exact"/>
        <w:rPr>
          <w:rFonts w:ascii="Arial" w:cs="Arial" w:eastAsia="Arial" w:hAnsi="Arial"/>
          <w:sz w:val="18"/>
          <w:szCs w:val="18"/>
          <w:color w:val="auto"/>
        </w:rPr>
      </w:pPr>
    </w:p>
    <w:p>
      <w:pPr>
        <w:ind w:right="160"/>
        <w:spacing w:after="0" w:line="303" w:lineRule="auto"/>
        <w:rPr>
          <w:rFonts w:ascii="Arial" w:cs="Arial" w:eastAsia="Arial" w:hAnsi="Arial"/>
          <w:sz w:val="18"/>
          <w:szCs w:val="18"/>
          <w:color w:val="auto"/>
        </w:rPr>
      </w:pPr>
      <w:r>
        <w:rPr>
          <w:rFonts w:ascii="Arial" w:cs="Arial" w:eastAsia="Arial" w:hAnsi="Arial"/>
          <w:sz w:val="20"/>
          <w:szCs w:val="20"/>
          <w:color w:val="auto"/>
        </w:rPr>
        <w:t>of its Subsidiaries (other than **** and the Undertaking) to WD or one or more of WD’s wholly-owned Subsidiaries; provided, that WD shall provide TMC with reasonable prior notice of any such Transfer by WD or any such Subsidiaries.</w:t>
      </w:r>
    </w:p>
    <w:p>
      <w:pPr>
        <w:spacing w:after="0" w:line="135" w:lineRule="exact"/>
        <w:rPr>
          <w:rFonts w:ascii="Arial" w:cs="Arial" w:eastAsia="Arial" w:hAnsi="Arial"/>
          <w:sz w:val="18"/>
          <w:szCs w:val="18"/>
          <w:color w:val="auto"/>
        </w:rPr>
      </w:pPr>
    </w:p>
    <w:p>
      <w:pPr>
        <w:ind w:left="1060" w:hanging="404"/>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TMC and each of their respective Subsidiaries may Transfer without consent any Collaboration Assets or Collaboration Liabilities</w:t>
      </w:r>
    </w:p>
    <w:p>
      <w:pPr>
        <w:spacing w:after="0" w:line="76" w:lineRule="exact"/>
        <w:rPr>
          <w:rFonts w:ascii="Arial" w:cs="Arial" w:eastAsia="Arial" w:hAnsi="Arial"/>
          <w:sz w:val="18"/>
          <w:szCs w:val="18"/>
          <w:color w:val="auto"/>
        </w:rPr>
      </w:pPr>
    </w:p>
    <w:p>
      <w:pPr>
        <w:ind w:right="280"/>
        <w:spacing w:after="0" w:line="303" w:lineRule="auto"/>
        <w:rPr>
          <w:rFonts w:ascii="Arial" w:cs="Arial" w:eastAsia="Arial" w:hAnsi="Arial"/>
          <w:sz w:val="18"/>
          <w:szCs w:val="18"/>
          <w:color w:val="auto"/>
        </w:rPr>
      </w:pPr>
      <w:r>
        <w:rPr>
          <w:rFonts w:ascii="Arial" w:cs="Arial" w:eastAsia="Arial" w:hAnsi="Arial"/>
          <w:sz w:val="20"/>
          <w:szCs w:val="20"/>
          <w:color w:val="auto"/>
        </w:rPr>
        <w:t>of TMC or any of its Subsidiaries (other than ****) to TMC or one or more of TMC’s wholly-owned Subsidiaries; provided, that TMC shall provide WD with reasonable prior notice of any such Transfer by TMC or any such Subsidiaries.</w:t>
      </w:r>
    </w:p>
    <w:p>
      <w:pPr>
        <w:spacing w:after="0" w:line="135" w:lineRule="exact"/>
        <w:rPr>
          <w:rFonts w:ascii="Arial" w:cs="Arial" w:eastAsia="Arial" w:hAnsi="Arial"/>
          <w:sz w:val="18"/>
          <w:szCs w:val="18"/>
          <w:color w:val="auto"/>
        </w:rPr>
      </w:pPr>
    </w:p>
    <w:p>
      <w:pPr>
        <w:ind w:left="1060" w:hanging="404"/>
        <w:spacing w:after="0"/>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Memory Business Owner and each of its Subsidiaries may Transfer without consent any Collaboration Assets or Collaboration</w:t>
      </w:r>
    </w:p>
    <w:p>
      <w:pPr>
        <w:spacing w:after="0" w:line="76" w:lineRule="exact"/>
        <w:rPr>
          <w:rFonts w:ascii="Arial" w:cs="Arial" w:eastAsia="Arial" w:hAnsi="Arial"/>
          <w:sz w:val="18"/>
          <w:szCs w:val="18"/>
          <w:color w:val="auto"/>
        </w:rPr>
      </w:pPr>
    </w:p>
    <w:p>
      <w:pPr>
        <w:ind w:right="340"/>
        <w:spacing w:after="0" w:line="363" w:lineRule="auto"/>
        <w:rPr>
          <w:rFonts w:ascii="Arial" w:cs="Arial" w:eastAsia="Arial" w:hAnsi="Arial"/>
          <w:sz w:val="18"/>
          <w:szCs w:val="18"/>
          <w:color w:val="auto"/>
        </w:rPr>
      </w:pPr>
      <w:r>
        <w:rPr>
          <w:rFonts w:ascii="Arial" w:cs="Arial" w:eastAsia="Arial" w:hAnsi="Arial"/>
          <w:sz w:val="18"/>
          <w:szCs w:val="18"/>
          <w:color w:val="auto"/>
        </w:rPr>
        <w:t>Liabilities of such Memory Business Owner or any of its Subsidiaries (other than ****) to such Memory Business Owner or one or more of such Memory Business Owner’s wholly-owned Subsidiaries; provided, that such Memory Business Owner shall provide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20" w:firstLine="8"/>
        <w:spacing w:after="0" w:line="275" w:lineRule="auto"/>
        <w:tabs>
          <w:tab w:leader="none" w:pos="36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6" w:right="239" w:bottom="1440" w:gutter="0" w:footer="0" w:header="0"/>
        </w:sectPr>
      </w:pPr>
    </w:p>
    <w:bookmarkStart w:id="206" w:name="page207"/>
    <w:bookmarkEnd w:id="206"/>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Memory Business Owner with reasonable prior notice of any such Transfer by such Memory Business Owner or any such Subsidiaries.</w:t>
      </w:r>
    </w:p>
    <w:p>
      <w:pPr>
        <w:spacing w:after="0" w:line="227" w:lineRule="exact"/>
        <w:rPr>
          <w:sz w:val="20"/>
          <w:szCs w:val="20"/>
          <w:color w:val="auto"/>
        </w:rPr>
      </w:pPr>
    </w:p>
    <w:p>
      <w:pPr>
        <w:ind w:left="1060" w:hanging="404"/>
        <w:spacing w:after="0"/>
        <w:tabs>
          <w:tab w:leader="none" w:pos="10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notwithstanding anything in this Agreement or any Collaboration Agreement to the contrary:</w:t>
      </w:r>
    </w:p>
    <w:p>
      <w:pPr>
        <w:spacing w:after="0" w:line="252" w:lineRule="exact"/>
        <w:rPr>
          <w:rFonts w:ascii="Arial" w:cs="Arial" w:eastAsia="Arial" w:hAnsi="Arial"/>
          <w:sz w:val="18"/>
          <w:szCs w:val="18"/>
          <w:color w:val="auto"/>
        </w:rPr>
      </w:pPr>
    </w:p>
    <w:p>
      <w:pPr>
        <w:ind w:left="1680" w:hanging="375"/>
        <w:spacing w:after="0"/>
        <w:tabs>
          <w:tab w:leader="none" w:pos="168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no Collaboration Assets of any Person or its Affiliates may be sold, disposed of or otherwise transferred, by any means, to</w:t>
      </w:r>
    </w:p>
    <w:p>
      <w:pPr>
        <w:spacing w:after="0" w:line="76" w:lineRule="exact"/>
        <w:rPr>
          <w:rFonts w:ascii="Arial" w:cs="Arial" w:eastAsia="Arial" w:hAnsi="Arial"/>
          <w:sz w:val="18"/>
          <w:szCs w:val="18"/>
          <w:color w:val="auto"/>
        </w:rPr>
      </w:pPr>
    </w:p>
    <w:p>
      <w:pPr>
        <w:ind w:right="20"/>
        <w:spacing w:after="0" w:line="325" w:lineRule="auto"/>
        <w:rPr>
          <w:rFonts w:ascii="Arial" w:cs="Arial" w:eastAsia="Arial" w:hAnsi="Arial"/>
          <w:sz w:val="18"/>
          <w:szCs w:val="18"/>
          <w:color w:val="auto"/>
        </w:rPr>
      </w:pPr>
      <w:r>
        <w:rPr>
          <w:rFonts w:ascii="Arial" w:cs="Arial" w:eastAsia="Arial" w:hAnsi="Arial"/>
          <w:sz w:val="18"/>
          <w:szCs w:val="18"/>
          <w:color w:val="auto"/>
        </w:rPr>
        <w:t xml:space="preserve">any unaffiliated third party, unless all Collaboration Assets (which need not include **** and the Undertaking, but subject to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with respect to ****) of such Person and its Affiliates are sold, disposed of or otherwise transferred to a Person pursuant to a Change of Control permitted by </w:t>
      </w:r>
      <w:r>
        <w:rPr>
          <w:rFonts w:ascii="Arial" w:cs="Arial" w:eastAsia="Arial" w:hAnsi="Arial"/>
          <w:sz w:val="18"/>
          <w:szCs w:val="18"/>
          <w:u w:val="single" w:color="auto"/>
          <w:color w:val="auto"/>
        </w:rPr>
        <w:t>Section 3.7(a)</w:t>
      </w:r>
      <w:r>
        <w:rPr>
          <w:rFonts w:ascii="Arial" w:cs="Arial" w:eastAsia="Arial" w:hAnsi="Arial"/>
          <w:sz w:val="18"/>
          <w:szCs w:val="18"/>
          <w:color w:val="auto"/>
        </w:rPr>
        <w:t>; provided, that the foregoing shall not limit any Person’s right to sell, dispose of or otherwise transfer any assets (other than its JV Rights and Collaboration Agreements), in the ordinary course of business consistent with past practice, so long as such Person and its Affiliates remain able to satisfy and discharge such Person’s and its Affiliates’ Collaboration Liabilities;</w:t>
      </w:r>
    </w:p>
    <w:p>
      <w:pPr>
        <w:spacing w:after="0" w:line="124" w:lineRule="exact"/>
        <w:rPr>
          <w:rFonts w:ascii="Arial" w:cs="Arial" w:eastAsia="Arial" w:hAnsi="Arial"/>
          <w:sz w:val="18"/>
          <w:szCs w:val="18"/>
          <w:color w:val="auto"/>
        </w:rPr>
      </w:pPr>
    </w:p>
    <w:p>
      <w:pPr>
        <w:ind w:left="1720" w:hanging="415"/>
        <w:spacing w:after="0"/>
        <w:tabs>
          <w:tab w:leader="none" w:pos="172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 Person that acquires Control of a Memory Business Owner (a “</w:t>
      </w:r>
      <w:r>
        <w:rPr>
          <w:rFonts w:ascii="Arial" w:cs="Arial" w:eastAsia="Arial" w:hAnsi="Arial"/>
          <w:sz w:val="18"/>
          <w:szCs w:val="18"/>
          <w:u w:val="single" w:color="auto"/>
          <w:color w:val="auto"/>
        </w:rPr>
        <w:t>Memory Business Acquiror</w:t>
      </w:r>
      <w:r>
        <w:rPr>
          <w:rFonts w:ascii="Arial" w:cs="Arial" w:eastAsia="Arial" w:hAnsi="Arial"/>
          <w:sz w:val="18"/>
          <w:szCs w:val="18"/>
          <w:color w:val="auto"/>
        </w:rPr>
        <w:t>”) shall not itself have any</w:t>
      </w:r>
    </w:p>
    <w:p>
      <w:pPr>
        <w:spacing w:after="0" w:line="76" w:lineRule="exact"/>
        <w:rPr>
          <w:rFonts w:ascii="Arial" w:cs="Arial" w:eastAsia="Arial" w:hAnsi="Arial"/>
          <w:sz w:val="18"/>
          <w:szCs w:val="18"/>
          <w:color w:val="auto"/>
        </w:rPr>
      </w:pPr>
    </w:p>
    <w:p>
      <w:pPr>
        <w:ind w:right="20"/>
        <w:spacing w:after="0" w:line="313" w:lineRule="auto"/>
        <w:rPr>
          <w:rFonts w:ascii="Arial" w:cs="Arial" w:eastAsia="Arial" w:hAnsi="Arial"/>
          <w:sz w:val="18"/>
          <w:szCs w:val="18"/>
          <w:color w:val="auto"/>
        </w:rPr>
      </w:pPr>
      <w:r>
        <w:rPr>
          <w:rFonts w:ascii="Arial" w:cs="Arial" w:eastAsia="Arial" w:hAnsi="Arial"/>
          <w:sz w:val="18"/>
          <w:szCs w:val="18"/>
          <w:color w:val="auto"/>
        </w:rPr>
        <w:t xml:space="preserve">rights or obligations under any Collaboration Agreement to which such Memory Business Owner or any of its Subsidiaries is a party unless (A) such Memory Business Owner is a wholly-owned Subsidiary of such Memory Business Acquiror, (B) such Memory Business Acquiror has agreed in writing to be bound to the terms of </w:t>
      </w:r>
      <w:r>
        <w:rPr>
          <w:rFonts w:ascii="Arial" w:cs="Arial" w:eastAsia="Arial" w:hAnsi="Arial"/>
          <w:sz w:val="18"/>
          <w:szCs w:val="18"/>
          <w:i w:val="1"/>
          <w:iCs w:val="1"/>
          <w:color w:val="auto"/>
        </w:rPr>
        <w:t>both</w:t>
      </w:r>
      <w:r>
        <w:rPr>
          <w:rFonts w:ascii="Arial" w:cs="Arial" w:eastAsia="Arial" w:hAnsi="Arial"/>
          <w:sz w:val="18"/>
          <w:szCs w:val="18"/>
          <w:color w:val="auto"/>
        </w:rPr>
        <w:t xml:space="preserve"> (1)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for the benefit of all counterparties to such Collaboration Agreements and</w:t>
      </w:r>
    </w:p>
    <w:p>
      <w:pPr>
        <w:ind w:right="140" w:firstLine="8"/>
        <w:spacing w:after="0" w:line="323" w:lineRule="auto"/>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Sections 2.2 and 3.6 of the Undertaking for the benefit of all counterparties to the Undertaking (notwithstanding any termination of the Undertaking due to such acquisition of Control, for the period during which such Sections shall remain in effect in accordance with the term thereof, notwithstanding such termination), </w:t>
      </w:r>
      <w:r>
        <w:rPr>
          <w:rFonts w:ascii="Arial" w:cs="Arial" w:eastAsia="Arial" w:hAnsi="Arial"/>
          <w:sz w:val="18"/>
          <w:szCs w:val="18"/>
          <w:i w:val="1"/>
          <w:iCs w:val="1"/>
          <w:color w:val="auto"/>
        </w:rPr>
        <w:t>and</w:t>
      </w:r>
      <w:r>
        <w:rPr>
          <w:rFonts w:ascii="Arial" w:cs="Arial" w:eastAsia="Arial" w:hAnsi="Arial"/>
          <w:sz w:val="18"/>
          <w:szCs w:val="18"/>
          <w:color w:val="auto"/>
        </w:rPr>
        <w:t xml:space="preserve"> (C) either (1) such Collaboration Agreement is assigned to and assumed by such Memory Business Acquiror in accordance with such Collaboration Agreement’s terms or as otherwise agreed by the counterparty(ies) to such Collaboration Agreement or (2) such Memory Business Acquiror has agreed with the counterparty(ies) to such Collaboration Agreement to an undertaking or other arrangement governing such Memory Business Acquiror’s participation in such Collaboration Agreement; and</w:t>
      </w:r>
    </w:p>
    <w:p>
      <w:pPr>
        <w:spacing w:after="0" w:line="124" w:lineRule="exact"/>
        <w:rPr>
          <w:rFonts w:ascii="Arial" w:cs="Arial" w:eastAsia="Arial" w:hAnsi="Arial"/>
          <w:sz w:val="18"/>
          <w:szCs w:val="18"/>
          <w:color w:val="auto"/>
        </w:rPr>
      </w:pPr>
    </w:p>
    <w:p>
      <w:pPr>
        <w:ind w:left="1780" w:hanging="475"/>
        <w:spacing w:after="0"/>
        <w:tabs>
          <w:tab w:leader="none" w:pos="178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no Person shall be required to give notice hereunder in connection with the transfer or termination of any employee of</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Person.</w:t>
      </w:r>
    </w:p>
    <w:p>
      <w:pPr>
        <w:spacing w:after="0" w:line="215" w:lineRule="exact"/>
        <w:rPr>
          <w:rFonts w:ascii="Arial" w:cs="Arial" w:eastAsia="Arial" w:hAnsi="Arial"/>
          <w:sz w:val="18"/>
          <w:szCs w:val="18"/>
          <w:color w:val="auto"/>
        </w:rPr>
      </w:pPr>
    </w:p>
    <w:p>
      <w:pPr>
        <w:ind w:right="100" w:firstLine="656"/>
        <w:spacing w:after="0" w:line="317" w:lineRule="auto"/>
        <w:tabs>
          <w:tab w:leader="none" w:pos="1026" w:val="left"/>
        </w:tabs>
        <w:numPr>
          <w:ilvl w:val="1"/>
          <w:numId w:val="233"/>
        </w:numPr>
        <w:rPr>
          <w:rFonts w:ascii="Arial" w:cs="Arial" w:eastAsia="Arial" w:hAnsi="Arial"/>
          <w:sz w:val="20"/>
          <w:szCs w:val="20"/>
          <w:color w:val="auto"/>
        </w:rPr>
      </w:pPr>
      <w:r>
        <w:rPr>
          <w:rFonts w:ascii="Arial" w:cs="Arial" w:eastAsia="Arial" w:hAnsi="Arial"/>
          <w:sz w:val="20"/>
          <w:szCs w:val="20"/>
          <w:color w:val="auto"/>
        </w:rPr>
        <w:t xml:space="preserve">**** shall be assigned to a Memory Business Owner upon and effective as of the closing of a Change of Control of such Memory Business Owner in accordance with </w:t>
      </w:r>
      <w:r>
        <w:rPr>
          <w:rFonts w:ascii="Arial" w:cs="Arial" w:eastAsia="Arial" w:hAnsi="Arial"/>
          <w:sz w:val="20"/>
          <w:szCs w:val="20"/>
          <w:u w:val="single" w:color="auto"/>
          <w:color w:val="auto"/>
        </w:rPr>
        <w:t>Section 3.7(a)</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1060" w:hanging="404"/>
        <w:spacing w:after="0"/>
        <w:tabs>
          <w:tab w:leader="none" w:pos="10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From and after the Effective Date, TSB will not Transfer any of its Collaboration Assets except: (i) for the actions described in</w:t>
      </w:r>
    </w:p>
    <w:p>
      <w:pPr>
        <w:spacing w:after="0" w:line="76" w:lineRule="exact"/>
        <w:rPr>
          <w:rFonts w:ascii="Arial" w:cs="Arial" w:eastAsia="Arial" w:hAnsi="Arial"/>
          <w:sz w:val="18"/>
          <w:szCs w:val="18"/>
          <w:color w:val="auto"/>
        </w:rPr>
      </w:pPr>
    </w:p>
    <w:p>
      <w:pPr>
        <w:ind w:right="200"/>
        <w:spacing w:after="0" w:line="287" w:lineRule="auto"/>
        <w:rPr>
          <w:rFonts w:ascii="Arial" w:cs="Arial" w:eastAsia="Arial" w:hAnsi="Arial"/>
          <w:sz w:val="18"/>
          <w:szCs w:val="18"/>
          <w:color w:val="auto"/>
        </w:rPr>
      </w:pP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(ii) for direct Transfers of its Collaboration Assets as permitted by </w:t>
      </w:r>
      <w:r>
        <w:rPr>
          <w:rFonts w:ascii="Arial" w:cs="Arial" w:eastAsia="Arial" w:hAnsi="Arial"/>
          <w:sz w:val="20"/>
          <w:szCs w:val="20"/>
          <w:u w:val="single" w:color="auto"/>
          <w:color w:val="auto"/>
        </w:rPr>
        <w:t>Sections 3.1(a)(i)</w:t>
      </w:r>
      <w:r>
        <w:rPr>
          <w:rFonts w:ascii="Arial" w:cs="Arial" w:eastAsia="Arial" w:hAnsi="Arial"/>
          <w:sz w:val="20"/>
          <w:szCs w:val="20"/>
          <w:color w:val="auto"/>
        </w:rPr>
        <w:t xml:space="preserve">, </w:t>
      </w:r>
      <w:r>
        <w:rPr>
          <w:rFonts w:ascii="Arial" w:cs="Arial" w:eastAsia="Arial" w:hAnsi="Arial"/>
          <w:sz w:val="20"/>
          <w:szCs w:val="20"/>
          <w:u w:val="single" w:color="auto"/>
          <w:color w:val="auto"/>
        </w:rPr>
        <w:t>3.1(a)(vii)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3.1(a)(viii)</w:t>
      </w:r>
      <w:r>
        <w:rPr>
          <w:rFonts w:ascii="Arial" w:cs="Arial" w:eastAsia="Arial" w:hAnsi="Arial"/>
          <w:sz w:val="20"/>
          <w:szCs w:val="20"/>
          <w:color w:val="auto"/>
        </w:rPr>
        <w:t xml:space="preserve">, (iii) for indirect Transfers of its Collaboration Assets as permitted by </w:t>
      </w:r>
      <w:r>
        <w:rPr>
          <w:rFonts w:ascii="Arial" w:cs="Arial" w:eastAsia="Arial" w:hAnsi="Arial"/>
          <w:sz w:val="20"/>
          <w:szCs w:val="20"/>
          <w:u w:val="single" w:color="auto"/>
          <w:color w:val="auto"/>
        </w:rPr>
        <w:t>Sections 3.1(a)(ii)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3.1(a)(iii)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3.1(a)(iv)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3.1(a)(v)</w:t>
      </w:r>
      <w:r>
        <w:rPr>
          <w:rFonts w:ascii="Arial" w:cs="Arial" w:eastAsia="Arial" w:hAnsi="Arial"/>
          <w:sz w:val="20"/>
          <w:szCs w:val="20"/>
          <w:color w:val="auto"/>
        </w:rPr>
        <w:t xml:space="preserve"> (to the extent TMC is a Memory Business Owner in the case of </w:t>
      </w:r>
      <w:r>
        <w:rPr>
          <w:rFonts w:ascii="Arial" w:cs="Arial" w:eastAsia="Arial" w:hAnsi="Arial"/>
          <w:sz w:val="20"/>
          <w:szCs w:val="20"/>
          <w:u w:val="single" w:color="auto"/>
          <w:color w:val="auto"/>
        </w:rPr>
        <w:t>Section 3.1(a)(v)</w:t>
      </w:r>
      <w:r>
        <w:rPr>
          <w:rFonts w:ascii="Arial" w:cs="Arial" w:eastAsia="Arial" w:hAnsi="Arial"/>
          <w:sz w:val="20"/>
          <w:szCs w:val="20"/>
          <w:color w:val="auto"/>
        </w:rPr>
        <w:t xml:space="preserve">), (iv) for the granting of any Lien by TSB as permitted by </w:t>
      </w:r>
      <w:r>
        <w:rPr>
          <w:rFonts w:ascii="Arial" w:cs="Arial" w:eastAsia="Arial" w:hAnsi="Arial"/>
          <w:sz w:val="20"/>
          <w:szCs w:val="20"/>
          <w:u w:val="single" w:color="auto"/>
          <w:color w:val="auto"/>
        </w:rPr>
        <w:t>Sections 3.1(a)(ix)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3.1(a)(x)</w:t>
      </w:r>
      <w:r>
        <w:rPr>
          <w:rFonts w:ascii="Arial" w:cs="Arial" w:eastAsia="Arial" w:hAnsi="Arial"/>
          <w:sz w:val="20"/>
          <w:szCs w:val="20"/>
          <w:color w:val="auto"/>
        </w:rPr>
        <w:t xml:space="preserve">, (v) as permitted by </w:t>
      </w:r>
      <w:r>
        <w:rPr>
          <w:rFonts w:ascii="Arial" w:cs="Arial" w:eastAsia="Arial" w:hAnsi="Arial"/>
          <w:sz w:val="20"/>
          <w:szCs w:val="20"/>
          <w:u w:val="single" w:color="auto"/>
          <w:color w:val="auto"/>
        </w:rPr>
        <w:t>Section 3.7</w:t>
      </w:r>
      <w:r>
        <w:rPr>
          <w:rFonts w:ascii="Arial" w:cs="Arial" w:eastAsia="Arial" w:hAnsi="Arial"/>
          <w:sz w:val="20"/>
          <w:szCs w:val="20"/>
          <w:color w:val="auto"/>
        </w:rPr>
        <w:t>, and (vi) for any Transfer of assets (other than JV Rights and Collaboration Agreements) made in the ordinary course of business,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20" w:firstLine="8"/>
        <w:spacing w:after="0" w:line="275" w:lineRule="auto"/>
        <w:tabs>
          <w:tab w:leader="none" w:pos="36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5" w:right="239" w:bottom="1440" w:gutter="0" w:footer="0" w:header="0"/>
        </w:sectPr>
      </w:pPr>
    </w:p>
    <w:bookmarkStart w:id="207" w:name="page208"/>
    <w:bookmarkEnd w:id="207"/>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left="1060" w:hanging="404"/>
        <w:spacing w:after="0"/>
        <w:tabs>
          <w:tab w:leader="none" w:pos="106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TMC represents and warrants to WD that, as of the completion of the actions described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hereof, and as of</w:t>
      </w:r>
    </w:p>
    <w:p>
      <w:pPr>
        <w:spacing w:after="0" w:line="65"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0"/>
          <w:szCs w:val="20"/>
          <w:color w:val="auto"/>
        </w:rPr>
        <w:t>immediately following the closing of the TMC Sale, TMC, or a wholly-owned Subsidiary of TMC, will (i) hold or own all Collaboration Assets that, prior to the completion of such actions, or, immediately prior to the closing of the TMC Sale, were held or owned by TSB and its Affiliates and (ii) be a Memory Business Owner.</w:t>
      </w:r>
    </w:p>
    <w:p>
      <w:pPr>
        <w:spacing w:after="0" w:line="146" w:lineRule="exact"/>
        <w:rPr>
          <w:rFonts w:ascii="Arial" w:cs="Arial" w:eastAsia="Arial" w:hAnsi="Arial"/>
          <w:sz w:val="19"/>
          <w:szCs w:val="19"/>
          <w:color w:val="auto"/>
        </w:rPr>
      </w:pPr>
    </w:p>
    <w:p>
      <w:pPr>
        <w:ind w:left="1020" w:hanging="364"/>
        <w:spacing w:after="0"/>
        <w:tabs>
          <w:tab w:leader="none" w:pos="10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Parties agree that, other than as expressly set forth in subsections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3.7</w:t>
      </w:r>
      <w:r>
        <w:rPr>
          <w:rFonts w:ascii="Arial" w:cs="Arial" w:eastAsia="Arial" w:hAnsi="Arial"/>
          <w:sz w:val="18"/>
          <w:szCs w:val="18"/>
          <w:color w:val="auto"/>
        </w:rPr>
        <w:t>, nothing in subsections</w:t>
      </w:r>
    </w:p>
    <w:p>
      <w:pPr>
        <w:spacing w:after="0" w:line="77"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shall eliminate, alter or limit in any way (i) the Transfer Restrictions or (ii) any of the obligations under the Existing Agreements or Transaction Documents to obtain consent prior to making any Transfers.</w:t>
      </w:r>
    </w:p>
    <w:p>
      <w:pPr>
        <w:spacing w:after="0" w:line="135" w:lineRule="exact"/>
        <w:rPr>
          <w:sz w:val="20"/>
          <w:szCs w:val="20"/>
          <w:color w:val="auto"/>
        </w:rPr>
      </w:pPr>
    </w:p>
    <w:p>
      <w:pPr>
        <w:ind w:left="1020" w:hanging="364"/>
        <w:spacing w:after="0"/>
        <w:tabs>
          <w:tab w:leader="none" w:pos="10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For purposes of clarity and the avoidance of doubt, and without limiting any portion of the other subsections of this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spacing w:after="0" w:line="313" w:lineRule="auto"/>
        <w:rPr>
          <w:rFonts w:ascii="Arial" w:cs="Arial" w:eastAsia="Arial" w:hAnsi="Arial"/>
          <w:sz w:val="18"/>
          <w:szCs w:val="18"/>
          <w:color w:val="auto"/>
        </w:rPr>
      </w:pPr>
      <w:r>
        <w:rPr>
          <w:rFonts w:ascii="Arial" w:cs="Arial" w:eastAsia="Arial" w:hAnsi="Arial"/>
          <w:sz w:val="18"/>
          <w:szCs w:val="18"/>
          <w:color w:val="auto"/>
        </w:rPr>
        <w:t>the Parties hereby agree (i) that each party to the Master Agreement of a JV, the Operating Agreement of a JV, the New Y2 Facility Agreement and the Y6 Facility Agreement, must at all times be an Affiliate of a party or parties that owns Equity Interests of each JV; and (ii) no JV Shares of a JV may be owned by any party that is not a party to the Operating Agreement and Master Agreement pertaining to such JV; provided, that</w:t>
      </w:r>
    </w:p>
    <w:p>
      <w:pPr>
        <w:ind w:right="40" w:firstLine="8"/>
        <w:spacing w:after="0" w:line="321" w:lineRule="auto"/>
        <w:tabs>
          <w:tab w:leader="none" w:pos="2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each party to any Operating Agreement may assign such Operating Agreement to a wholly-owned Subsidiary of a Memory Business Owner that Controls such party so long as such party also assigns all its JV Shares in the applicable JV to such wholly-owned Subsidiary and (y) in connection with the actions permitted by this </w:t>
      </w:r>
      <w:r>
        <w:rPr>
          <w:rFonts w:ascii="Arial" w:cs="Arial" w:eastAsia="Arial" w:hAnsi="Arial"/>
          <w:sz w:val="18"/>
          <w:szCs w:val="18"/>
          <w:u w:val="single" w:color="auto"/>
          <w:color w:val="auto"/>
        </w:rPr>
        <w:t>Section 3.7</w:t>
      </w:r>
      <w:r>
        <w:rPr>
          <w:rFonts w:ascii="Arial" w:cs="Arial" w:eastAsia="Arial" w:hAnsi="Arial"/>
          <w:sz w:val="18"/>
          <w:szCs w:val="18"/>
          <w:color w:val="auto"/>
        </w:rPr>
        <w:t>, upon the request of any party to any Master Agreement, the other party(ies) to such Master Agreement shall consent to the joinder as a party to such Master Agreement (with all the same rights and obligations of the requesting party) of a wholly-owned Subsidiary of such requesting party to which such requesting party assigns its JV Shares in the JV to which such Master Agreement pertains; and provided, further, that giving effect to the foregoing assignments and joinders, neither Memory Business Owner shall have more than two parties to any given Master Agreement (whether as a party itself or through its Subsidiary).</w:t>
      </w:r>
    </w:p>
    <w:p>
      <w:pPr>
        <w:spacing w:after="0" w:line="122" w:lineRule="exact"/>
        <w:rPr>
          <w:sz w:val="20"/>
          <w:szCs w:val="20"/>
          <w:color w:val="auto"/>
        </w:rPr>
      </w:pPr>
    </w:p>
    <w:p>
      <w:pPr>
        <w:ind w:left="340" w:hanging="332"/>
        <w:spacing w:after="0"/>
        <w:tabs>
          <w:tab w:leader="none" w:pos="340"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Further Assurances</w:t>
      </w:r>
      <w:r>
        <w:rPr>
          <w:rFonts w:ascii="Arial" w:cs="Arial" w:eastAsia="Arial" w:hAnsi="Arial"/>
          <w:sz w:val="20"/>
          <w:szCs w:val="20"/>
          <w:b w:val="1"/>
          <w:bCs w:val="1"/>
          <w:color w:val="auto"/>
        </w:rPr>
        <w:t>.</w:t>
      </w:r>
    </w:p>
    <w:p>
      <w:pPr>
        <w:spacing w:after="0" w:line="23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JV Share Transfers</w:t>
      </w:r>
      <w:r>
        <w:rPr>
          <w:rFonts w:ascii="Arial" w:cs="Arial" w:eastAsia="Arial" w:hAnsi="Arial"/>
          <w:sz w:val="16"/>
          <w:szCs w:val="16"/>
          <w:color w:val="auto"/>
        </w:rPr>
        <w:t>.</w:t>
      </w:r>
    </w:p>
    <w:p>
      <w:pPr>
        <w:spacing w:after="0" w:line="229" w:lineRule="exact"/>
        <w:rPr>
          <w:sz w:val="20"/>
          <w:szCs w:val="20"/>
          <w:color w:val="auto"/>
        </w:rPr>
      </w:pPr>
    </w:p>
    <w:p>
      <w:pPr>
        <w:ind w:left="1060" w:hanging="404"/>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TSB and TMC covenant to WD and SanDisk that, within thirty (30) days after the Effective Date, TSB will have completed the (i)</w:t>
      </w:r>
    </w:p>
    <w:p>
      <w:pPr>
        <w:spacing w:after="0" w:line="76" w:lineRule="exact"/>
        <w:rPr>
          <w:rFonts w:ascii="Arial" w:cs="Arial" w:eastAsia="Arial" w:hAnsi="Arial"/>
          <w:sz w:val="18"/>
          <w:szCs w:val="18"/>
          <w:color w:val="auto"/>
        </w:rPr>
      </w:pPr>
    </w:p>
    <w:p>
      <w:pPr>
        <w:ind w:right="100"/>
        <w:spacing w:after="0" w:line="292" w:lineRule="auto"/>
        <w:rPr>
          <w:rFonts w:ascii="Arial" w:cs="Arial" w:eastAsia="Arial" w:hAnsi="Arial"/>
          <w:sz w:val="18"/>
          <w:szCs w:val="18"/>
          <w:color w:val="auto"/>
        </w:rPr>
      </w:pPr>
      <w:r>
        <w:rPr>
          <w:rFonts w:ascii="Arial" w:cs="Arial" w:eastAsia="Arial" w:hAnsi="Arial"/>
          <w:sz w:val="20"/>
          <w:szCs w:val="20"/>
          <w:color w:val="auto"/>
        </w:rPr>
        <w:t>transfer to TMC of all of TSB’s right, title and interest in, to and under the JV Shares and (ii) assignment of all of TSB’s right, title and interest in, to and under the Existing Agreements to TMC and the assumption by TMC of all of TSB’s obligations and liabilities under the Existing Agreements.</w:t>
      </w:r>
    </w:p>
    <w:p>
      <w:pPr>
        <w:spacing w:after="0" w:line="146" w:lineRule="exact"/>
        <w:rPr>
          <w:rFonts w:ascii="Arial" w:cs="Arial" w:eastAsia="Arial" w:hAnsi="Arial"/>
          <w:sz w:val="18"/>
          <w:szCs w:val="18"/>
          <w:color w:val="auto"/>
        </w:rPr>
      </w:pPr>
    </w:p>
    <w:p>
      <w:pPr>
        <w:ind w:left="1060" w:hanging="404"/>
        <w:spacing w:after="0"/>
        <w:tabs>
          <w:tab w:leader="none" w:pos="10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of TSB, TMC, WD and SanDisk shall, and shall cause its Subsidiaries and the JVs to, cooperate with each Party (and its</w:t>
      </w:r>
    </w:p>
    <w:p>
      <w:pPr>
        <w:spacing w:after="0" w:line="76" w:lineRule="exact"/>
        <w:rPr>
          <w:rFonts w:ascii="Arial" w:cs="Arial" w:eastAsia="Arial" w:hAnsi="Arial"/>
          <w:sz w:val="18"/>
          <w:szCs w:val="18"/>
          <w:color w:val="auto"/>
        </w:rPr>
      </w:pPr>
    </w:p>
    <w:p>
      <w:pPr>
        <w:ind w:right="380"/>
        <w:spacing w:after="0" w:line="329" w:lineRule="auto"/>
        <w:rPr>
          <w:rFonts w:ascii="Arial" w:cs="Arial" w:eastAsia="Arial" w:hAnsi="Arial"/>
          <w:sz w:val="18"/>
          <w:szCs w:val="18"/>
          <w:color w:val="auto"/>
        </w:rPr>
      </w:pPr>
      <w:r>
        <w:rPr>
          <w:rFonts w:ascii="Arial" w:cs="Arial" w:eastAsia="Arial" w:hAnsi="Arial"/>
          <w:sz w:val="18"/>
          <w:szCs w:val="18"/>
          <w:color w:val="auto"/>
        </w:rPr>
        <w:t xml:space="preserve">Subsidiaries and the JVs), take such further actions, execute, deliver and file or cause to be executed, delivered and filed such further documents and instruments, and obtain such further approvals and grant or obtain such further consents, as may be reasonably required or requested by any Party, whether pursuant to the Existing Agreements, the JV Articles of Incorporation, or applicable Law, to effectuate any matter within the scope and to the extent of the consents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including the transfer of TSB’s JV Rights to TMC.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right="120" w:firstLine="8"/>
        <w:spacing w:after="0" w:line="275" w:lineRule="auto"/>
        <w:tabs>
          <w:tab w:leader="none" w:pos="36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26" w:right="239" w:bottom="1440" w:gutter="0" w:footer="0" w:header="0"/>
        </w:sectPr>
      </w:pPr>
    </w:p>
    <w:bookmarkStart w:id="208" w:name="page209"/>
    <w:bookmarkEnd w:id="208"/>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0"/>
        <w:spacing w:after="0" w:line="29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Acknowledgement</w:t>
      </w:r>
      <w:r>
        <w:rPr>
          <w:rFonts w:ascii="Arial" w:cs="Arial" w:eastAsia="Arial" w:hAnsi="Arial"/>
          <w:sz w:val="20"/>
          <w:szCs w:val="20"/>
          <w:color w:val="auto"/>
        </w:rPr>
        <w:t xml:space="preserve">. Notwithstanding anything to the contrary in any Collaboration Agreement (including Section 9.1(a) of each Operating Agreement), except to the extent such Collaboration Agreement by express reference to this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expressly provides otherwise, but subject to the terms of the Undertaking, the Parties acknowledge and agree that:</w:t>
      </w:r>
    </w:p>
    <w:p>
      <w:pPr>
        <w:spacing w:after="0" w:line="140" w:lineRule="exact"/>
        <w:rPr>
          <w:sz w:val="20"/>
          <w:szCs w:val="20"/>
          <w:color w:val="auto"/>
        </w:rPr>
      </w:pPr>
    </w:p>
    <w:p>
      <w:pPr>
        <w:ind w:left="1060" w:hanging="404"/>
        <w:spacing w:after="0"/>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once TMC is no longer a Subsidiary of TSB, TSB and its Subsidiaries (other than TMC and its Subsidiaries) shall no longer be</w:t>
      </w:r>
    </w:p>
    <w:p>
      <w:pPr>
        <w:spacing w:after="0" w:line="76" w:lineRule="exact"/>
        <w:rPr>
          <w:rFonts w:ascii="Arial" w:cs="Arial" w:eastAsia="Arial" w:hAnsi="Arial"/>
          <w:sz w:val="18"/>
          <w:szCs w:val="18"/>
          <w:color w:val="auto"/>
        </w:rPr>
      </w:pPr>
    </w:p>
    <w:p>
      <w:pPr>
        <w:ind w:right="300"/>
        <w:spacing w:after="0" w:line="287" w:lineRule="auto"/>
        <w:rPr>
          <w:rFonts w:ascii="Arial" w:cs="Arial" w:eastAsia="Arial" w:hAnsi="Arial"/>
          <w:sz w:val="18"/>
          <w:szCs w:val="18"/>
          <w:color w:val="auto"/>
        </w:rPr>
      </w:pPr>
      <w:r>
        <w:rPr>
          <w:rFonts w:ascii="Arial" w:cs="Arial" w:eastAsia="Arial" w:hAnsi="Arial"/>
          <w:sz w:val="20"/>
          <w:szCs w:val="20"/>
          <w:color w:val="auto"/>
        </w:rPr>
        <w:t>responsible for any obligations under any Collaboration Agreement to which TMC (or a directly or indirectly wholly owned Subsidiary of TMC) is a party; provided, however: (i) the foregoing shall not relieve TSB and its Subsidiaries from any liability for any breach of any agreement prior to the time at which TMC ceases to be a Subsidiary of TSB and (ii) TSB and its Subsidiaries shall remain bound by any obligations of TMC or any of its Subsidiaries under the Collaboration Agreements to protect and maintain the confidentiality of confidential information;</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once a WD Memory Business Owner is no longer a Subsidiary of WD as a result of a Change of Control permitted under </w:t>
      </w:r>
      <w:r>
        <w:rPr>
          <w:rFonts w:ascii="Arial" w:cs="Arial" w:eastAsia="Arial" w:hAnsi="Arial"/>
          <w:sz w:val="18"/>
          <w:szCs w:val="18"/>
          <w:u w:val="single" w:color="auto"/>
          <w:color w:val="auto"/>
        </w:rPr>
        <w:t>Section</w:t>
      </w:r>
    </w:p>
    <w:p>
      <w:pPr>
        <w:spacing w:after="0" w:line="76" w:lineRule="exact"/>
        <w:rPr>
          <w:rFonts w:ascii="Arial" w:cs="Arial" w:eastAsia="Arial" w:hAnsi="Arial"/>
          <w:sz w:val="18"/>
          <w:szCs w:val="18"/>
          <w:color w:val="auto"/>
        </w:rPr>
      </w:pPr>
    </w:p>
    <w:p>
      <w:pPr>
        <w:ind w:right="60"/>
        <w:spacing w:after="0" w:line="286" w:lineRule="auto"/>
        <w:rPr>
          <w:rFonts w:ascii="Arial" w:cs="Arial" w:eastAsia="Arial" w:hAnsi="Arial"/>
          <w:sz w:val="18"/>
          <w:szCs w:val="18"/>
          <w:color w:val="auto"/>
        </w:rPr>
      </w:pPr>
      <w:r>
        <w:rPr>
          <w:rFonts w:ascii="Arial" w:cs="Arial" w:eastAsia="Arial" w:hAnsi="Arial"/>
          <w:sz w:val="20"/>
          <w:szCs w:val="20"/>
          <w:u w:val="single" w:color="auto"/>
          <w:color w:val="auto"/>
        </w:rPr>
        <w:t>3.7(a)</w:t>
      </w:r>
      <w:r>
        <w:rPr>
          <w:rFonts w:ascii="Arial" w:cs="Arial" w:eastAsia="Arial" w:hAnsi="Arial"/>
          <w:sz w:val="20"/>
          <w:szCs w:val="20"/>
          <w:color w:val="auto"/>
        </w:rPr>
        <w:t>, WD and its Subsidiaries (other than such WD Memory Business Owner and its Subsidiaries) shall no longer be responsible for any obligations under any Collaboration Agreement which such WD Memory Business Owner (or a directly or indirectly wholly owned Subsidiary of such WD Memory Business Owner) is a party; provided, however: (i) the foregoing shall not relieve WD and its Subsidiaries from any liability for any breach of any agreement prior to such Change of Control and (ii) WD and its Subsidiaries shall remain bound by any obligations of such WD Memory Business Owner or any of its Subsidiaries under the Collaboration Agreements to protect and maintain the confidentiality of confidential information;</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once a TMC Memory Business Owner is no longer a Subsidiary of TMC as a result of a Change of Control permitted under</w:t>
      </w:r>
    </w:p>
    <w:p>
      <w:pPr>
        <w:spacing w:after="0" w:line="65" w:lineRule="exact"/>
        <w:rPr>
          <w:rFonts w:ascii="Arial" w:cs="Arial" w:eastAsia="Arial" w:hAnsi="Arial"/>
          <w:sz w:val="19"/>
          <w:szCs w:val="19"/>
          <w:color w:val="auto"/>
        </w:rPr>
      </w:pPr>
    </w:p>
    <w:p>
      <w:pPr>
        <w:ind w:right="100"/>
        <w:spacing w:after="0" w:line="286" w:lineRule="auto"/>
        <w:rPr>
          <w:rFonts w:ascii="Arial" w:cs="Arial" w:eastAsia="Arial" w:hAnsi="Arial"/>
          <w:sz w:val="19"/>
          <w:szCs w:val="19"/>
          <w:color w:val="auto"/>
        </w:rPr>
      </w:pPr>
      <w:r>
        <w:rPr>
          <w:rFonts w:ascii="Arial" w:cs="Arial" w:eastAsia="Arial" w:hAnsi="Arial"/>
          <w:sz w:val="20"/>
          <w:szCs w:val="20"/>
          <w:u w:val="single" w:color="auto"/>
          <w:color w:val="auto"/>
        </w:rPr>
        <w:t>Section 3.7(a)</w:t>
      </w:r>
      <w:r>
        <w:rPr>
          <w:rFonts w:ascii="Arial" w:cs="Arial" w:eastAsia="Arial" w:hAnsi="Arial"/>
          <w:sz w:val="20"/>
          <w:szCs w:val="20"/>
          <w:color w:val="auto"/>
        </w:rPr>
        <w:t>, TMC and its Subsidiaries (other than such Memory Business Owner and its Subsidiaries) shall no longer be responsible for any obligations under any Collaboration Agreement to which such TMC Memory Business Owner (or a directly or indirectly wholly owned Subsidiary of such TMC Memory Business Owner) is a party; provided, however: (i) the foregoing shall not relieve TMC and its Subsidiaries from any liability for any breach of any agreement prior to such Change of Control and (ii) TMC and its Subsidiaries shall remain bound by any obligations of such TMC Memory Business Owner or any of its Subsidiaries under the Collaboration Agreements to protect and maintain the confidentiality of confidential information; and</w:t>
      </w:r>
    </w:p>
    <w:p>
      <w:pPr>
        <w:spacing w:after="0" w:line="151" w:lineRule="exact"/>
        <w:rPr>
          <w:rFonts w:ascii="Arial" w:cs="Arial" w:eastAsia="Arial" w:hAnsi="Arial"/>
          <w:sz w:val="19"/>
          <w:szCs w:val="19"/>
          <w:color w:val="auto"/>
        </w:rPr>
      </w:pPr>
    </w:p>
    <w:p>
      <w:pPr>
        <w:ind w:left="1060" w:hanging="404"/>
        <w:spacing w:after="0"/>
        <w:tabs>
          <w:tab w:leader="none" w:pos="10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once a Memory Business Owner is no longer a Subsidiary of a Person that, immediately prior to a Change of Control permitted</w:t>
      </w:r>
    </w:p>
    <w:p>
      <w:pPr>
        <w:spacing w:after="0" w:line="76" w:lineRule="exact"/>
        <w:rPr>
          <w:rFonts w:ascii="Arial" w:cs="Arial" w:eastAsia="Arial" w:hAnsi="Arial"/>
          <w:sz w:val="18"/>
          <w:szCs w:val="18"/>
          <w:color w:val="auto"/>
        </w:rPr>
      </w:pPr>
    </w:p>
    <w:p>
      <w:pPr>
        <w:ind w:right="60"/>
        <w:spacing w:after="0" w:line="285" w:lineRule="auto"/>
        <w:rPr>
          <w:rFonts w:ascii="Arial" w:cs="Arial" w:eastAsia="Arial" w:hAnsi="Arial"/>
          <w:sz w:val="18"/>
          <w:szCs w:val="18"/>
          <w:color w:val="auto"/>
        </w:rPr>
      </w:pPr>
      <w:r>
        <w:rPr>
          <w:rFonts w:ascii="Arial" w:cs="Arial" w:eastAsia="Arial" w:hAnsi="Arial"/>
          <w:sz w:val="20"/>
          <w:szCs w:val="20"/>
          <w:color w:val="auto"/>
        </w:rPr>
        <w:t xml:space="preserve">under </w:t>
      </w:r>
      <w:r>
        <w:rPr>
          <w:rFonts w:ascii="Arial" w:cs="Arial" w:eastAsia="Arial" w:hAnsi="Arial"/>
          <w:sz w:val="20"/>
          <w:szCs w:val="20"/>
          <w:u w:val="single" w:color="auto"/>
          <w:color w:val="auto"/>
        </w:rPr>
        <w:t>Section 3.7(a),</w:t>
      </w:r>
      <w:r>
        <w:rPr>
          <w:rFonts w:ascii="Arial" w:cs="Arial" w:eastAsia="Arial" w:hAnsi="Arial"/>
          <w:sz w:val="20"/>
          <w:szCs w:val="20"/>
          <w:color w:val="auto"/>
        </w:rPr>
        <w:t xml:space="preserve"> Controlled such Memory Business Owner, such previously Controlling Person and its Subsidiaries (other than such Memory Business Owner and its Subsidiaries) shall no longer be responsible for any obligations under any Collaboration Agreement to which such Memory Business Owner (or a directly or indirectly wholly-owned Subsidiary of such Memory Business Owner) is a party; provided, however: (i) the foregoing shall not relieve any such previously Controlling Person and its Subsidiaries from any liability for any breach of any agreement occurring prior to such Change of Control and (ii) such previously Controlling Person and its Subsidiaries will remain bound by any obligations of such Memory Business Owner or any of its Subsidiaries under the Collaboration Agreements to protect and maintain the confidentiality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8"/>
        <w:spacing w:after="0" w:line="275" w:lineRule="auto"/>
        <w:tabs>
          <w:tab w:leader="none" w:pos="36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26" w:right="239" w:bottom="1440" w:gutter="0" w:footer="0" w:header="0"/>
        </w:sectPr>
      </w:pPr>
    </w:p>
    <w:bookmarkStart w:id="209" w:name="page210"/>
    <w:bookmarkEnd w:id="209"/>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1" w:lineRule="exact"/>
        <w:rPr>
          <w:sz w:val="20"/>
          <w:szCs w:val="20"/>
          <w:color w:val="auto"/>
        </w:rPr>
      </w:pPr>
    </w:p>
    <w:p>
      <w:pPr>
        <w:ind w:left="340" w:hanging="332"/>
        <w:spacing w:after="0"/>
        <w:tabs>
          <w:tab w:leader="none" w:pos="3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End of Access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the execution of the Undertaking, TSB and TMC shall cease the Access Restrictions. TSB</w:t>
      </w:r>
    </w:p>
    <w:p>
      <w:pPr>
        <w:spacing w:after="0" w:line="82" w:lineRule="exact"/>
        <w:rPr>
          <w:rFonts w:ascii="Arial" w:cs="Arial" w:eastAsia="Arial" w:hAnsi="Arial"/>
          <w:sz w:val="18"/>
          <w:szCs w:val="18"/>
          <w:b w:val="1"/>
          <w:bCs w:val="1"/>
          <w:color w:val="auto"/>
        </w:rPr>
      </w:pPr>
    </w:p>
    <w:p>
      <w:pPr>
        <w:ind w:right="80"/>
        <w:spacing w:after="0" w:line="288" w:lineRule="auto"/>
        <w:rPr>
          <w:rFonts w:ascii="Arial" w:cs="Arial" w:eastAsia="Arial" w:hAnsi="Arial"/>
          <w:sz w:val="18"/>
          <w:szCs w:val="18"/>
          <w:b w:val="1"/>
          <w:bCs w:val="1"/>
          <w:color w:val="auto"/>
        </w:rPr>
      </w:pPr>
      <w:r>
        <w:rPr>
          <w:rFonts w:ascii="Arial" w:cs="Arial" w:eastAsia="Arial" w:hAnsi="Arial"/>
          <w:sz w:val="20"/>
          <w:szCs w:val="20"/>
          <w:color w:val="auto"/>
        </w:rPr>
        <w:t>and TMC each hereby acknowledges that upon the execution of the Undertaking, Section 1.8 of the Undertaking shall apply with respect to access by WD and its Subsidiaries (and its and their employees) to certain facilities, databases and information to which TMC restricted access by implementing the Access Restrictions. TSB and TMC each agrees to abide by Section 1.8 of the Undertaking from the execution of the Undertaking.</w:t>
      </w:r>
    </w:p>
    <w:p>
      <w:pPr>
        <w:spacing w:after="0" w:line="146" w:lineRule="exact"/>
        <w:rPr>
          <w:rFonts w:ascii="Arial" w:cs="Arial" w:eastAsia="Arial" w:hAnsi="Arial"/>
          <w:sz w:val="18"/>
          <w:szCs w:val="18"/>
          <w:b w:val="1"/>
          <w:bCs w:val="1"/>
          <w:color w:val="auto"/>
        </w:rPr>
      </w:pPr>
    </w:p>
    <w:p>
      <w:pPr>
        <w:ind w:left="340" w:hanging="332"/>
        <w:spacing w:after="0"/>
        <w:tabs>
          <w:tab w:leader="none" w:pos="340" w:val="left"/>
        </w:tabs>
        <w:numPr>
          <w:ilvl w:val="0"/>
          <w:numId w:val="2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represents and warrants to the other Parties that, as of the Effective Date:</w:t>
      </w:r>
    </w:p>
    <w:p>
      <w:pPr>
        <w:spacing w:after="0" w:line="235"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Organization and Standing</w:t>
      </w:r>
      <w:r>
        <w:rPr>
          <w:rFonts w:ascii="Arial" w:cs="Arial" w:eastAsia="Arial" w:hAnsi="Arial"/>
          <w:sz w:val="20"/>
          <w:szCs w:val="20"/>
          <w:color w:val="auto"/>
        </w:rPr>
        <w:t>. It is duly organized and validly existing and in good standing under the Laws of the jurisdiction in which it is organized.</w:t>
      </w:r>
    </w:p>
    <w:p>
      <w:pPr>
        <w:spacing w:after="0" w:line="122"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Authority; Enforceability</w:t>
      </w:r>
      <w:r>
        <w:rPr>
          <w:rFonts w:ascii="Arial" w:cs="Arial" w:eastAsia="Arial" w:hAnsi="Arial"/>
          <w:sz w:val="20"/>
          <w:szCs w:val="20"/>
          <w:color w:val="auto"/>
        </w:rPr>
        <w:t>. It has the requisite power and authority to enter into this Agreement and to perform its obligations hereunder. All proceedings required to be taken by it to authorize the execution, delivery and performance of this Agreement have been properly taken. This Agreement has been duly and validly executed and delivered by it and constitutes a valid and binding obligation of it, enforceable against it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54" w:lineRule="exact"/>
        <w:rPr>
          <w:sz w:val="20"/>
          <w:szCs w:val="20"/>
          <w:color w:val="auto"/>
        </w:rPr>
      </w:pPr>
    </w:p>
    <w:p>
      <w:pPr>
        <w:ind w:right="160"/>
        <w:spacing w:after="0" w:line="317"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No Conflict</w:t>
      </w:r>
      <w:r>
        <w:rPr>
          <w:rFonts w:ascii="Arial" w:cs="Arial" w:eastAsia="Arial" w:hAnsi="Arial"/>
          <w:sz w:val="20"/>
          <w:szCs w:val="20"/>
          <w:color w:val="auto"/>
        </w:rPr>
        <w:t>. The execution, delivery and performance of this Agreement by it do not and will not (a) breach, violate or conflict with any provision of its charter documents as amended to date or (b) conflict with or violate any Law applicable to it.</w:t>
      </w:r>
    </w:p>
    <w:p>
      <w:pPr>
        <w:spacing w:after="0" w:line="122" w:lineRule="exact"/>
        <w:rPr>
          <w:sz w:val="20"/>
          <w:szCs w:val="20"/>
          <w:color w:val="auto"/>
        </w:rPr>
      </w:pPr>
    </w:p>
    <w:p>
      <w:pPr>
        <w:ind w:right="300"/>
        <w:spacing w:after="0" w:line="317"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No Assigned Claims</w:t>
      </w:r>
      <w:r>
        <w:rPr>
          <w:rFonts w:ascii="Arial" w:cs="Arial" w:eastAsia="Arial" w:hAnsi="Arial"/>
          <w:sz w:val="20"/>
          <w:szCs w:val="20"/>
          <w:color w:val="auto"/>
        </w:rPr>
        <w:t>. It has not assigned to any third party any Claim that is otherwise within the scope of the release it is giving under this Agreement.</w:t>
      </w:r>
    </w:p>
    <w:p>
      <w:pPr>
        <w:spacing w:after="0" w:line="116" w:lineRule="exact"/>
        <w:rPr>
          <w:sz w:val="20"/>
          <w:szCs w:val="20"/>
          <w:color w:val="auto"/>
        </w:rPr>
      </w:pPr>
    </w:p>
    <w:p>
      <w:pPr>
        <w:ind w:left="340" w:hanging="332"/>
        <w:spacing w:after="0"/>
        <w:tabs>
          <w:tab w:leader="none" w:pos="340" w:val="left"/>
        </w:tabs>
        <w:numPr>
          <w:ilvl w:val="0"/>
          <w:numId w:val="2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w:t>
      </w:r>
    </w:p>
    <w:p>
      <w:pPr>
        <w:spacing w:after="0" w:line="235" w:lineRule="exact"/>
        <w:rPr>
          <w:sz w:val="20"/>
          <w:szCs w:val="20"/>
          <w:color w:val="auto"/>
        </w:rPr>
      </w:pPr>
    </w:p>
    <w:p>
      <w:pPr>
        <w:ind w:right="40"/>
        <w:spacing w:after="0" w:line="30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Confidentiality of Agreement</w:t>
      </w:r>
      <w:r>
        <w:rPr>
          <w:rFonts w:ascii="Arial" w:cs="Arial" w:eastAsia="Arial" w:hAnsi="Arial"/>
          <w:sz w:val="19"/>
          <w:szCs w:val="19"/>
          <w:color w:val="auto"/>
        </w:rPr>
        <w:t>. No Party shall, or shall permit any of its Affiliates to, without the prior written consent of the other Parties, issue any public statement, release, announcement or other document, or otherwise publicly disclose or file, all or any part of this Agreement or any description or terms or conditions hereof, except as may be required by applicable Law, including as required to be disclosed by applicable securities or other Laws, provided, that notwithstanding anything herein to the contrary, the Party required to make a disclosure shall, prior to any such disclosure required by the U.S. Securities and Exchange Commission or the Financial Services Authority of Japan, provide the other Parties with notice which includes a copy of the proposed disclosure and consider in good faith such other Parties’ timely input with respect to such disclosure, and, in the case of disclosures or filings required pursuant to Laws other than the Laws and regulations of the U.S. Securities and Exchange Commission or Financial Services Authority of Japan, the Party required to make the applicable disclosure or filing shall cooperate with the other Parties, to the fullest extent practicable under applicable Law, in obtaining any confidential treatment for such disclosure or filing requested by the other Parties prior to making such disclosure or filing, to the extent practicable. Each Party shall use its commercially reasonable efforts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20" w:firstLine="8"/>
        <w:spacing w:after="0" w:line="275" w:lineRule="auto"/>
        <w:tabs>
          <w:tab w:leader="none" w:pos="36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26" w:right="239" w:bottom="1440" w:gutter="0" w:footer="0" w:header="0"/>
        </w:sectPr>
      </w:pPr>
    </w:p>
    <w:bookmarkStart w:id="210" w:name="page211"/>
    <w:bookmarkEnd w:id="210"/>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40"/>
        <w:spacing w:after="0" w:line="338" w:lineRule="auto"/>
        <w:rPr>
          <w:sz w:val="20"/>
          <w:szCs w:val="20"/>
          <w:color w:val="auto"/>
        </w:rPr>
      </w:pPr>
      <w:r>
        <w:rPr>
          <w:rFonts w:ascii="Arial" w:cs="Arial" w:eastAsia="Arial" w:hAnsi="Arial"/>
          <w:sz w:val="18"/>
          <w:szCs w:val="18"/>
          <w:color w:val="auto"/>
        </w:rPr>
        <w:t xml:space="preserve">grant or deny any consent required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the Laws, other than the Laws and regulations of the U.S. Securities and Exchange Commission and the Financial Services Authority of Japan, within five (5) Business Days of receipt of written request by any other Party; provided, however, that a Party’s failure to respond within said time period shall not be deemed to constitute such Party’s consent.</w:t>
      </w:r>
    </w:p>
    <w:p>
      <w:pPr>
        <w:spacing w:after="0" w:line="111"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contents and timing of the initial public announcement regarding this Agreement and/or the subject matter hereof shall be mutually agreed between the Parties prior to the public release of such announcement, and any further public announcements, by or on behalf of a Party shall not be inconsistent with public announcements previously agreed upon by the Parties; provided, however, notwithstanding the foregoing, each Party will be allowed to respond publicly to third party inquiries regarding this Agreement and the subject matter hereof in a manner consistent with any public filings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made by such Party. Nothing in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 construed as restricting any Party’s confidential communications with third parties (including Governmental Authorities or regulators), and in no event shall any Party have any liability or obligation to any other Party with respect thereto.</w:t>
      </w:r>
    </w:p>
    <w:p>
      <w:pPr>
        <w:spacing w:after="0" w:line="118" w:lineRule="exact"/>
        <w:rPr>
          <w:sz w:val="20"/>
          <w:szCs w:val="20"/>
          <w:color w:val="auto"/>
        </w:rPr>
      </w:pPr>
    </w:p>
    <w:p>
      <w:pPr>
        <w:ind w:left="340" w:hanging="332"/>
        <w:spacing w:after="0"/>
        <w:tabs>
          <w:tab w:leader="none" w:pos="340" w:val="left"/>
        </w:tabs>
        <w:numPr>
          <w:ilvl w:val="0"/>
          <w:numId w:val="2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Commitments and Representations</w:t>
      </w:r>
      <w:r>
        <w:rPr>
          <w:rFonts w:ascii="Arial" w:cs="Arial" w:eastAsia="Arial" w:hAnsi="Arial"/>
          <w:sz w:val="20"/>
          <w:szCs w:val="20"/>
          <w:b w:val="1"/>
          <w:bCs w:val="1"/>
          <w:color w:val="auto"/>
        </w:rPr>
        <w:t>.</w:t>
      </w:r>
    </w:p>
    <w:p>
      <w:pPr>
        <w:spacing w:after="0" w:line="235" w:lineRule="exact"/>
        <w:rPr>
          <w:sz w:val="20"/>
          <w:szCs w:val="20"/>
          <w:color w:val="auto"/>
        </w:rPr>
      </w:pPr>
    </w:p>
    <w:p>
      <w:pPr>
        <w:ind w:right="60"/>
        <w:spacing w:after="0" w:line="29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Disclosure of **** and **** Arrangements</w:t>
      </w:r>
      <w:r>
        <w:rPr>
          <w:rFonts w:ascii="Arial" w:cs="Arial" w:eastAsia="Arial" w:hAnsi="Arial"/>
          <w:sz w:val="20"/>
          <w:szCs w:val="20"/>
          <w:color w:val="auto"/>
        </w:rPr>
        <w:t>. Except for true, correct and complete copies of contracts disclosed to WD prior to the date hereof, there are no other contracts, whether written or oral, in effect or contemplated, as of the date hereof, to be in effect between TSB, TMC, or any of their Affiliates as of the date hereof, on the one hand and **** or **** on the other hand, relating to the ownership, voting, Transfer or Control of Equity Interests in any member of the TMC Group.</w:t>
      </w:r>
    </w:p>
    <w:p>
      <w:pPr>
        <w:spacing w:after="0" w:line="146" w:lineRule="exact"/>
        <w:rPr>
          <w:sz w:val="20"/>
          <w:szCs w:val="20"/>
          <w:color w:val="auto"/>
        </w:rPr>
      </w:pPr>
    </w:p>
    <w:p>
      <w:pPr>
        <w:ind w:right="20"/>
        <w:spacing w:after="0" w:line="303"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Pangea Shareholders Agreement</w:t>
      </w:r>
      <w:r>
        <w:rPr>
          <w:rFonts w:ascii="Arial" w:cs="Arial" w:eastAsia="Arial" w:hAnsi="Arial"/>
          <w:sz w:val="19"/>
          <w:szCs w:val="19"/>
          <w:color w:val="auto"/>
        </w:rPr>
        <w:t>. TSB has disclosed to WD a true, correct and complete copy of the term sheet for the Pangea Shareholders Agreement. From the closing of the TMC Sale or Subsequent Bain Transaction until the earlier of (a) **** following the closing of the TMC Sale or Subsequent Bain Transaction and (b) an initial public offering of TMC or Pangea or any entity Controlling TMC or Pangea, TSB shall cause a shareholders’ agreement to be executed by all holders of Equity Interests in TMC or a Person of whom TMC is a wholly-owned Subsidiary which shall be effective as of the closing of the TMC Sale or a Subsequent Bain Transaction, and which shall contain a prohibition on Transfer of Equity Interests in TMC or a Person of whom TMC is a wholly-owned Subsidiary by any holder thereof, which prohibition shall require the approval of both of TSB (for so long as TSB holds at least **** of the Equity Interests or voting rights in Pangea) and Bain Capital to amend, waive, modify, or grant any consent with respect thereto.</w:t>
      </w:r>
    </w:p>
    <w:p>
      <w:pPr>
        <w:spacing w:after="0" w:line="1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8.3</w:t>
        <w:tab/>
        <w:t>****</w:t>
      </w:r>
    </w:p>
    <w:p>
      <w:pPr>
        <w:spacing w:after="0" w:line="223" w:lineRule="exact"/>
        <w:rPr>
          <w:sz w:val="20"/>
          <w:szCs w:val="20"/>
          <w:color w:val="auto"/>
        </w:rPr>
      </w:pPr>
    </w:p>
    <w:p>
      <w:pPr>
        <w:ind w:left="340" w:hanging="332"/>
        <w:spacing w:after="0"/>
        <w:tabs>
          <w:tab w:leader="none" w:pos="340"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and Termination</w:t>
      </w:r>
      <w:r>
        <w:rPr>
          <w:rFonts w:ascii="Arial" w:cs="Arial" w:eastAsia="Arial" w:hAnsi="Arial"/>
          <w:sz w:val="20"/>
          <w:szCs w:val="20"/>
          <w:b w:val="1"/>
          <w:bCs w:val="1"/>
          <w:color w:val="auto"/>
        </w:rPr>
        <w:t>.</w:t>
      </w:r>
    </w:p>
    <w:p>
      <w:pPr>
        <w:spacing w:after="0" w:line="235" w:lineRule="exact"/>
        <w:rPr>
          <w:sz w:val="20"/>
          <w:szCs w:val="20"/>
          <w:color w:val="auto"/>
        </w:rPr>
      </w:pPr>
    </w:p>
    <w:p>
      <w:pPr>
        <w:ind w:right="540"/>
        <w:spacing w:after="0" w:line="317"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be effective as of the Effective Date and shall remain in full force and effect until terminated by written agreement of all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20" w:firstLine="8"/>
        <w:spacing w:after="0" w:line="275" w:lineRule="auto"/>
        <w:tabs>
          <w:tab w:leader="none" w:pos="36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26" w:right="239" w:bottom="1440" w:gutter="0" w:footer="0" w:header="0"/>
        </w:sectPr>
      </w:pPr>
    </w:p>
    <w:bookmarkStart w:id="211" w:name="page212"/>
    <w:bookmarkEnd w:id="211"/>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r>
        <w:rPr>
          <w:rFonts w:ascii="Arial" w:cs="Arial" w:eastAsia="Arial" w:hAnsi="Arial"/>
          <w:sz w:val="18"/>
          <w:szCs w:val="18"/>
          <w:u w:val="single" w:color="auto"/>
          <w:color w:val="auto"/>
        </w:rPr>
        <w:t xml:space="preserve"> Sections 1</w:t>
      </w:r>
      <w:r>
        <w:rPr>
          <w:rFonts w:ascii="Arial" w:cs="Arial" w:eastAsia="Arial" w:hAnsi="Arial"/>
          <w:sz w:val="18"/>
          <w:szCs w:val="18"/>
          <w:color w:val="auto"/>
        </w:rPr>
        <w:t>,</w:t>
      </w:r>
      <w:r>
        <w:rPr>
          <w:rFonts w:ascii="Arial" w:cs="Arial" w:eastAsia="Arial" w:hAnsi="Arial"/>
          <w:sz w:val="18"/>
          <w:szCs w:val="18"/>
          <w:u w:val="single" w:color="auto"/>
          <w:color w:val="auto"/>
        </w:rPr>
        <w:t xml:space="preserve"> 2</w:t>
      </w:r>
      <w:r>
        <w:rPr>
          <w:rFonts w:ascii="Arial" w:cs="Arial" w:eastAsia="Arial" w:hAnsi="Arial"/>
          <w:sz w:val="18"/>
          <w:szCs w:val="18"/>
          <w:color w:val="auto"/>
        </w:rPr>
        <w:t>,</w:t>
      </w:r>
      <w:r>
        <w:rPr>
          <w:rFonts w:ascii="Arial" w:cs="Arial" w:eastAsia="Arial" w:hAnsi="Arial"/>
          <w:sz w:val="18"/>
          <w:szCs w:val="18"/>
          <w:u w:val="single" w:color="auto"/>
          <w:color w:val="auto"/>
        </w:rPr>
        <w:t xml:space="preserve"> 3</w:t>
      </w:r>
      <w:r>
        <w:rPr>
          <w:rFonts w:ascii="Arial" w:cs="Arial" w:eastAsia="Arial" w:hAnsi="Arial"/>
          <w:sz w:val="18"/>
          <w:szCs w:val="18"/>
          <w:color w:val="auto"/>
        </w:rPr>
        <w:t>,</w:t>
      </w:r>
      <w:r>
        <w:rPr>
          <w:rFonts w:ascii="Arial" w:cs="Arial" w:eastAsia="Arial" w:hAnsi="Arial"/>
          <w:sz w:val="18"/>
          <w:szCs w:val="18"/>
          <w:u w:val="single" w:color="auto"/>
          <w:color w:val="auto"/>
        </w:rPr>
        <w:t xml:space="preserve"> 4</w:t>
      </w:r>
      <w:r>
        <w:rPr>
          <w:rFonts w:ascii="Arial" w:cs="Arial" w:eastAsia="Arial" w:hAnsi="Arial"/>
          <w:sz w:val="18"/>
          <w:szCs w:val="18"/>
          <w:color w:val="auto"/>
        </w:rPr>
        <w:t>,</w:t>
      </w:r>
      <w:r>
        <w:rPr>
          <w:rFonts w:ascii="Arial" w:cs="Arial" w:eastAsia="Arial" w:hAnsi="Arial"/>
          <w:sz w:val="18"/>
          <w:szCs w:val="18"/>
          <w:u w:val="single" w:color="auto"/>
          <w:color w:val="auto"/>
        </w:rPr>
        <w:t xml:space="preserve"> 7</w:t>
      </w:r>
      <w:r>
        <w:rPr>
          <w:rFonts w:ascii="Arial" w:cs="Arial" w:eastAsia="Arial" w:hAnsi="Arial"/>
          <w:sz w:val="18"/>
          <w:szCs w:val="18"/>
          <w:color w:val="auto"/>
        </w:rPr>
        <w:t>,</w:t>
      </w:r>
      <w:r>
        <w:rPr>
          <w:rFonts w:ascii="Arial" w:cs="Arial" w:eastAsia="Arial" w:hAnsi="Arial"/>
          <w:sz w:val="18"/>
          <w:szCs w:val="18"/>
          <w:u w:val="single" w:color="auto"/>
          <w:color w:val="auto"/>
        </w:rPr>
        <w:t xml:space="preserve"> 9.2</w:t>
      </w:r>
      <w:r>
        <w:rPr>
          <w:rFonts w:ascii="Arial" w:cs="Arial" w:eastAsia="Arial" w:hAnsi="Arial"/>
          <w:sz w:val="18"/>
          <w:szCs w:val="18"/>
          <w:color w:val="auto"/>
        </w:rPr>
        <w:t>,</w:t>
      </w:r>
      <w:r>
        <w:rPr>
          <w:rFonts w:ascii="Arial" w:cs="Arial" w:eastAsia="Arial" w:hAnsi="Arial"/>
          <w:sz w:val="18"/>
          <w:szCs w:val="18"/>
          <w:u w:val="single" w:color="auto"/>
          <w:color w:val="auto"/>
        </w:rPr>
        <w:t xml:space="preserve"> 10 </w:t>
      </w:r>
      <w:r>
        <w:rPr>
          <w:rFonts w:ascii="Arial" w:cs="Arial" w:eastAsia="Arial" w:hAnsi="Arial"/>
          <w:sz w:val="18"/>
          <w:szCs w:val="18"/>
          <w:color w:val="auto"/>
        </w:rPr>
        <w:t>shall survive any expiration or termination of this Agreement.</w:t>
      </w:r>
    </w:p>
    <w:p>
      <w:pPr>
        <w:spacing w:after="0" w:line="223" w:lineRule="exact"/>
        <w:rPr>
          <w:sz w:val="20"/>
          <w:szCs w:val="20"/>
          <w:color w:val="auto"/>
        </w:rPr>
      </w:pPr>
    </w:p>
    <w:p>
      <w:pPr>
        <w:ind w:left="440" w:hanging="432"/>
        <w:spacing w:after="0"/>
        <w:tabs>
          <w:tab w:leader="none" w:pos="440"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35"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exhibit(s) and schedules hereto, constitute the entire agreement of the Parties to this Agreement with respect to the subject matter hereof and supersedes all prior written and oral agreements and understandings with respect to such subject matter.</w:t>
      </w:r>
    </w:p>
    <w:p>
      <w:pPr>
        <w:spacing w:after="0" w:line="140" w:lineRule="exact"/>
        <w:rPr>
          <w:sz w:val="20"/>
          <w:szCs w:val="20"/>
          <w:color w:val="auto"/>
        </w:rPr>
      </w:pPr>
    </w:p>
    <w:p>
      <w:pPr>
        <w:ind w:right="40"/>
        <w:spacing w:after="0" w:line="303"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Undertaking as to Affiliate Obligations</w:t>
      </w:r>
      <w:r>
        <w:rPr>
          <w:rFonts w:ascii="Arial" w:cs="Arial" w:eastAsia="Arial" w:hAnsi="Arial"/>
          <w:sz w:val="19"/>
          <w:szCs w:val="19"/>
          <w:color w:val="auto"/>
        </w:rPr>
        <w:t xml:space="preserve">. Each Party shall cause all covenants, conditions and agreements that are required to be performed, observed or satisfied by any of its Affiliates under this Agreement to be fully and faithfully observed, performed and satisfied by such Affiliate, and shall not cause or permit to exist any breach or default of such covenants, conditions or agreements arising from such Affiliate’s action or inaction. Nothing expressed or implied in this Agreement shall be construed to create any right in any Person other than the Parties; provided, that (a) Bain Capital shall be a third party beneficiary under </w:t>
      </w:r>
      <w:r>
        <w:rPr>
          <w:rFonts w:ascii="Arial" w:cs="Arial" w:eastAsia="Arial" w:hAnsi="Arial"/>
          <w:sz w:val="19"/>
          <w:szCs w:val="19"/>
          <w:u w:val="single" w:color="auto"/>
          <w:color w:val="auto"/>
        </w:rPr>
        <w:t>Sections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3.1(a)(x)</w:t>
      </w:r>
      <w:r>
        <w:rPr>
          <w:rFonts w:ascii="Arial" w:cs="Arial" w:eastAsia="Arial" w:hAnsi="Arial"/>
          <w:sz w:val="19"/>
          <w:szCs w:val="19"/>
          <w:color w:val="auto"/>
        </w:rPr>
        <w:t xml:space="preserve"> and shall be entitled to rely upon and enforce such sections of this Agreement, but no other sections of this Agreement and (b) any Bain Consortium Member, Auction Participant or bank or other financial institution referenced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be a third party beneficiary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shall be entitled to rely upon and enforce such section of this Agreement, but no other sections of this Agreement.</w:t>
      </w:r>
    </w:p>
    <w:p>
      <w:pPr>
        <w:spacing w:after="0" w:line="143" w:lineRule="exact"/>
        <w:rPr>
          <w:sz w:val="20"/>
          <w:szCs w:val="20"/>
          <w:color w:val="auto"/>
        </w:rPr>
      </w:pPr>
    </w:p>
    <w:p>
      <w:pPr>
        <w:ind w:right="380"/>
        <w:spacing w:after="0" w:line="299"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California applicable to agreements made and to be performed entirely within such state without regard to the conflict of laws principles of such state, except where the application of Japanese law is mandatory.</w:t>
      </w:r>
    </w:p>
    <w:p>
      <w:pPr>
        <w:spacing w:after="0" w:line="140" w:lineRule="exact"/>
        <w:rPr>
          <w:sz w:val="20"/>
          <w:szCs w:val="20"/>
          <w:color w:val="auto"/>
        </w:rPr>
      </w:pPr>
    </w:p>
    <w:p>
      <w:pPr>
        <w:ind w:right="260"/>
        <w:spacing w:after="0" w:line="37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Dispute Resolution; Arbitration</w:t>
      </w:r>
      <w:r>
        <w:rPr>
          <w:rFonts w:ascii="Arial" w:cs="Arial" w:eastAsia="Arial" w:hAnsi="Arial"/>
          <w:sz w:val="16"/>
          <w:szCs w:val="16"/>
          <w:color w:val="auto"/>
        </w:rPr>
        <w:t>. Any dispute concerning this Agreement shall be settled by confidential, binding arbitration in San Francisco, California. The dispute shall be heard by a panel of three arbitrators pursuant to the rules of the International Chamber of Commerce. Such arbitration shall be conducted in English. The awards of such arbitration shall be final and binding upon the parties thereto. Each Party will bear its own fees and expenses associated with the arbitration. Filing fees and arbitrator fees charged by the International Chamber of Commerce shall be borne equally by the claimant(s), on one hand, and the respondent(s), on the other hand, to such arbitration.</w:t>
      </w:r>
    </w:p>
    <w:p>
      <w:pPr>
        <w:spacing w:after="0" w:line="91" w:lineRule="exact"/>
        <w:rPr>
          <w:sz w:val="20"/>
          <w:szCs w:val="20"/>
          <w:color w:val="auto"/>
        </w:rPr>
      </w:pPr>
    </w:p>
    <w:p>
      <w:pPr>
        <w:ind w:right="120"/>
        <w:spacing w:after="0" w:line="313"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Equitable Relief</w:t>
      </w:r>
      <w:r>
        <w:rPr>
          <w:rFonts w:ascii="Arial" w:cs="Arial" w:eastAsia="Arial" w:hAnsi="Arial"/>
          <w:sz w:val="19"/>
          <w:szCs w:val="19"/>
          <w:color w:val="auto"/>
        </w:rPr>
        <w:t xml:space="preserve">. Equitable relief, including the remedies of specific performance and injunction, shall be available with respect to any actual or attempted breach or violation of, or failure to obtain consent when required under, this Agreement; provided, however, in the absence of exigent circumstances, the Parties shall refrain from commencing any lawsuit or seeking judicial relief in connection with such actual or attempted breach and resolve the subject dispute in accordance with the procedures set forth in </w:t>
      </w:r>
      <w:r>
        <w:rPr>
          <w:rFonts w:ascii="Arial" w:cs="Arial" w:eastAsia="Arial" w:hAnsi="Arial"/>
          <w:sz w:val="19"/>
          <w:szCs w:val="19"/>
          <w:u w:val="single" w:color="auto"/>
          <w:color w:val="auto"/>
        </w:rPr>
        <w:t>Section 10.4</w:t>
      </w:r>
      <w:r>
        <w:rPr>
          <w:rFonts w:ascii="Arial" w:cs="Arial" w:eastAsia="Arial" w:hAnsi="Arial"/>
          <w:sz w:val="19"/>
          <w:szCs w:val="19"/>
          <w:color w:val="auto"/>
        </w:rPr>
        <w:t>.</w:t>
      </w:r>
    </w:p>
    <w:p>
      <w:pPr>
        <w:spacing w:after="0" w:line="130" w:lineRule="exact"/>
        <w:rPr>
          <w:sz w:val="20"/>
          <w:szCs w:val="20"/>
          <w:color w:val="auto"/>
        </w:rPr>
      </w:pPr>
    </w:p>
    <w:p>
      <w:pPr>
        <w:ind w:right="100"/>
        <w:spacing w:after="0" w:line="321"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Special Damages</w:t>
      </w:r>
      <w:r>
        <w:rPr>
          <w:rFonts w:ascii="Arial" w:cs="Arial" w:eastAsia="Arial" w:hAnsi="Arial"/>
          <w:sz w:val="19"/>
          <w:szCs w:val="19"/>
          <w:color w:val="auto"/>
        </w:rPr>
        <w:t>. IN THE ABSENCE OF ACTUAL FRAUD, IN NO EVENT SHALL ANY PARTY BE LIABLE TO OR BE REQUIRED TO INDEMNIFY ANY OTHER PARTY OR ANY OF THEIR RESPECTIVE AFFILIATES UNDER THIS AGREEMENT (OR ANY AGREEMENT INTO WHICH THIS PROVISION IS INCORPORATED) FOR ANY SPECIAL, CONSEQUENTIAL,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20" w:firstLine="8"/>
        <w:spacing w:after="0" w:line="275" w:lineRule="auto"/>
        <w:tabs>
          <w:tab w:leader="none" w:pos="36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25" w:right="239" w:bottom="1440" w:gutter="0" w:footer="0" w:header="0"/>
        </w:sectPr>
      </w:pPr>
    </w:p>
    <w:bookmarkStart w:id="212" w:name="page213"/>
    <w:bookmarkEnd w:id="212"/>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700"/>
        <w:spacing w:after="0" w:line="303" w:lineRule="auto"/>
        <w:rPr>
          <w:sz w:val="20"/>
          <w:szCs w:val="20"/>
          <w:color w:val="auto"/>
        </w:rPr>
      </w:pPr>
      <w:r>
        <w:rPr>
          <w:rFonts w:ascii="Arial" w:cs="Arial" w:eastAsia="Arial" w:hAnsi="Arial"/>
          <w:sz w:val="20"/>
          <w:szCs w:val="20"/>
          <w:color w:val="auto"/>
        </w:rPr>
        <w:t>INCIDENTAL OR INDIRECT DAMAGE OF ANY KIND, (INCLUDING WITHOUT LIMITATION LOSS OF PROFIT OR DATA), WHETHER OR NOT ADVISED OF THE POSSIBILITY OF SUCH LOSS.</w:t>
      </w:r>
    </w:p>
    <w:p>
      <w:pPr>
        <w:spacing w:after="0" w:line="135" w:lineRule="exact"/>
        <w:rPr>
          <w:sz w:val="20"/>
          <w:szCs w:val="20"/>
          <w:color w:val="auto"/>
        </w:rPr>
      </w:pPr>
    </w:p>
    <w:p>
      <w:pPr>
        <w:ind w:right="220"/>
        <w:spacing w:after="0" w:line="293"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Relationship of the Parties</w:t>
      </w:r>
      <w:r>
        <w:rPr>
          <w:rFonts w:ascii="Arial" w:cs="Arial" w:eastAsia="Arial" w:hAnsi="Arial"/>
          <w:sz w:val="20"/>
          <w:szCs w:val="20"/>
          <w:color w:val="auto"/>
        </w:rPr>
        <w:t xml:space="preserve">. The Parties are independent contractors and no provision of or action pursuant to this Agreement shall constitute any Party acting as the direct or indirect agent or partner of any other Party for any purpose or in any sense whatsoever. Nothing contained in this Agreement is intended to, or shall be deemed to, create a partnership or fiduciary relationship between or among the Parties. No Party shall take a position contrary to this </w:t>
      </w:r>
      <w:r>
        <w:rPr>
          <w:rFonts w:ascii="Arial" w:cs="Arial" w:eastAsia="Arial" w:hAnsi="Arial"/>
          <w:sz w:val="20"/>
          <w:szCs w:val="20"/>
          <w:u w:val="single" w:color="auto"/>
          <w:color w:val="auto"/>
        </w:rPr>
        <w:t>Section 10.7</w:t>
      </w:r>
      <w:r>
        <w:rPr>
          <w:rFonts w:ascii="Arial" w:cs="Arial" w:eastAsia="Arial" w:hAnsi="Arial"/>
          <w:sz w:val="20"/>
          <w:szCs w:val="20"/>
          <w:color w:val="auto"/>
        </w:rPr>
        <w:t>.</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Official Language</w:t>
      </w:r>
      <w:r>
        <w:rPr>
          <w:rFonts w:ascii="Arial" w:cs="Arial" w:eastAsia="Arial" w:hAnsi="Arial"/>
          <w:sz w:val="20"/>
          <w:szCs w:val="20"/>
          <w:color w:val="auto"/>
        </w:rPr>
        <w:t>. The official language of this Agreement is the English language only, which language shall be controlling in all respects, and all versions of this Agreement in any other language shall not be binding on the Parties nor shall such other versions be admissible in any legal proceeding, including arbitration, brought under this Agreement. All communications and notices to be made or given pursuant to this Agreement shall be in the English language.</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29" w:lineRule="exact"/>
        <w:rPr>
          <w:sz w:val="20"/>
          <w:szCs w:val="20"/>
          <w:color w:val="auto"/>
        </w:rPr>
      </w:pPr>
    </w:p>
    <w:p>
      <w:pPr>
        <w:ind w:left="1060" w:hanging="404"/>
        <w:spacing w:after="0"/>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Treatment of Ambiguities</w:t>
      </w:r>
      <w:r>
        <w:rPr>
          <w:rFonts w:ascii="Arial" w:cs="Arial" w:eastAsia="Arial" w:hAnsi="Arial"/>
          <w:sz w:val="18"/>
          <w:szCs w:val="18"/>
          <w:color w:val="auto"/>
        </w:rPr>
        <w:t>. The Parties acknowledge that each Party has participated in the drafting of this Agreement, and that</w:t>
      </w:r>
    </w:p>
    <w:p>
      <w:pPr>
        <w:spacing w:after="0" w:line="76" w:lineRule="exact"/>
        <w:rPr>
          <w:rFonts w:ascii="Arial" w:cs="Arial" w:eastAsia="Arial" w:hAnsi="Arial"/>
          <w:sz w:val="18"/>
          <w:szCs w:val="18"/>
          <w:color w:val="auto"/>
        </w:rPr>
      </w:pPr>
    </w:p>
    <w:p>
      <w:pPr>
        <w:ind w:right="400"/>
        <w:spacing w:after="0" w:line="303" w:lineRule="auto"/>
        <w:rPr>
          <w:rFonts w:ascii="Arial" w:cs="Arial" w:eastAsia="Arial" w:hAnsi="Arial"/>
          <w:sz w:val="18"/>
          <w:szCs w:val="18"/>
          <w:color w:val="auto"/>
        </w:rPr>
      </w:pPr>
      <w:r>
        <w:rPr>
          <w:rFonts w:ascii="Arial" w:cs="Arial" w:eastAsia="Arial" w:hAnsi="Arial"/>
          <w:sz w:val="20"/>
          <w:szCs w:val="20"/>
          <w:color w:val="auto"/>
        </w:rPr>
        <w:t>any rule of construction to the effect that ambiguities are to be resolved against the drafting party shall not be applied in the construction or interpretation of this Agreement.</w:t>
      </w:r>
    </w:p>
    <w:p>
      <w:pPr>
        <w:spacing w:after="0" w:line="135" w:lineRule="exact"/>
        <w:rPr>
          <w:rFonts w:ascii="Arial" w:cs="Arial" w:eastAsia="Arial" w:hAnsi="Arial"/>
          <w:sz w:val="18"/>
          <w:szCs w:val="18"/>
          <w:color w:val="auto"/>
        </w:rPr>
      </w:pPr>
    </w:p>
    <w:p>
      <w:pPr>
        <w:ind w:left="1060" w:hanging="404"/>
        <w:spacing w:after="0"/>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References; Construction</w:t>
      </w:r>
      <w:r>
        <w:rPr>
          <w:rFonts w:ascii="Arial" w:cs="Arial" w:eastAsia="Arial" w:hAnsi="Arial"/>
          <w:sz w:val="18"/>
          <w:szCs w:val="18"/>
          <w:color w:val="auto"/>
        </w:rPr>
        <w:t>. Unless otherwise indicated herein, with respect to any reference made in this Agreement to a Section,</w:t>
      </w:r>
    </w:p>
    <w:p>
      <w:pPr>
        <w:spacing w:after="0" w:line="76" w:lineRule="exact"/>
        <w:rPr>
          <w:rFonts w:ascii="Arial" w:cs="Arial" w:eastAsia="Arial" w:hAnsi="Arial"/>
          <w:sz w:val="18"/>
          <w:szCs w:val="18"/>
          <w:color w:val="auto"/>
        </w:rPr>
      </w:pPr>
    </w:p>
    <w:p>
      <w:pPr>
        <w:ind w:right="60"/>
        <w:spacing w:after="0" w:line="284" w:lineRule="auto"/>
        <w:rPr>
          <w:rFonts w:ascii="Arial" w:cs="Arial" w:eastAsia="Arial" w:hAnsi="Arial"/>
          <w:sz w:val="18"/>
          <w:szCs w:val="18"/>
          <w:color w:val="auto"/>
        </w:rPr>
      </w:pPr>
      <w:r>
        <w:rPr>
          <w:rFonts w:ascii="Arial" w:cs="Arial" w:eastAsia="Arial" w:hAnsi="Arial"/>
          <w:sz w:val="20"/>
          <w:szCs w:val="20"/>
          <w:color w:val="auto"/>
        </w:rPr>
        <w:t>Exhibit or Schedule, such reference shall be to a section of, or an exhibit or a schedule to, this Agreement. The section headings contained in this Agreement and the recitals at the beginning of this Agreement are for reference purposes only and shall not, other than to define the capitalized terms defined therein, affect in any way the meaning or interpretation of this Agreement or any other agreement. The words “include,” “includes” and “including,” when used in this Agreement, shall be deemed to be followed by the phrase “without limitation.” The words “herein,” “hereof,” “hereunder” and words of like import shall refer to this Agreement as a whole (including its exhibits and schedules), unless the context clearly indicates to the contrary. Any reference made in this Agreement to any Existing Agreement shall be deemed, unless the context clearly indicates to the contrary, to refer to such Existing Agreement as such Existing Agreement may be amended or supplemented from time to time. As referred to herein, all references to “Pangea” or “TMC” shall be deemed to include the surviving entity in the TMC Merger.</w:t>
      </w:r>
    </w:p>
    <w:p>
      <w:pPr>
        <w:spacing w:after="0" w:line="157" w:lineRule="exact"/>
        <w:rPr>
          <w:rFonts w:ascii="Arial" w:cs="Arial" w:eastAsia="Arial" w:hAnsi="Arial"/>
          <w:sz w:val="18"/>
          <w:szCs w:val="18"/>
          <w:color w:val="auto"/>
        </w:rPr>
      </w:pPr>
    </w:p>
    <w:p>
      <w:pPr>
        <w:ind w:left="1060" w:hanging="404"/>
        <w:spacing w:after="0"/>
        <w:tabs>
          <w:tab w:leader="none" w:pos="10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Order of Precedence</w:t>
      </w:r>
      <w:r>
        <w:rPr>
          <w:rFonts w:ascii="Arial" w:cs="Arial" w:eastAsia="Arial" w:hAnsi="Arial"/>
          <w:sz w:val="18"/>
          <w:szCs w:val="18"/>
          <w:color w:val="auto"/>
        </w:rPr>
        <w:t>. To the extent that a provision in this Agreement expressly conflicts with an Existing Agreement, then the</w:t>
      </w:r>
    </w:p>
    <w:p>
      <w:pPr>
        <w:spacing w:after="0" w:line="76" w:lineRule="exact"/>
        <w:rPr>
          <w:rFonts w:ascii="Arial" w:cs="Arial" w:eastAsia="Arial" w:hAnsi="Arial"/>
          <w:sz w:val="18"/>
          <w:szCs w:val="18"/>
          <w:color w:val="auto"/>
        </w:rPr>
      </w:pPr>
    </w:p>
    <w:p>
      <w:pPr>
        <w:ind w:right="300"/>
        <w:spacing w:after="0" w:line="303" w:lineRule="auto"/>
        <w:rPr>
          <w:rFonts w:ascii="Arial" w:cs="Arial" w:eastAsia="Arial" w:hAnsi="Arial"/>
          <w:sz w:val="18"/>
          <w:szCs w:val="18"/>
          <w:color w:val="auto"/>
        </w:rPr>
      </w:pPr>
      <w:r>
        <w:rPr>
          <w:rFonts w:ascii="Arial" w:cs="Arial" w:eastAsia="Arial" w:hAnsi="Arial"/>
          <w:sz w:val="20"/>
          <w:szCs w:val="20"/>
          <w:color w:val="auto"/>
        </w:rPr>
        <w:t>provisions of this Agreement will control as to such conflict; provided, however, that unless otherwise provided herein, the provisions of the Existing Agreement remain in effect.</w:t>
      </w:r>
    </w:p>
    <w:p>
      <w:pPr>
        <w:spacing w:after="0" w:line="135"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Notices and Contact Information</w:t>
      </w:r>
      <w:r>
        <w:rPr>
          <w:rFonts w:ascii="Arial" w:cs="Arial" w:eastAsia="Arial" w:hAnsi="Arial"/>
          <w:sz w:val="20"/>
          <w:szCs w:val="20"/>
          <w:color w:val="auto"/>
        </w:rPr>
        <w:t>. All notices and other communications to be given or made under this Agreement shall be in writing and shall be deemed received (a) if delivered by hand, courier or overnight delivery service, when delivered, (b) if delivered by email, the earlier of (i) when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20" w:firstLine="8"/>
        <w:spacing w:after="0" w:line="275" w:lineRule="auto"/>
        <w:tabs>
          <w:tab w:leader="none" w:pos="36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26" w:right="239" w:bottom="1440" w:gutter="0" w:footer="0" w:header="0"/>
        </w:sectPr>
      </w:pPr>
    </w:p>
    <w:bookmarkStart w:id="213" w:name="page214"/>
    <w:bookmarkEnd w:id="213"/>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 xml:space="preserve">by an email sent to the email address for the sending party stated in this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or by a notice delivered by another method in accordance with this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acknowledges having received that email (provided, however, than an automatic “read receipt” will not constitute acknowledgement of an email for purposes of this </w:t>
      </w:r>
      <w:r>
        <w:rPr>
          <w:rFonts w:ascii="Arial" w:cs="Arial" w:eastAsia="Arial" w:hAnsi="Arial"/>
          <w:sz w:val="20"/>
          <w:szCs w:val="20"/>
          <w:u w:val="single" w:color="auto"/>
          <w:color w:val="auto"/>
        </w:rPr>
        <w:t>Section 10.10(b)(i)</w:t>
      </w:r>
      <w:r>
        <w:rPr>
          <w:rFonts w:ascii="Arial" w:cs="Arial" w:eastAsia="Arial" w:hAnsi="Arial"/>
          <w:sz w:val="20"/>
          <w:szCs w:val="20"/>
          <w:color w:val="auto"/>
        </w:rPr>
        <w:t>) or (ii) when the email is delivered, if followed within two Business Days by delivery of a copy by hand, courier or overnight delivery service, or (c) five days after being mailed by certified or registered mail, return receipt requested, with appropriate postage prepaid and shall be directed to the address of such Party specified below (or at such other address as such Party shall designate by like notice):</w:t>
      </w:r>
    </w:p>
    <w:p>
      <w:pPr>
        <w:spacing w:after="0" w:line="1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If to TSB:</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Toshiba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1-1 Shibaura 1-chome</w:t>
      </w:r>
    </w:p>
    <w:p>
      <w:pPr>
        <w:ind w:left="1300"/>
        <w:spacing w:after="0"/>
        <w:rPr>
          <w:sz w:val="20"/>
          <w:szCs w:val="20"/>
          <w:color w:val="auto"/>
        </w:rPr>
      </w:pPr>
      <w:r>
        <w:rPr>
          <w:rFonts w:ascii="Arial" w:cs="Arial" w:eastAsia="Arial" w:hAnsi="Arial"/>
          <w:sz w:val="20"/>
          <w:szCs w:val="20"/>
          <w:color w:val="auto"/>
        </w:rPr>
        <w:t>Minato-ku, Tokyo 105-8001</w:t>
      </w:r>
    </w:p>
    <w:p>
      <w:pPr>
        <w:ind w:left="1300"/>
        <w:spacing w:after="0"/>
        <w:rPr>
          <w:sz w:val="20"/>
          <w:szCs w:val="20"/>
          <w:color w:val="auto"/>
        </w:rPr>
      </w:pPr>
      <w:r>
        <w:rPr>
          <w:rFonts w:ascii="Arial" w:cs="Arial" w:eastAsia="Arial" w:hAnsi="Arial"/>
          <w:sz w:val="20"/>
          <w:szCs w:val="20"/>
          <w:color w:val="auto"/>
        </w:rPr>
        <w:t>Telephone: ****</w:t>
      </w:r>
    </w:p>
    <w:p>
      <w:pPr>
        <w:ind w:left="1300"/>
        <w:spacing w:after="0"/>
        <w:rPr>
          <w:sz w:val="20"/>
          <w:szCs w:val="20"/>
          <w:color w:val="auto"/>
        </w:rPr>
      </w:pPr>
      <w:r>
        <w:rPr>
          <w:rFonts w:ascii="Arial" w:cs="Arial" w:eastAsia="Arial" w:hAnsi="Arial"/>
          <w:sz w:val="20"/>
          <w:szCs w:val="20"/>
          <w:color w:val="auto"/>
        </w:rPr>
        <w:t>Email: ****</w:t>
      </w:r>
    </w:p>
    <w:p>
      <w:pPr>
        <w:ind w:left="1300"/>
        <w:spacing w:after="0"/>
        <w:tabs>
          <w:tab w:leader="none" w:pos="2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General Manager, Strategic Planning Div.</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391"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Toshiba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1-1 Shibaura 1-chome</w:t>
      </w:r>
    </w:p>
    <w:p>
      <w:pPr>
        <w:ind w:left="1340"/>
        <w:spacing w:after="0"/>
        <w:rPr>
          <w:sz w:val="20"/>
          <w:szCs w:val="20"/>
          <w:color w:val="auto"/>
        </w:rPr>
      </w:pPr>
      <w:r>
        <w:rPr>
          <w:rFonts w:ascii="Arial" w:cs="Arial" w:eastAsia="Arial" w:hAnsi="Arial"/>
          <w:sz w:val="20"/>
          <w:szCs w:val="20"/>
          <w:color w:val="auto"/>
        </w:rPr>
        <w:t>Minato-ku, Tokyo 105-8001 Japan</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 xml:space="preserve">Telephone: </w:t>
      </w:r>
      <w:r>
        <w:rPr>
          <w:rFonts w:ascii="Arial" w:cs="Arial" w:eastAsia="Arial" w:hAnsi="Arial"/>
          <w:sz w:val="21"/>
          <w:szCs w:val="21"/>
          <w:color w:val="auto"/>
        </w:rPr>
        <w:t>****</w:t>
      </w:r>
    </w:p>
    <w:p>
      <w:pPr>
        <w:ind w:left="1340"/>
        <w:spacing w:after="0"/>
        <w:rPr>
          <w:sz w:val="20"/>
          <w:szCs w:val="20"/>
          <w:color w:val="auto"/>
        </w:rPr>
      </w:pPr>
      <w:r>
        <w:rPr>
          <w:rFonts w:ascii="Arial" w:cs="Arial" w:eastAsia="Arial" w:hAnsi="Arial"/>
          <w:sz w:val="20"/>
          <w:szCs w:val="20"/>
          <w:color w:val="auto"/>
        </w:rPr>
        <w:t>Email: ****</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Attention: Group Manager, Group Relations Group</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Group Manager, Corporate Development Group</w:t>
      </w:r>
    </w:p>
    <w:p>
      <w:pPr>
        <w:ind w:left="2260"/>
        <w:spacing w:after="0"/>
        <w:rPr>
          <w:sz w:val="20"/>
          <w:szCs w:val="20"/>
          <w:color w:val="auto"/>
        </w:rPr>
      </w:pPr>
      <w:r>
        <w:rPr>
          <w:rFonts w:ascii="Arial" w:cs="Arial" w:eastAsia="Arial" w:hAnsi="Arial"/>
          <w:sz w:val="20"/>
          <w:szCs w:val="20"/>
          <w:color w:val="auto"/>
        </w:rPr>
        <w:t>General Manager, Legal Affairs Division</w:t>
      </w:r>
    </w:p>
    <w:p>
      <w:pPr>
        <w:spacing w:after="0" w:line="26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(b)</w:t>
        <w:tab/>
        <w:t>If to TMC:</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Toshiba Memory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1-1 Shibaura 1-chome</w:t>
      </w:r>
    </w:p>
    <w:p>
      <w:pPr>
        <w:ind w:left="1300"/>
        <w:spacing w:after="0"/>
        <w:rPr>
          <w:sz w:val="20"/>
          <w:szCs w:val="20"/>
          <w:color w:val="auto"/>
        </w:rPr>
      </w:pPr>
      <w:r>
        <w:rPr>
          <w:rFonts w:ascii="Arial" w:cs="Arial" w:eastAsia="Arial" w:hAnsi="Arial"/>
          <w:sz w:val="20"/>
          <w:szCs w:val="20"/>
          <w:color w:val="auto"/>
        </w:rPr>
        <w:t>Minato-ku, Tokyo 105-0023 Japan</w:t>
      </w:r>
    </w:p>
    <w:p>
      <w:pPr>
        <w:ind w:left="1300"/>
        <w:spacing w:after="0"/>
        <w:rPr>
          <w:sz w:val="20"/>
          <w:szCs w:val="20"/>
          <w:color w:val="auto"/>
        </w:rPr>
      </w:pPr>
      <w:r>
        <w:rPr>
          <w:rFonts w:ascii="Arial" w:cs="Arial" w:eastAsia="Arial" w:hAnsi="Arial"/>
          <w:sz w:val="20"/>
          <w:szCs w:val="20"/>
          <w:color w:val="auto"/>
        </w:rPr>
        <w:t>Telephone: ****</w:t>
      </w:r>
    </w:p>
    <w:p>
      <w:pPr>
        <w:ind w:left="1300"/>
        <w:spacing w:after="0"/>
        <w:rPr>
          <w:sz w:val="20"/>
          <w:szCs w:val="20"/>
          <w:color w:val="auto"/>
        </w:rPr>
      </w:pPr>
      <w:r>
        <w:rPr>
          <w:rFonts w:ascii="Arial" w:cs="Arial" w:eastAsia="Arial" w:hAnsi="Arial"/>
          <w:sz w:val="20"/>
          <w:szCs w:val="20"/>
          <w:color w:val="auto"/>
        </w:rPr>
        <w:t>Email: ****</w:t>
      </w:r>
    </w:p>
    <w:p>
      <w:pPr>
        <w:ind w:left="1300"/>
        <w:spacing w:after="0"/>
        <w:rPr>
          <w:sz w:val="20"/>
          <w:szCs w:val="20"/>
          <w:color w:val="auto"/>
        </w:rPr>
      </w:pPr>
      <w:r>
        <w:rPr>
          <w:rFonts w:ascii="Arial" w:cs="Arial" w:eastAsia="Arial" w:hAnsi="Arial"/>
          <w:sz w:val="20"/>
          <w:szCs w:val="20"/>
          <w:color w:val="auto"/>
        </w:rPr>
        <w:t>Attention: Executive Vice President, Chief Operating Officer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Toshiba Memory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1-1 Shibaura 1-chome</w:t>
      </w:r>
    </w:p>
    <w:p>
      <w:pPr>
        <w:ind w:left="1300"/>
        <w:spacing w:after="0"/>
        <w:rPr>
          <w:sz w:val="20"/>
          <w:szCs w:val="20"/>
          <w:color w:val="auto"/>
        </w:rPr>
      </w:pPr>
      <w:r>
        <w:rPr>
          <w:rFonts w:ascii="Arial" w:cs="Arial" w:eastAsia="Arial" w:hAnsi="Arial"/>
          <w:sz w:val="20"/>
          <w:szCs w:val="20"/>
          <w:color w:val="auto"/>
        </w:rPr>
        <w:t>Minato-ku, Tokyo 105-0023 Japan</w:t>
      </w:r>
    </w:p>
    <w:p>
      <w:pPr>
        <w:ind w:left="1300"/>
        <w:spacing w:after="0"/>
        <w:rPr>
          <w:sz w:val="20"/>
          <w:szCs w:val="20"/>
          <w:color w:val="auto"/>
        </w:rPr>
      </w:pPr>
      <w:r>
        <w:rPr>
          <w:rFonts w:ascii="Arial" w:cs="Arial" w:eastAsia="Arial" w:hAnsi="Arial"/>
          <w:sz w:val="20"/>
          <w:szCs w:val="20"/>
          <w:color w:val="auto"/>
        </w:rPr>
        <w:t>Telephone: ****</w:t>
      </w:r>
    </w:p>
    <w:p>
      <w:pPr>
        <w:ind w:left="1300"/>
        <w:spacing w:after="0"/>
        <w:rPr>
          <w:sz w:val="20"/>
          <w:szCs w:val="20"/>
          <w:color w:val="auto"/>
        </w:rPr>
      </w:pPr>
      <w:r>
        <w:rPr>
          <w:rFonts w:ascii="Arial" w:cs="Arial" w:eastAsia="Arial" w:hAnsi="Arial"/>
          <w:sz w:val="20"/>
          <w:szCs w:val="20"/>
          <w:color w:val="auto"/>
        </w:rPr>
        <w:t>Email: ****</w:t>
      </w:r>
    </w:p>
    <w:p>
      <w:pPr>
        <w:ind w:left="1300"/>
        <w:spacing w:after="0"/>
        <w:tabs>
          <w:tab w:leader="none" w:pos="22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General Manager, Legal Affairs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firstLine="8"/>
        <w:spacing w:after="0" w:line="275" w:lineRule="auto"/>
        <w:tabs>
          <w:tab w:leader="none" w:pos="36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26" w:right="239" w:bottom="1440" w:gutter="0" w:footer="0" w:header="0"/>
        </w:sectPr>
      </w:pPr>
    </w:p>
    <w:bookmarkStart w:id="214" w:name="page215"/>
    <w:bookmarkEnd w:id="21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9"/>
          <w:szCs w:val="19"/>
          <w:color w:val="auto"/>
        </w:rPr>
        <w:t>If to WD: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Western Digital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5601 Great Oaks Parkway</w:t>
      </w:r>
    </w:p>
    <w:p>
      <w:pPr>
        <w:ind w:left="1300"/>
        <w:spacing w:after="0"/>
        <w:rPr>
          <w:sz w:val="20"/>
          <w:szCs w:val="20"/>
          <w:color w:val="auto"/>
        </w:rPr>
      </w:pPr>
      <w:r>
        <w:rPr>
          <w:rFonts w:ascii="Arial" w:cs="Arial" w:eastAsia="Arial" w:hAnsi="Arial"/>
          <w:sz w:val="20"/>
          <w:szCs w:val="20"/>
          <w:color w:val="auto"/>
        </w:rPr>
        <w:t>San Jose, CA 95119</w:t>
      </w:r>
    </w:p>
    <w:p>
      <w:pPr>
        <w:ind w:left="1300"/>
        <w:spacing w:after="0"/>
        <w:rPr>
          <w:sz w:val="20"/>
          <w:szCs w:val="20"/>
          <w:color w:val="auto"/>
        </w:rPr>
      </w:pPr>
      <w:r>
        <w:rPr>
          <w:rFonts w:ascii="Arial" w:cs="Arial" w:eastAsia="Arial" w:hAnsi="Arial"/>
          <w:sz w:val="20"/>
          <w:szCs w:val="20"/>
          <w:color w:val="auto"/>
        </w:rPr>
        <w:t>Telephone: (408) 717-6000</w:t>
      </w:r>
    </w:p>
    <w:p>
      <w:pPr>
        <w:ind w:left="1300"/>
        <w:spacing w:after="0"/>
        <w:rPr>
          <w:sz w:val="20"/>
          <w:szCs w:val="20"/>
          <w:color w:val="auto"/>
        </w:rPr>
      </w:pPr>
      <w:r>
        <w:rPr>
          <w:rFonts w:ascii="Arial" w:cs="Arial" w:eastAsia="Arial" w:hAnsi="Arial"/>
          <w:sz w:val="20"/>
          <w:szCs w:val="20"/>
          <w:color w:val="auto"/>
        </w:rPr>
        <w:t>E-mail: ****</w:t>
      </w:r>
    </w:p>
    <w:p>
      <w:pPr>
        <w:ind w:left="1300"/>
        <w:spacing w:after="0"/>
        <w:rPr>
          <w:sz w:val="20"/>
          <w:szCs w:val="20"/>
          <w:color w:val="auto"/>
        </w:rPr>
      </w:pPr>
      <w:r>
        <w:rPr>
          <w:rFonts w:ascii="Arial" w:cs="Arial" w:eastAsia="Arial" w:hAnsi="Arial"/>
          <w:sz w:val="20"/>
          <w:szCs w:val="20"/>
          <w:color w:val="auto"/>
        </w:rPr>
        <w:t>Attention: Chief Legal Officer</w:t>
      </w:r>
    </w:p>
    <w:p>
      <w:pPr>
        <w:spacing w:after="0" w:line="24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If to SanDisk:</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SanDisk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 Western Digital Corporation</w:t>
      </w:r>
    </w:p>
    <w:p>
      <w:pPr>
        <w:ind w:left="1300"/>
        <w:spacing w:after="0"/>
        <w:rPr>
          <w:sz w:val="20"/>
          <w:szCs w:val="20"/>
          <w:color w:val="auto"/>
        </w:rPr>
      </w:pPr>
      <w:r>
        <w:rPr>
          <w:rFonts w:ascii="Arial" w:cs="Arial" w:eastAsia="Arial" w:hAnsi="Arial"/>
          <w:sz w:val="20"/>
          <w:szCs w:val="20"/>
          <w:color w:val="auto"/>
        </w:rPr>
        <w:t>5601 Great Oaks Parkway</w:t>
      </w:r>
    </w:p>
    <w:p>
      <w:pPr>
        <w:ind w:left="1300"/>
        <w:spacing w:after="0"/>
        <w:rPr>
          <w:sz w:val="20"/>
          <w:szCs w:val="20"/>
          <w:color w:val="auto"/>
        </w:rPr>
      </w:pPr>
      <w:r>
        <w:rPr>
          <w:rFonts w:ascii="Arial" w:cs="Arial" w:eastAsia="Arial" w:hAnsi="Arial"/>
          <w:sz w:val="20"/>
          <w:szCs w:val="20"/>
          <w:color w:val="auto"/>
        </w:rPr>
        <w:t>San Jose, CA 95119</w:t>
      </w:r>
    </w:p>
    <w:p>
      <w:pPr>
        <w:ind w:left="1300"/>
        <w:spacing w:after="0"/>
        <w:rPr>
          <w:sz w:val="20"/>
          <w:szCs w:val="20"/>
          <w:color w:val="auto"/>
        </w:rPr>
      </w:pPr>
      <w:r>
        <w:rPr>
          <w:rFonts w:ascii="Arial" w:cs="Arial" w:eastAsia="Arial" w:hAnsi="Arial"/>
          <w:sz w:val="20"/>
          <w:szCs w:val="20"/>
          <w:color w:val="auto"/>
        </w:rPr>
        <w:t>Telephone: (408) 717-6000</w:t>
      </w:r>
    </w:p>
    <w:p>
      <w:pPr>
        <w:ind w:left="1300"/>
        <w:spacing w:after="0"/>
        <w:rPr>
          <w:sz w:val="20"/>
          <w:szCs w:val="20"/>
          <w:color w:val="auto"/>
        </w:rPr>
      </w:pPr>
      <w:r>
        <w:rPr>
          <w:rFonts w:ascii="Arial" w:cs="Arial" w:eastAsia="Arial" w:hAnsi="Arial"/>
          <w:sz w:val="20"/>
          <w:szCs w:val="20"/>
          <w:color w:val="auto"/>
        </w:rPr>
        <w:t>E-mail: ****</w:t>
      </w:r>
    </w:p>
    <w:p>
      <w:pPr>
        <w:ind w:left="1300"/>
        <w:spacing w:after="0"/>
        <w:rPr>
          <w:sz w:val="20"/>
          <w:szCs w:val="20"/>
          <w:color w:val="auto"/>
        </w:rPr>
      </w:pPr>
      <w:r>
        <w:rPr>
          <w:rFonts w:ascii="Arial" w:cs="Arial" w:eastAsia="Arial" w:hAnsi="Arial"/>
          <w:sz w:val="20"/>
          <w:szCs w:val="20"/>
          <w:color w:val="auto"/>
        </w:rPr>
        <w:t>Attention: Chief Legal Officer</w:t>
      </w:r>
    </w:p>
    <w:p>
      <w:pPr>
        <w:spacing w:after="0" w:line="240" w:lineRule="exact"/>
        <w:rPr>
          <w:sz w:val="20"/>
          <w:szCs w:val="20"/>
          <w:color w:val="auto"/>
        </w:rPr>
      </w:pPr>
    </w:p>
    <w:p>
      <w:pPr>
        <w:ind w:right="160"/>
        <w:spacing w:after="0" w:line="321"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Assignment</w:t>
      </w:r>
      <w:r>
        <w:rPr>
          <w:rFonts w:ascii="Arial" w:cs="Arial" w:eastAsia="Arial" w:hAnsi="Arial"/>
          <w:sz w:val="19"/>
          <w:szCs w:val="19"/>
          <w:color w:val="auto"/>
        </w:rPr>
        <w:t>. Except as expressly provided herein, no Party may Transfer this Agreement or any of its rights or obligations hereunder without the prior written consent of each of TSB, TMC, WD, and each of their respective successors (which consent may be withheld by such Party in such Party’s sole discretion), and any such purported transfer without such consent will be void.</w:t>
      </w:r>
    </w:p>
    <w:p>
      <w:pPr>
        <w:spacing w:after="0" w:line="123" w:lineRule="exact"/>
        <w:rPr>
          <w:sz w:val="20"/>
          <w:szCs w:val="20"/>
          <w:color w:val="auto"/>
        </w:rPr>
      </w:pPr>
    </w:p>
    <w:p>
      <w:pPr>
        <w:jc w:val="both"/>
        <w:ind w:right="80"/>
        <w:spacing w:after="0" w:line="31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not be amended, modified or supplemented except by a written instrument executed by each Party. No waiver of any provision of this Agreement shall be effective unless set forth in a written instrument signed by the Party waiving such provision. No failure or delay by a Party in exercising any right, power or remedy under this Agreement shall operate as a waiver thereof, nor shall any single or partial exercise of the same preclude any further exercise thereof or the exercise of any other right, power or remedy.</w:t>
      </w:r>
    </w:p>
    <w:p>
      <w:pPr>
        <w:spacing w:after="0" w:line="303" w:lineRule="auto"/>
        <w:rPr>
          <w:sz w:val="20"/>
          <w:szCs w:val="20"/>
          <w:color w:val="auto"/>
        </w:rPr>
      </w:pPr>
      <w:r>
        <w:rPr>
          <w:rFonts w:ascii="Arial" w:cs="Arial" w:eastAsia="Arial" w:hAnsi="Arial"/>
          <w:sz w:val="20"/>
          <w:szCs w:val="20"/>
          <w:color w:val="auto"/>
        </w:rPr>
        <w:t>Without limiting the foregoing, no waiver by a Party of any breach by any other Party of any provision hereof shall be deemed to be a waiver of any subsequent breach of that or any other provision hereof.</w:t>
      </w:r>
    </w:p>
    <w:p>
      <w:pPr>
        <w:spacing w:after="0" w:line="135" w:lineRule="exact"/>
        <w:rPr>
          <w:sz w:val="20"/>
          <w:szCs w:val="20"/>
          <w:color w:val="auto"/>
        </w:rPr>
      </w:pPr>
    </w:p>
    <w:p>
      <w:pPr>
        <w:ind w:right="760"/>
        <w:spacing w:after="0" w:line="317"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be binding upon and shall inure to the benefit of the Parties and their respective successors and permitted assignees.</w:t>
      </w:r>
    </w:p>
    <w:p>
      <w:pPr>
        <w:spacing w:after="0" w:line="122" w:lineRule="exact"/>
        <w:rPr>
          <w:sz w:val="20"/>
          <w:szCs w:val="20"/>
          <w:color w:val="auto"/>
        </w:rPr>
      </w:pPr>
    </w:p>
    <w:p>
      <w:pPr>
        <w:ind w:right="60"/>
        <w:spacing w:after="0" w:line="326"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Severability</w:t>
      </w:r>
      <w:r>
        <w:rPr>
          <w:rFonts w:ascii="Arial" w:cs="Arial" w:eastAsia="Arial" w:hAnsi="Arial"/>
          <w:sz w:val="18"/>
          <w:szCs w:val="18"/>
          <w:color w:val="auto"/>
        </w:rPr>
        <w:t>. If a provision of this Agreement or the application of any such provision is or becomes illegal, invalid or unenforceable in any respect under any jurisdiction, that will not affect (a) the legality, validity or enforceability in that jurisdiction of any other provision of this Agreement or (b) the legality, validity or enforceability in any other jurisdictions of that or any other provision of this Agreement. To the extent permitted by applicable Law, the Parties waive any provision of Law that renders any provision of this Agreement invalid, illegal or unenforceable in any respect. Such provision shall be replaced by a mutually acceptable provision, which being valid, legal and enforceable comes closest to the intention of the Parties underlying such illegal, invalid or unenforceable provision.</w:t>
      </w:r>
    </w:p>
    <w:p>
      <w:pPr>
        <w:spacing w:after="0" w:line="123"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Counterparts; Effectiveness</w:t>
      </w:r>
      <w:r>
        <w:rPr>
          <w:rFonts w:ascii="Arial" w:cs="Arial" w:eastAsia="Arial" w:hAnsi="Arial"/>
          <w:sz w:val="20"/>
          <w:szCs w:val="20"/>
          <w:color w:val="auto"/>
        </w:rPr>
        <w:t>. This Agreement may be executed in counterparts, each of which shall be binding as of the date first written above, and all of which shall constitute one and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20" w:firstLine="8"/>
        <w:spacing w:after="0" w:line="275" w:lineRule="auto"/>
        <w:tabs>
          <w:tab w:leader="none" w:pos="36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26" w:right="239" w:bottom="1440" w:gutter="0" w:footer="0" w:header="0"/>
        </w:sectPr>
      </w:pPr>
    </w:p>
    <w:bookmarkStart w:id="215" w:name="page216"/>
    <w:bookmarkEnd w:id="21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240"/>
        <w:spacing w:after="0" w:line="329" w:lineRule="auto"/>
        <w:rPr>
          <w:sz w:val="20"/>
          <w:szCs w:val="20"/>
          <w:color w:val="auto"/>
        </w:rPr>
      </w:pPr>
      <w:r>
        <w:rPr>
          <w:rFonts w:ascii="Arial" w:cs="Arial" w:eastAsia="Arial" w:hAnsi="Arial"/>
          <w:sz w:val="18"/>
          <w:szCs w:val="18"/>
          <w:color w:val="auto"/>
        </w:rPr>
        <w:t>instrument. Each such counterpart shall be deemed an original, and it shall not be necessary in making proof of this Agreement to produce or account for more than one of each such counterpart. The exchange of copies of this Agreement and of signature pages by portable document format (.pdf) or other electronic format shall be deemed to be their original signatures for all purposes. This Agreement shall not become effective until one or more counterparts have been executed by each Party and delivered to the other Party.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8"/>
        <w:spacing w:after="0" w:line="275" w:lineRule="auto"/>
        <w:tabs>
          <w:tab w:leader="none" w:pos="36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26" w:right="239" w:bottom="1440" w:gutter="0" w:footer="0" w:header="0"/>
        </w:sectPr>
      </w:pPr>
    </w:p>
    <w:bookmarkStart w:id="216" w:name="page217"/>
    <w:bookmarkEnd w:id="216"/>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20"/>
          <w:szCs w:val="20"/>
          <w:color w:val="auto"/>
        </w:rPr>
        <w:t>IN WITNESS WHEREOF, the Parties have caused this Agreement to be executed by their respective duly authorized representatives as of the date first written above.</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4740" w:type="dxa"/>
            <w:vAlign w:val="bottom"/>
            <w:gridSpan w:val="4"/>
          </w:tcPr>
          <w:p>
            <w:pPr>
              <w:spacing w:after="0"/>
              <w:rPr>
                <w:sz w:val="20"/>
                <w:szCs w:val="20"/>
                <w:color w:val="auto"/>
              </w:rPr>
            </w:pPr>
            <w:r>
              <w:rPr>
                <w:rFonts w:ascii="Arial" w:cs="Arial" w:eastAsia="Arial" w:hAnsi="Arial"/>
                <w:sz w:val="21"/>
                <w:szCs w:val="21"/>
                <w:b w:val="1"/>
                <w:bCs w:val="1"/>
                <w:color w:val="auto"/>
              </w:rPr>
              <w:t>TOSHIBA CORPORATION</w:t>
            </w:r>
          </w:p>
        </w:tc>
        <w:tc>
          <w:tcPr>
            <w:tcW w:w="4720" w:type="dxa"/>
            <w:vAlign w:val="bottom"/>
            <w:gridSpan w:val="4"/>
          </w:tcPr>
          <w:p>
            <w:pPr>
              <w:ind w:left="1080"/>
              <w:spacing w:after="0"/>
              <w:rPr>
                <w:sz w:val="20"/>
                <w:szCs w:val="20"/>
                <w:color w:val="auto"/>
              </w:rPr>
            </w:pPr>
            <w:r>
              <w:rPr>
                <w:rFonts w:ascii="Arial" w:cs="Arial" w:eastAsia="Arial" w:hAnsi="Arial"/>
                <w:sz w:val="21"/>
                <w:szCs w:val="21"/>
                <w:b w:val="1"/>
                <w:bCs w:val="1"/>
                <w:color w:val="auto"/>
              </w:rPr>
              <w:t>TOSHIBA MEMORY CORPORATION</w:t>
            </w:r>
          </w:p>
        </w:tc>
      </w:tr>
      <w:tr>
        <w:trPr>
          <w:trHeight w:val="816"/>
        </w:trPr>
        <w:tc>
          <w:tcPr>
            <w:tcW w:w="4740" w:type="dxa"/>
            <w:vAlign w:val="bottom"/>
            <w:gridSpan w:val="4"/>
          </w:tcPr>
          <w:p>
            <w:pPr>
              <w:spacing w:after="0"/>
              <w:rPr>
                <w:sz w:val="20"/>
                <w:szCs w:val="20"/>
                <w:color w:val="auto"/>
              </w:rPr>
            </w:pPr>
            <w:r>
              <w:rPr>
                <w:rFonts w:ascii="Arial" w:cs="Arial" w:eastAsia="Arial" w:hAnsi="Arial"/>
                <w:sz w:val="21"/>
                <w:szCs w:val="21"/>
                <w:color w:val="auto"/>
              </w:rPr>
              <w:t>By: /s/ Satoshi Tsunakawa</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By: /s/ Yasuo Naruke</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66"/>
        </w:trPr>
        <w:tc>
          <w:tcPr>
            <w:tcW w:w="4740" w:type="dxa"/>
            <w:vAlign w:val="bottom"/>
            <w:gridSpan w:val="4"/>
          </w:tcPr>
          <w:p>
            <w:pPr>
              <w:spacing w:after="0"/>
              <w:rPr>
                <w:sz w:val="20"/>
                <w:szCs w:val="20"/>
                <w:color w:val="auto"/>
              </w:rPr>
            </w:pPr>
            <w:r>
              <w:rPr>
                <w:rFonts w:ascii="Arial" w:cs="Arial" w:eastAsia="Arial" w:hAnsi="Arial"/>
                <w:sz w:val="21"/>
                <w:szCs w:val="21"/>
                <w:color w:val="auto"/>
              </w:rPr>
              <w:t>Name: Satoshi Tsunakawa</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Name: Yasuo Naruke</w:t>
            </w:r>
          </w:p>
        </w:tc>
      </w:tr>
      <w:tr>
        <w:trPr>
          <w:trHeight w:val="243"/>
        </w:trPr>
        <w:tc>
          <w:tcPr>
            <w:tcW w:w="4740" w:type="dxa"/>
            <w:vAlign w:val="bottom"/>
            <w:gridSpan w:val="4"/>
          </w:tcPr>
          <w:p>
            <w:pPr>
              <w:spacing w:after="0"/>
              <w:rPr>
                <w:sz w:val="20"/>
                <w:szCs w:val="20"/>
                <w:color w:val="auto"/>
              </w:rPr>
            </w:pPr>
            <w:r>
              <w:rPr>
                <w:rFonts w:ascii="Arial" w:cs="Arial" w:eastAsia="Arial" w:hAnsi="Arial"/>
                <w:sz w:val="21"/>
                <w:szCs w:val="21"/>
                <w:color w:val="auto"/>
              </w:rPr>
              <w:t>Title: Representative Executive Officer</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w w:val="90"/>
              </w:rPr>
              <w:t>Title: President and Chief Executive Officer</w:t>
            </w:r>
          </w:p>
        </w:tc>
      </w:tr>
      <w:tr>
        <w:trPr>
          <w:trHeight w:val="264"/>
        </w:trPr>
        <w:tc>
          <w:tcPr>
            <w:tcW w:w="4740" w:type="dxa"/>
            <w:vAlign w:val="bottom"/>
            <w:gridSpan w:val="4"/>
          </w:tcPr>
          <w:p>
            <w:pPr>
              <w:spacing w:after="0"/>
              <w:rPr>
                <w:sz w:val="20"/>
                <w:szCs w:val="20"/>
                <w:color w:val="auto"/>
              </w:rPr>
            </w:pPr>
            <w:r>
              <w:rPr>
                <w:rFonts w:ascii="Arial" w:cs="Arial" w:eastAsia="Arial" w:hAnsi="Arial"/>
                <w:sz w:val="21"/>
                <w:szCs w:val="21"/>
                <w:color w:val="auto"/>
              </w:rPr>
              <w:t>President and Chief Executive Officer</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810"/>
        </w:trPr>
        <w:tc>
          <w:tcPr>
            <w:tcW w:w="4740" w:type="dxa"/>
            <w:vAlign w:val="bottom"/>
            <w:gridSpan w:val="4"/>
          </w:tcPr>
          <w:p>
            <w:pPr>
              <w:spacing w:after="0"/>
              <w:rPr>
                <w:sz w:val="20"/>
                <w:szCs w:val="20"/>
                <w:color w:val="auto"/>
              </w:rPr>
            </w:pPr>
            <w:r>
              <w:rPr>
                <w:rFonts w:ascii="Arial" w:cs="Arial" w:eastAsia="Arial" w:hAnsi="Arial"/>
                <w:sz w:val="21"/>
                <w:szCs w:val="21"/>
                <w:b w:val="1"/>
                <w:bCs w:val="1"/>
                <w:color w:val="auto"/>
              </w:rPr>
              <w:t>WESTERN DIGITAL CORPORATION</w:t>
            </w:r>
          </w:p>
        </w:tc>
        <w:tc>
          <w:tcPr>
            <w:tcW w:w="4720" w:type="dxa"/>
            <w:vAlign w:val="bottom"/>
            <w:gridSpan w:val="4"/>
          </w:tcPr>
          <w:p>
            <w:pPr>
              <w:ind w:left="1080"/>
              <w:spacing w:after="0"/>
              <w:rPr>
                <w:sz w:val="20"/>
                <w:szCs w:val="20"/>
                <w:color w:val="auto"/>
              </w:rPr>
            </w:pPr>
            <w:r>
              <w:rPr>
                <w:rFonts w:ascii="Arial" w:cs="Arial" w:eastAsia="Arial" w:hAnsi="Arial"/>
                <w:sz w:val="21"/>
                <w:szCs w:val="21"/>
                <w:b w:val="1"/>
                <w:bCs w:val="1"/>
                <w:color w:val="auto"/>
              </w:rPr>
              <w:t>SANDISK LLC</w:t>
            </w:r>
          </w:p>
        </w:tc>
      </w:tr>
      <w:tr>
        <w:trPr>
          <w:trHeight w:val="816"/>
        </w:trPr>
        <w:tc>
          <w:tcPr>
            <w:tcW w:w="4740" w:type="dxa"/>
            <w:vAlign w:val="bottom"/>
            <w:gridSpan w:val="4"/>
          </w:tcPr>
          <w:p>
            <w:pPr>
              <w:spacing w:after="0"/>
              <w:rPr>
                <w:sz w:val="20"/>
                <w:szCs w:val="20"/>
                <w:color w:val="auto"/>
              </w:rPr>
            </w:pPr>
            <w:r>
              <w:rPr>
                <w:rFonts w:ascii="Arial" w:cs="Arial" w:eastAsia="Arial" w:hAnsi="Arial"/>
                <w:sz w:val="21"/>
                <w:szCs w:val="21"/>
                <w:color w:val="auto"/>
              </w:rPr>
              <w:t>By: /s/ Michael C. Ray</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By: /s/ Michael C. Ray</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66"/>
        </w:trPr>
        <w:tc>
          <w:tcPr>
            <w:tcW w:w="4740" w:type="dxa"/>
            <w:vAlign w:val="bottom"/>
            <w:gridSpan w:val="4"/>
          </w:tcPr>
          <w:p>
            <w:pPr>
              <w:spacing w:after="0"/>
              <w:rPr>
                <w:sz w:val="20"/>
                <w:szCs w:val="20"/>
                <w:color w:val="auto"/>
              </w:rPr>
            </w:pPr>
            <w:r>
              <w:rPr>
                <w:rFonts w:ascii="Arial" w:cs="Arial" w:eastAsia="Arial" w:hAnsi="Arial"/>
                <w:sz w:val="21"/>
                <w:szCs w:val="21"/>
                <w:color w:val="auto"/>
              </w:rPr>
              <w:t>Name: Michael C. Ray</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Name: Michael C. Ray</w:t>
            </w:r>
          </w:p>
        </w:tc>
      </w:tr>
      <w:tr>
        <w:trPr>
          <w:trHeight w:val="243"/>
        </w:trPr>
        <w:tc>
          <w:tcPr>
            <w:tcW w:w="4740" w:type="dxa"/>
            <w:vAlign w:val="bottom"/>
            <w:gridSpan w:val="4"/>
          </w:tcPr>
          <w:p>
            <w:pPr>
              <w:spacing w:after="0"/>
              <w:rPr>
                <w:sz w:val="20"/>
                <w:szCs w:val="20"/>
                <w:color w:val="auto"/>
              </w:rPr>
            </w:pPr>
            <w:r>
              <w:rPr>
                <w:rFonts w:ascii="Arial" w:cs="Arial" w:eastAsia="Arial" w:hAnsi="Arial"/>
                <w:sz w:val="21"/>
                <w:szCs w:val="21"/>
                <w:color w:val="auto"/>
              </w:rPr>
              <w:t>Title: Executive Vice President, Chief Legal</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Title: Sole Manager</w:t>
            </w:r>
          </w:p>
        </w:tc>
      </w:tr>
      <w:tr>
        <w:trPr>
          <w:trHeight w:val="264"/>
        </w:trPr>
        <w:tc>
          <w:tcPr>
            <w:tcW w:w="4740" w:type="dxa"/>
            <w:vAlign w:val="bottom"/>
            <w:gridSpan w:val="4"/>
          </w:tcPr>
          <w:p>
            <w:pPr>
              <w:spacing w:after="0"/>
              <w:rPr>
                <w:sz w:val="20"/>
                <w:szCs w:val="20"/>
                <w:color w:val="auto"/>
              </w:rPr>
            </w:pPr>
            <w:r>
              <w:rPr>
                <w:rFonts w:ascii="Arial" w:cs="Arial" w:eastAsia="Arial" w:hAnsi="Arial"/>
                <w:sz w:val="21"/>
                <w:szCs w:val="21"/>
                <w:color w:val="auto"/>
              </w:rPr>
              <w:t>Officer and Secretary</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810"/>
        </w:trPr>
        <w:tc>
          <w:tcPr>
            <w:tcW w:w="4740" w:type="dxa"/>
            <w:vAlign w:val="bottom"/>
            <w:gridSpan w:val="4"/>
          </w:tcPr>
          <w:p>
            <w:pPr>
              <w:spacing w:after="0"/>
              <w:rPr>
                <w:sz w:val="20"/>
                <w:szCs w:val="20"/>
                <w:color w:val="auto"/>
              </w:rPr>
            </w:pPr>
            <w:r>
              <w:rPr>
                <w:rFonts w:ascii="Arial" w:cs="Arial" w:eastAsia="Arial" w:hAnsi="Arial"/>
                <w:sz w:val="21"/>
                <w:szCs w:val="21"/>
                <w:b w:val="1"/>
                <w:bCs w:val="1"/>
                <w:color w:val="auto"/>
              </w:rPr>
              <w:t>SANDISK (CAYMAN) LIMITED</w:t>
            </w:r>
          </w:p>
        </w:tc>
        <w:tc>
          <w:tcPr>
            <w:tcW w:w="4720" w:type="dxa"/>
            <w:vAlign w:val="bottom"/>
            <w:gridSpan w:val="4"/>
          </w:tcPr>
          <w:p>
            <w:pPr>
              <w:ind w:left="1080"/>
              <w:spacing w:after="0"/>
              <w:rPr>
                <w:sz w:val="20"/>
                <w:szCs w:val="20"/>
                <w:color w:val="auto"/>
              </w:rPr>
            </w:pPr>
            <w:r>
              <w:rPr>
                <w:rFonts w:ascii="Arial" w:cs="Arial" w:eastAsia="Arial" w:hAnsi="Arial"/>
                <w:sz w:val="21"/>
                <w:szCs w:val="21"/>
                <w:b w:val="1"/>
                <w:bCs w:val="1"/>
                <w:color w:val="auto"/>
              </w:rPr>
              <w:t>SANDISK (IRELAND) LIMITED</w:t>
            </w:r>
          </w:p>
        </w:tc>
      </w:tr>
      <w:tr>
        <w:trPr>
          <w:trHeight w:val="816"/>
        </w:trPr>
        <w:tc>
          <w:tcPr>
            <w:tcW w:w="4740" w:type="dxa"/>
            <w:vAlign w:val="bottom"/>
            <w:gridSpan w:val="4"/>
          </w:tcPr>
          <w:p>
            <w:pPr>
              <w:spacing w:after="0"/>
              <w:rPr>
                <w:sz w:val="20"/>
                <w:szCs w:val="20"/>
                <w:color w:val="auto"/>
              </w:rPr>
            </w:pPr>
            <w:r>
              <w:rPr>
                <w:rFonts w:ascii="Arial" w:cs="Arial" w:eastAsia="Arial" w:hAnsi="Arial"/>
                <w:sz w:val="21"/>
                <w:szCs w:val="21"/>
                <w:color w:val="auto"/>
              </w:rPr>
              <w:t>By: /s/ Michael C. Ray</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By: /s/ Michael C. Ray</w:t>
            </w: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66"/>
        </w:trPr>
        <w:tc>
          <w:tcPr>
            <w:tcW w:w="4740" w:type="dxa"/>
            <w:vAlign w:val="bottom"/>
            <w:gridSpan w:val="4"/>
          </w:tcPr>
          <w:p>
            <w:pPr>
              <w:spacing w:after="0"/>
              <w:rPr>
                <w:sz w:val="20"/>
                <w:szCs w:val="20"/>
                <w:color w:val="auto"/>
              </w:rPr>
            </w:pPr>
            <w:r>
              <w:rPr>
                <w:rFonts w:ascii="Arial" w:cs="Arial" w:eastAsia="Arial" w:hAnsi="Arial"/>
                <w:sz w:val="21"/>
                <w:szCs w:val="21"/>
                <w:color w:val="auto"/>
              </w:rPr>
              <w:t>Name: Michael C. Ray</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Name: Michael C. Ray</w:t>
            </w:r>
          </w:p>
        </w:tc>
      </w:tr>
      <w:tr>
        <w:trPr>
          <w:trHeight w:val="264"/>
        </w:trPr>
        <w:tc>
          <w:tcPr>
            <w:tcW w:w="4740" w:type="dxa"/>
            <w:vAlign w:val="bottom"/>
            <w:gridSpan w:val="4"/>
          </w:tcPr>
          <w:p>
            <w:pPr>
              <w:spacing w:after="0"/>
              <w:rPr>
                <w:sz w:val="20"/>
                <w:szCs w:val="20"/>
                <w:color w:val="auto"/>
              </w:rPr>
            </w:pPr>
            <w:r>
              <w:rPr>
                <w:rFonts w:ascii="Arial" w:cs="Arial" w:eastAsia="Arial" w:hAnsi="Arial"/>
                <w:sz w:val="21"/>
                <w:szCs w:val="21"/>
                <w:color w:val="auto"/>
              </w:rPr>
              <w:t>Title: Director</w:t>
            </w:r>
          </w:p>
        </w:tc>
        <w:tc>
          <w:tcPr>
            <w:tcW w:w="4720" w:type="dxa"/>
            <w:vAlign w:val="bottom"/>
            <w:gridSpan w:val="4"/>
          </w:tcPr>
          <w:p>
            <w:pPr>
              <w:ind w:left="1080"/>
              <w:spacing w:after="0"/>
              <w:rPr>
                <w:sz w:val="20"/>
                <w:szCs w:val="20"/>
                <w:color w:val="auto"/>
              </w:rPr>
            </w:pPr>
            <w:r>
              <w:rPr>
                <w:rFonts w:ascii="Arial" w:cs="Arial" w:eastAsia="Arial" w:hAnsi="Arial"/>
                <w:sz w:val="21"/>
                <w:szCs w:val="21"/>
                <w:color w:val="auto"/>
              </w:rPr>
              <w:t>Title: Director</w:t>
            </w:r>
          </w:p>
        </w:tc>
      </w:tr>
      <w:tr>
        <w:trPr>
          <w:trHeight w:val="729"/>
        </w:trPr>
        <w:tc>
          <w:tcPr>
            <w:tcW w:w="4740" w:type="dxa"/>
            <w:vAlign w:val="bottom"/>
            <w:gridSpan w:val="4"/>
          </w:tcPr>
          <w:p>
            <w:pPr>
              <w:spacing w:after="0"/>
              <w:rPr>
                <w:sz w:val="20"/>
                <w:szCs w:val="20"/>
                <w:color w:val="auto"/>
              </w:rPr>
            </w:pPr>
            <w:r>
              <w:rPr>
                <w:rFonts w:ascii="Arial" w:cs="Arial" w:eastAsia="Arial" w:hAnsi="Arial"/>
                <w:sz w:val="21"/>
                <w:szCs w:val="21"/>
                <w:b w:val="1"/>
                <w:bCs w:val="1"/>
                <w:color w:val="auto"/>
              </w:rPr>
              <w:t>SANDISK FLASH B.V.</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16"/>
        </w:trPr>
        <w:tc>
          <w:tcPr>
            <w:tcW w:w="4740" w:type="dxa"/>
            <w:vAlign w:val="bottom"/>
            <w:gridSpan w:val="4"/>
          </w:tcPr>
          <w:p>
            <w:pPr>
              <w:spacing w:after="0"/>
              <w:rPr>
                <w:sz w:val="20"/>
                <w:szCs w:val="20"/>
                <w:color w:val="auto"/>
              </w:rPr>
            </w:pPr>
            <w:r>
              <w:rPr>
                <w:rFonts w:ascii="Arial" w:cs="Arial" w:eastAsia="Arial" w:hAnsi="Arial"/>
                <w:sz w:val="21"/>
                <w:szCs w:val="21"/>
                <w:color w:val="auto"/>
              </w:rPr>
              <w:t>By: /s/ Michael C. Ray</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66"/>
        </w:trPr>
        <w:tc>
          <w:tcPr>
            <w:tcW w:w="4740" w:type="dxa"/>
            <w:vAlign w:val="bottom"/>
            <w:gridSpan w:val="4"/>
          </w:tcPr>
          <w:p>
            <w:pPr>
              <w:spacing w:after="0"/>
              <w:rPr>
                <w:sz w:val="20"/>
                <w:szCs w:val="20"/>
                <w:color w:val="auto"/>
              </w:rPr>
            </w:pPr>
            <w:r>
              <w:rPr>
                <w:rFonts w:ascii="Arial" w:cs="Arial" w:eastAsia="Arial" w:hAnsi="Arial"/>
                <w:sz w:val="21"/>
                <w:szCs w:val="21"/>
                <w:color w:val="auto"/>
              </w:rPr>
              <w:t>Name: Michael C. Ray</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4"/>
        </w:trPr>
        <w:tc>
          <w:tcPr>
            <w:tcW w:w="4740" w:type="dxa"/>
            <w:vAlign w:val="bottom"/>
            <w:gridSpan w:val="4"/>
          </w:tcPr>
          <w:p>
            <w:pPr>
              <w:spacing w:after="0"/>
              <w:rPr>
                <w:sz w:val="20"/>
                <w:szCs w:val="20"/>
                <w:color w:val="auto"/>
              </w:rPr>
            </w:pPr>
            <w:r>
              <w:rPr>
                <w:rFonts w:ascii="Arial" w:cs="Arial" w:eastAsia="Arial" w:hAnsi="Arial"/>
                <w:sz w:val="21"/>
                <w:szCs w:val="21"/>
                <w:color w:val="auto"/>
              </w:rPr>
              <w:t>Title: Director</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Confidential Settlement and Mutual Release Agreement]</w:t>
      </w:r>
    </w:p>
    <w:p>
      <w:pPr>
        <w:sectPr>
          <w:pgSz w:w="11900" w:h="16838" w:orient="portrait"/>
          <w:cols w:equalWidth="0" w:num="1">
            <w:col w:w="11420"/>
          </w:cols>
          <w:pgMar w:left="240" w:top="126" w:right="239" w:bottom="1440" w:gutter="0" w:footer="0" w:header="0"/>
        </w:sectPr>
      </w:pPr>
    </w:p>
    <w:bookmarkStart w:id="217" w:name="page218"/>
    <w:bookmarkEnd w:id="217"/>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Certain Definitions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Any capitalized term used, but not defined, in this Agreement shall have the meaning ascribed to such term in the New Y2 Facility Agreement (as defined below). As used in this Agreement:</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Affiliates</w:t>
      </w:r>
      <w:r>
        <w:rPr>
          <w:rFonts w:ascii="Arial" w:cs="Arial" w:eastAsia="Arial" w:hAnsi="Arial"/>
          <w:sz w:val="19"/>
          <w:szCs w:val="19"/>
          <w:color w:val="auto"/>
        </w:rPr>
        <w:t>” means, with respect to any specified Person, any other Person that directly or indirectly, through one or more intermediaries, Controls, is Controlled by or is under common Control with, the Person specified, and “</w:t>
      </w:r>
      <w:r>
        <w:rPr>
          <w:rFonts w:ascii="Arial" w:cs="Arial" w:eastAsia="Arial" w:hAnsi="Arial"/>
          <w:sz w:val="19"/>
          <w:szCs w:val="19"/>
          <w:u w:val="single" w:color="auto"/>
          <w:color w:val="auto"/>
        </w:rPr>
        <w:t>Control</w:t>
      </w:r>
      <w:r>
        <w:rPr>
          <w:rFonts w:ascii="Arial" w:cs="Arial" w:eastAsia="Arial" w:hAnsi="Arial"/>
          <w:sz w:val="19"/>
          <w:szCs w:val="19"/>
          <w:color w:val="auto"/>
        </w:rPr>
        <w:t>”, when used with respect to any Person, means the power to direct the management and policies of such Person, directly or indirectly, whether through the ownership of voting securities or otherwise, and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xml:space="preserve">” have meanings correlative to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Affiliate (a) when used in relation to any JV or Subsidiary thereof, shall not include any Party or its Affiliates, and (b) when used in relation to a Party or its Affiliates, shall not include any JV or Subsidiary thereof.</w:t>
      </w:r>
    </w:p>
    <w:p>
      <w:pPr>
        <w:spacing w:after="0" w:line="179"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Participants</w:t>
      </w:r>
      <w:r>
        <w:rPr>
          <w:rFonts w:ascii="Arial" w:cs="Arial" w:eastAsia="Arial" w:hAnsi="Arial"/>
          <w:sz w:val="20"/>
          <w:szCs w:val="20"/>
          <w:color w:val="auto"/>
        </w:rPr>
        <w:t>” means all bidders in the Auction and their attorneys and consortium partners, excluding Bain Capital and any Bain Consortium Member.</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Bain Consortium</w:t>
      </w:r>
      <w:r>
        <w:rPr>
          <w:rFonts w:ascii="Arial" w:cs="Arial" w:eastAsia="Arial" w:hAnsi="Arial"/>
          <w:sz w:val="20"/>
          <w:szCs w:val="20"/>
          <w:color w:val="auto"/>
        </w:rPr>
        <w:t>” means the consortium formed in connection with the TMC Sale, consisting of Bain Capital; Hoya Corporation; Apple, Inc.; Kingston Technology Company, Inc.; Seagate; Dell Technology Inc.; and SK.</w:t>
      </w:r>
    </w:p>
    <w:p>
      <w:pPr>
        <w:spacing w:after="0" w:line="177"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Bain Consortium Member</w:t>
      </w:r>
      <w:r>
        <w:rPr>
          <w:rFonts w:ascii="Arial" w:cs="Arial" w:eastAsia="Arial" w:hAnsi="Arial"/>
          <w:sz w:val="19"/>
          <w:szCs w:val="19"/>
          <w:color w:val="auto"/>
        </w:rPr>
        <w:t>” means any person or entity comprising part of the Bain Consortium, including each person’s or entity’s respective Affiliates, and its and their respective successors, assignees, predecessors, funds, officers, directors, managers, partners, shareholders, employees, representatives, attorneys, advisors and agents, except Bain Capital.</w:t>
      </w:r>
    </w:p>
    <w:p>
      <w:pPr>
        <w:spacing w:after="0" w:line="170"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day which is a Saturday, Sunday or legal holiday in the State of California or Japan) on which commercial banks are open for business in the State of California or Tokyo, Japan.</w:t>
      </w:r>
    </w:p>
    <w:p>
      <w:pPr>
        <w:spacing w:after="0" w:line="177"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with respect to a Person means (i) a transaction or series of related transactions as a result of which more than 50% of the beneficial ownership of the outstanding common stock or other ownership interests of such Person (representing the right to vote for the board of directors or similar organization of such Person) is acquired by another Person or affiliated group of Persons, whether by reason of stock acquisition, merger, consolidation, reorganization or otherwise or (ii) the sale or disposition of all or substantially all of a Person’s assets to another Person or affiliated group of Persons.</w:t>
      </w:r>
    </w:p>
    <w:p>
      <w:pPr>
        <w:spacing w:after="0" w:line="195"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Claims</w:t>
      </w:r>
      <w:r>
        <w:rPr>
          <w:rFonts w:ascii="Arial" w:cs="Arial" w:eastAsia="Arial" w:hAnsi="Arial"/>
          <w:sz w:val="20"/>
          <w:szCs w:val="20"/>
          <w:color w:val="auto"/>
        </w:rPr>
        <w:t>” means any and all claims, counterclaims, demands, losses, payments, Liens, expenses (including attorneys’ fees), damages, liabilities, financial obligations, indemnification obligation, actions, causes of action, disputes, debts or obligations of every kind and nature, whether contractual, in law or in equity (including, without limitation, under the Japanese Civil Code, the laws of the State of California, the Uniform Commercial Code (as codified by each state of the United States of America), and/or the United Nations Convention on Contracts for the International Sale of Goods) past or present, direct or indirect, known or unknown, suspected or unsuspected, fixed or contingent, and whether several or otherwise.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Collaboration</w:t>
      </w:r>
      <w:r>
        <w:rPr>
          <w:rFonts w:ascii="Arial" w:cs="Arial" w:eastAsia="Arial" w:hAnsi="Arial"/>
          <w:sz w:val="20"/>
          <w:szCs w:val="20"/>
          <w:color w:val="auto"/>
        </w:rPr>
        <w:t>” has the meaning set forth in the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8"/>
        <w:spacing w:after="0" w:line="275" w:lineRule="auto"/>
        <w:tabs>
          <w:tab w:leader="none" w:pos="36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18" w:name="page219"/>
    <w:bookmarkEnd w:id="218"/>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Collaboration Agreements</w:t>
      </w:r>
      <w:r>
        <w:rPr>
          <w:rFonts w:ascii="Arial" w:cs="Arial" w:eastAsia="Arial" w:hAnsi="Arial"/>
          <w:sz w:val="20"/>
          <w:szCs w:val="20"/>
          <w:color w:val="auto"/>
        </w:rPr>
        <w:t>” means the Existing Agreements, the Transaction Documents, and any other agreements entered into in connection with the Collaboration, including parent/JV loan agreements, in each case, other than ****.</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Collaboration Assets</w:t>
      </w:r>
      <w:r>
        <w:rPr>
          <w:rFonts w:ascii="Arial" w:cs="Arial" w:eastAsia="Arial" w:hAnsi="Arial"/>
          <w:sz w:val="20"/>
          <w:szCs w:val="20"/>
          <w:color w:val="auto"/>
        </w:rPr>
        <w:t>” means,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w:t>
      </w:r>
    </w:p>
    <w:p>
      <w:pPr>
        <w:spacing w:after="0" w:line="21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 Person, any common equity or common equity-equivalent interests or securities of such Person, including, any participating preferred securities, warrants, options or other rights to acquire any of the foregoing and debt securities that are or convertible into or exchangeable or exercisable for any of the foregoing.</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FAL Master Agreement</w:t>
      </w:r>
      <w:r>
        <w:rPr>
          <w:rFonts w:ascii="Arial" w:cs="Arial" w:eastAsia="Arial" w:hAnsi="Arial"/>
          <w:sz w:val="20"/>
          <w:szCs w:val="20"/>
          <w:color w:val="auto"/>
        </w:rPr>
        <w:t>” means that certain Flash Alliance Master Agreement, entered into by and among TSB, SanDisk Corporation and SanDisk Ireland, dated as of July 7, 2006.</w:t>
      </w:r>
    </w:p>
    <w:p>
      <w:pPr>
        <w:spacing w:after="0" w:line="177"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FAL Operating Agreement</w:t>
      </w:r>
      <w:r>
        <w:rPr>
          <w:rFonts w:ascii="Arial" w:cs="Arial" w:eastAsia="Arial" w:hAnsi="Arial"/>
          <w:sz w:val="20"/>
          <w:szCs w:val="20"/>
          <w:color w:val="auto"/>
        </w:rPr>
        <w:t>” means that certain Operating Agreement of Flash Alliance, Ltd., entered into by and between TSB and SanDisk Ireland, dated as of July 7, 2006.</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FFL Master Agreement</w:t>
      </w:r>
      <w:r>
        <w:rPr>
          <w:rFonts w:ascii="Arial" w:cs="Arial" w:eastAsia="Arial" w:hAnsi="Arial"/>
          <w:sz w:val="20"/>
          <w:szCs w:val="20"/>
          <w:color w:val="auto"/>
        </w:rPr>
        <w:t>” means that certain Flash Forward Master Agreement, entered into by and among TSB, SanDisk Corporation and SanDisk Flash, dated as of July 13, 2010.</w:t>
      </w:r>
    </w:p>
    <w:p>
      <w:pPr>
        <w:spacing w:after="0" w:line="177"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FFL Operating Agreement</w:t>
      </w:r>
      <w:r>
        <w:rPr>
          <w:rFonts w:ascii="Arial" w:cs="Arial" w:eastAsia="Arial" w:hAnsi="Arial"/>
          <w:sz w:val="20"/>
          <w:szCs w:val="20"/>
          <w:color w:val="auto"/>
        </w:rPr>
        <w:t>” means that certain Operating Agreement of Flash Forward, Ltd., entered into by and between TSB and SanDisk Flash, dated as of March 1, 2011.</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FPL Master Agreement</w:t>
      </w:r>
      <w:r>
        <w:rPr>
          <w:rFonts w:ascii="Arial" w:cs="Arial" w:eastAsia="Arial" w:hAnsi="Arial"/>
          <w:sz w:val="20"/>
          <w:szCs w:val="20"/>
          <w:color w:val="auto"/>
        </w:rPr>
        <w:t>” means that certain Flash Partners Master Agreement, entered into by and among TSB, SanDisk Corporation and SanDisk International Limited, dated as of September 10, 2004.</w:t>
      </w:r>
    </w:p>
    <w:p>
      <w:pPr>
        <w:spacing w:after="0" w:line="177"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FPL Operating Agreement</w:t>
      </w:r>
      <w:r>
        <w:rPr>
          <w:rFonts w:ascii="Arial" w:cs="Arial" w:eastAsia="Arial" w:hAnsi="Arial"/>
          <w:sz w:val="20"/>
          <w:szCs w:val="20"/>
          <w:color w:val="auto"/>
        </w:rPr>
        <w:t>” means that certain Operating Agreement of Flash Partners, Ltd., entered into by and between TSB and SanDisk International Limited, dated as of September 10, 2004.</w:t>
      </w:r>
    </w:p>
    <w:p>
      <w:pPr>
        <w:spacing w:after="0" w:line="177"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Person and any court or other tribunal); or (d) individual, Person or body (including any stock exchange) exercising, or entitled to exercise, any executive, legislative, judicial, administrative, regulatory, police, military or taxing authority or power of any nature.</w:t>
      </w:r>
    </w:p>
    <w:p>
      <w:pPr>
        <w:spacing w:after="0" w:line="179" w:lineRule="exact"/>
        <w:rPr>
          <w:sz w:val="20"/>
          <w:szCs w:val="20"/>
          <w:color w:val="auto"/>
        </w:rPr>
      </w:pPr>
    </w:p>
    <w:p>
      <w:pPr>
        <w:ind w:right="60"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Restricted Period</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3.2(e)</w:t>
      </w:r>
      <w:r>
        <w:rPr>
          <w:rFonts w:ascii="Arial" w:cs="Arial" w:eastAsia="Arial" w:hAnsi="Arial"/>
          <w:sz w:val="20"/>
          <w:szCs w:val="20"/>
          <w:color w:val="auto"/>
        </w:rPr>
        <w:t>, the period beginning as of the Effective Date and ending as of the earliest of (i) the termination of the SPA, (ii) the closing of a WD Competitor CoC, (iii) **** (solely with respect to ****) or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(with respect to ****) of the closing of the TMC Sale, or (iv) **** of the Effective Date.</w:t>
      </w:r>
    </w:p>
    <w:p>
      <w:pPr>
        <w:spacing w:after="0" w:line="198"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Vehicle</w:t>
      </w:r>
      <w:r>
        <w:rPr>
          <w:rFonts w:ascii="Arial" w:cs="Arial" w:eastAsia="Arial" w:hAnsi="Arial"/>
          <w:sz w:val="20"/>
          <w:szCs w:val="20"/>
          <w:color w:val="auto"/>
        </w:rPr>
        <w:t>” means an entity, a principal purpose of which is investing in TMC or Pangea, including such an entity Controlled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19" w:name="page220"/>
    <w:bookmarkEnd w:id="219"/>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ind w:right="26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as applicable under each Existing Agreement or Transaction Document, any Patents, utility models, trademarks, service marks, trade names, copyrights, moral rights, applications for any of the foregoing, know-how, trade secrets, technology, mask work rights, software, technical, confidential or proprietary information, proprietary rights and processes, developments, ideas, inventions, test programs, test methods, configured and developed hardware, knowledge, research, invention disclosures, engineering notebooks, data, materials, licenses, and intellectual property or proprietary rights in or to any of the foregoing.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Articles of Incorporation</w:t>
      </w:r>
      <w:r>
        <w:rPr>
          <w:rFonts w:ascii="Arial" w:cs="Arial" w:eastAsia="Arial" w:hAnsi="Arial"/>
          <w:sz w:val="19"/>
          <w:szCs w:val="19"/>
          <w:color w:val="auto"/>
        </w:rPr>
        <w:t>” means the Articles of Incorporation of FPL, FAL, and FFL, as may be amended from time to time.</w:t>
      </w:r>
    </w:p>
    <w:p>
      <w:pPr>
        <w:spacing w:after="0" w:line="227"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JV Rights</w:t>
      </w:r>
      <w:r>
        <w:rPr>
          <w:rFonts w:ascii="Arial" w:cs="Arial" w:eastAsia="Arial" w:hAnsi="Arial"/>
          <w:sz w:val="20"/>
          <w:szCs w:val="20"/>
          <w:color w:val="auto"/>
        </w:rPr>
        <w:t>”, with respect to any Person, means (a) all rights and obligations of such Person under the Existing Agreements and (b) such Person’s JV Shares.</w:t>
      </w:r>
    </w:p>
    <w:p>
      <w:pPr>
        <w:spacing w:after="0" w:line="17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Shares</w:t>
      </w:r>
      <w:r>
        <w:rPr>
          <w:rFonts w:ascii="Arial" w:cs="Arial" w:eastAsia="Arial" w:hAnsi="Arial"/>
          <w:sz w:val="19"/>
          <w:szCs w:val="19"/>
          <w:color w:val="auto"/>
        </w:rPr>
        <w:t>” means any interest in FPL, FAL, or FFL as referenced in Section 9.1(a) of the FPL Operating Agreement, FAL Operating Agreement, and FFL Operating Agreement, respectively, including: (i) the equity interests in FPL described as “FP Units” in the FPL Master Agreement and “Units” in Appendix A to the FPL Master Agreement and in the FPL Operating Agreement, (ii) the equity interests in FAL described as “FA Shares” in the FAL Master Agreement and “Shares” in Appendix A to the FAL Master Agreement and in the FAL Operating Agreement, and (iii) the equity interests in FFL described as “FF Interests” in the FFL Master Agreement and “Interests” in Appendix A to the FFL Master Agreement and in the FFL Operating Agreement.</w:t>
      </w:r>
    </w:p>
    <w:p>
      <w:pPr>
        <w:spacing w:after="0" w:line="179"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all applicable provisions of all (a) constitutions, treaties, statutes, laws (including common law), rules, regulations, ordinances or codes, (b) orders, decisions, judgments, awards or decrees; and (c) requests, guidelines or directives (whether or not having the force of law), in each case of any Governmental Authority of any applicable jurisdiction.</w:t>
      </w:r>
    </w:p>
    <w:p>
      <w:pPr>
        <w:spacing w:after="0" w:line="186"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encumbrance, charge or security interest in or on such asset, (b) the interest of a vendor or a lessor under any conditional sale agreement, capital lease or title retention agreement relating to such asset and (c) in the case of securities, any purchase option, call or similar right with respect to such securities.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Agreements</w:t>
      </w:r>
      <w:r>
        <w:rPr>
          <w:rFonts w:ascii="Arial" w:cs="Arial" w:eastAsia="Arial" w:hAnsi="Arial"/>
          <w:sz w:val="20"/>
          <w:szCs w:val="20"/>
          <w:color w:val="auto"/>
        </w:rPr>
        <w:t>” means the FAL Master Agreement, the FFL Master Agreement and the FPL Master Agreement.</w:t>
      </w:r>
    </w:p>
    <w:p>
      <w:pPr>
        <w:spacing w:after="0" w:line="2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Memory Business Owner</w:t>
      </w:r>
      <w:r>
        <w:rPr>
          <w:rFonts w:ascii="Arial" w:cs="Arial" w:eastAsia="Arial" w:hAnsi="Arial"/>
          <w:sz w:val="18"/>
          <w:szCs w:val="18"/>
          <w:color w:val="auto"/>
        </w:rPr>
        <w:t xml:space="preserve">” means a Person, to the extent that (i) such Person, together with its wholly-owned Subsidiaries, holds or owns all of its and its Affiliates’ Collaboration Assets (which need not include **** and the Undertaking, but subject to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with respect to ****), (ii) such Person and/or one or more of its wholly-owned Subsidiaries is a party to all Collaboration Agreements (which need not include **** and the Undertaking, but subject to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with respect to ****) to which such Person or any of its Affiliates is a party,</w:t>
      </w:r>
    </w:p>
    <w:p>
      <w:pPr>
        <w:spacing w:after="0" w:line="3" w:lineRule="exact"/>
        <w:rPr>
          <w:sz w:val="20"/>
          <w:szCs w:val="20"/>
          <w:color w:val="auto"/>
        </w:rPr>
      </w:pPr>
    </w:p>
    <w:p>
      <w:pPr>
        <w:ind w:right="160" w:firstLine="8"/>
        <w:spacing w:after="0" w:line="266" w:lineRule="auto"/>
        <w:tabs>
          <w:tab w:leader="none" w:pos="3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such Person, or one or more of its wholly-owned Subsidiaries, is responsible for, or has agreed to be responsible for, all liabilities and obligations of such Person and its Affiliates under the Collaboration Agreements (which need not include **** and the Undertaking, but subject to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with respect to ****) (such liabilities and obligations, “</w:t>
      </w:r>
      <w:r>
        <w:rPr>
          <w:rFonts w:ascii="Arial" w:cs="Arial" w:eastAsia="Arial" w:hAnsi="Arial"/>
          <w:sz w:val="18"/>
          <w:szCs w:val="18"/>
          <w:u w:val="single" w:color="auto"/>
          <w:color w:val="auto"/>
        </w:rPr>
        <w:t>Collaboration Liabilities</w:t>
      </w:r>
      <w:r>
        <w:rPr>
          <w:rFonts w:ascii="Arial" w:cs="Arial" w:eastAsia="Arial" w:hAnsi="Arial"/>
          <w:sz w:val="18"/>
          <w:szCs w:val="18"/>
          <w:color w:val="auto"/>
        </w:rPr>
        <w:t>”), (iv) such Person or one or more of its wholly-owned Subsidiaries employs substantially all Persons employed by such Person or its Affiliates that are primarily engaged in performing any liabilities and obligations of such Person and its Affiliates under the Collaboration Agreements (which need not include ****</w:t>
      </w:r>
    </w:p>
    <w:p>
      <w:pPr>
        <w:ind w:right="540"/>
        <w:spacing w:after="0" w:line="244" w:lineRule="auto"/>
        <w:rPr>
          <w:rFonts w:ascii="Arial" w:cs="Arial" w:eastAsia="Arial" w:hAnsi="Arial"/>
          <w:sz w:val="18"/>
          <w:szCs w:val="18"/>
          <w:color w:val="auto"/>
        </w:rPr>
      </w:pPr>
      <w:r>
        <w:rPr>
          <w:rFonts w:ascii="Arial" w:cs="Arial" w:eastAsia="Arial" w:hAnsi="Arial"/>
          <w:sz w:val="20"/>
          <w:szCs w:val="20"/>
          <w:color w:val="auto"/>
        </w:rPr>
        <w:t>and the Undertaking) and (v) immediately following a Change of Control of such Person, such Person and its wholly-owned Subsidiaries continues to: (A) hold or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firstLine="8"/>
        <w:spacing w:after="0" w:line="275" w:lineRule="auto"/>
        <w:tabs>
          <w:tab w:leader="none" w:pos="36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20" w:name="page221"/>
    <w:bookmarkEnd w:id="220"/>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all Collaboration Assets that such Person and its wholly-owned Subsidiaries held or owned immediately prior to such Change of Control, or alternative Collaboration Assets such that such Person and its wholly-owned Subsidiaries remain able to satisfy and discharge such Person’s and its wholly-owned Subsidiaries’ Collaboration Liabilities; (B) be a party to each Collaboration Agreement to which such Person or any of its wholly-owned Subsidiaries was a party immediately prior to such Change of Control, or in each case to an alternative Collaboration Agreement or Collaboration Agreements agreed with the counterparty(ies) to such Collaboration Agreement; (C) be responsible for all liabilities and obligations under each Collaboration Agreement for which such Person or any of its wholly-owned Subsidiaries was liable immediately prior to such Change of Control or under any alternative Collaboration Agreement(s) entered in accordance with clause (B) above; and (D) employ (or otherwise contractually engage) substantially all Persons that such Person and its wholly-owned Subsidiaries employed immediately prior to such Change of Control that were, at such time, primarily engaged in performing any liabilities and obligations of such Person and its wholly-owned Subsidiaries under the Collaboration Agreements, or employ (or otherwise contractually engage) alternative Persons such that such Person and its wholly-owned Subsidiaries remain able to satisfy and discharge such Person’s and its wholly-owned Subsidiaries’ Collaboration Liabilities.</w:t>
      </w:r>
    </w:p>
    <w:p>
      <w:pPr>
        <w:spacing w:after="0" w:line="185"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Y2 Facility Agreement</w:t>
      </w:r>
      <w:r>
        <w:rPr>
          <w:rFonts w:ascii="Arial" w:cs="Arial" w:eastAsia="Arial" w:hAnsi="Arial"/>
          <w:sz w:val="20"/>
          <w:szCs w:val="20"/>
          <w:color w:val="auto"/>
        </w:rPr>
        <w:t>” means that certain New Y2 Facility Agreement, entered into by and among TSB, SanDisk, and the JVs, dated as of October 20, 2015.</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Agreements</w:t>
      </w:r>
      <w:r>
        <w:rPr>
          <w:rFonts w:ascii="Arial" w:cs="Arial" w:eastAsia="Arial" w:hAnsi="Arial"/>
          <w:sz w:val="18"/>
          <w:szCs w:val="18"/>
          <w:color w:val="auto"/>
        </w:rPr>
        <w:t>” means the FAL Operating Agreement, the FFL Operating Agreement and the FPL Operating Agreement.</w:t>
      </w:r>
    </w:p>
    <w:p>
      <w:pPr>
        <w:spacing w:after="0" w:line="239"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Pangea Financing Arrangement</w:t>
      </w:r>
      <w:r>
        <w:rPr>
          <w:rFonts w:ascii="Arial" w:cs="Arial" w:eastAsia="Arial" w:hAnsi="Arial"/>
          <w:sz w:val="20"/>
          <w:szCs w:val="20"/>
          <w:color w:val="auto"/>
        </w:rPr>
        <w:t>” means any contract entered into or proposed to be entered into by TMC, Bain Capital or any of their respective Affiliates for the purpose of financing the TMC Sale or for the operations or activities of TMC and its Subsidiaries, in each case, at the closing of the TMC Sale.</w:t>
      </w:r>
    </w:p>
    <w:p>
      <w:pPr>
        <w:spacing w:after="0" w:line="186" w:lineRule="exact"/>
        <w:rPr>
          <w:sz w:val="20"/>
          <w:szCs w:val="20"/>
          <w:color w:val="auto"/>
        </w:rPr>
      </w:pPr>
    </w:p>
    <w:p>
      <w:pPr>
        <w:ind w:right="5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Pangea Shareholders Agreement</w:t>
      </w:r>
      <w:r>
        <w:rPr>
          <w:rFonts w:ascii="Arial" w:cs="Arial" w:eastAsia="Arial" w:hAnsi="Arial"/>
          <w:sz w:val="18"/>
          <w:szCs w:val="18"/>
          <w:color w:val="auto"/>
        </w:rPr>
        <w:t>” means the shareholders agreement to be executed by and among BCPE Pangea Cayman, L.P., BCPE Pangea Cayman2, Ltd., TSB and Hoya Corporation in connection with the proposed acquisition by Pangea of TMC.</w:t>
      </w:r>
    </w:p>
    <w:p>
      <w:pPr>
        <w:spacing w:after="0" w:line="130" w:lineRule="exact"/>
        <w:rPr>
          <w:sz w:val="20"/>
          <w:szCs w:val="20"/>
          <w:color w:val="auto"/>
        </w:rPr>
      </w:pPr>
    </w:p>
    <w:p>
      <w:pPr>
        <w:ind w:right="2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w:t>
      </w:r>
      <w:r>
        <w:rPr>
          <w:rFonts w:ascii="Arial" w:cs="Arial" w:eastAsia="Arial" w:hAnsi="Arial"/>
          <w:sz w:val="20"/>
          <w:szCs w:val="20"/>
          <w:color w:val="auto"/>
        </w:rPr>
        <w:t>” means any type of patent, utility model, or design patent (including without limitation, originals or divisions, continuations, continuations-in-part, reissues, counterparts, substitutions, re-examinations, and extensions) or applications therefor in any country of the world.</w:t>
      </w:r>
    </w:p>
    <w:p>
      <w:pPr>
        <w:spacing w:after="0" w:line="18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including any private or public real estate operating company or real estate investment trust, exempted company, exempted limited partnership, private limited company, corporation, partnership, limited partnership, limited liability company, trust, charitable trust or other legal entity, wherever organized, or any unincorporated association or Governmental Authority.</w:t>
      </w:r>
    </w:p>
    <w:p>
      <w:pPr>
        <w:spacing w:after="0" w:line="179"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Exchange</w:t>
      </w:r>
      <w:r>
        <w:rPr>
          <w:rFonts w:ascii="Arial" w:cs="Arial" w:eastAsia="Arial" w:hAnsi="Arial"/>
          <w:sz w:val="20"/>
          <w:szCs w:val="20"/>
          <w:color w:val="auto"/>
        </w:rPr>
        <w:t>” means any of the internationally recognized stock exchanges based in Tokyo, New York, London, Hong Kong or Singapore.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SK</w:t>
      </w:r>
      <w:r>
        <w:rPr>
          <w:rFonts w:ascii="Arial" w:cs="Arial" w:eastAsia="Arial" w:hAnsi="Arial"/>
          <w:sz w:val="20"/>
          <w:szCs w:val="20"/>
          <w:color w:val="auto"/>
        </w:rPr>
        <w:t>” means SK hynix, Inc. and its Affiliates;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firstLine="8"/>
        <w:spacing w:after="0" w:line="275" w:lineRule="auto"/>
        <w:tabs>
          <w:tab w:leader="none" w:pos="36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21" w:name="page222"/>
    <w:bookmarkEnd w:id="221"/>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17" w:lineRule="exact"/>
        <w:rPr>
          <w:sz w:val="20"/>
          <w:szCs w:val="20"/>
          <w:color w:val="auto"/>
        </w:rPr>
      </w:pPr>
    </w:p>
    <w:p>
      <w:pPr>
        <w:ind w:right="80" w:firstLine="648"/>
        <w:spacing w:after="0" w:line="3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Bain Transaction</w:t>
      </w:r>
      <w:r>
        <w:rPr>
          <w:rFonts w:ascii="Arial" w:cs="Arial" w:eastAsia="Arial" w:hAnsi="Arial"/>
          <w:sz w:val="18"/>
          <w:szCs w:val="18"/>
          <w:color w:val="auto"/>
        </w:rPr>
        <w:t>” means, if the SPA is terminated, any direct or indirect acquisition (whether by merger, consolidation or otherwise) or ownership by Bain Capital, any Affiliates (as defined herein or as the term “Affiliate” is used in and construed under Rule 144 under the U.S. Securities Act of 1933, as amended) of Bain Capital, or any group or consortium that includes Bain Capital or an Affiliate of Bain Capital as a member (collectively, a “</w:t>
      </w:r>
      <w:r>
        <w:rPr>
          <w:rFonts w:ascii="Arial" w:cs="Arial" w:eastAsia="Arial" w:hAnsi="Arial"/>
          <w:sz w:val="18"/>
          <w:szCs w:val="18"/>
          <w:u w:val="single" w:color="auto"/>
          <w:color w:val="auto"/>
        </w:rPr>
        <w:t>Subsequent Bain Acquiror</w:t>
      </w:r>
      <w:r>
        <w:rPr>
          <w:rFonts w:ascii="Arial" w:cs="Arial" w:eastAsia="Arial" w:hAnsi="Arial"/>
          <w:sz w:val="18"/>
          <w:szCs w:val="18"/>
          <w:color w:val="auto"/>
        </w:rPr>
        <w:t>”) of (i) any Equity Interests or voting rights in TMC or any of its Subsidiaries pursuant to a Transfer by TSB or any of its Affiliates to a Subsequent Bain Acquiror, (ii) any Equity Interests or voting rights in TMC or any of its Subsidiaries pursuant to an issuance by TMC or any of its Subsidiaries, (iii) any Equity Interests or voting rights in TMC or any of its Subsidiaries (including any Person that directly or indirectly holds or owns JV Rights), other than, in the case of this subclause (iii), any such acquisition or ownership by such Subsequent Bain Acquiror that does not result in or constitute TMC or any of its Subsidiaries being Controlled by such Subsequent Bain Acquiror, or (iv) substantially all of the assets of TMC or its Subsidiaries.</w:t>
      </w:r>
    </w:p>
    <w:p>
      <w:pPr>
        <w:spacing w:after="0" w:line="130"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Subsequent Restricted Period</w:t>
      </w:r>
      <w:r>
        <w:rPr>
          <w:rFonts w:ascii="Arial" w:cs="Arial" w:eastAsia="Arial" w:hAnsi="Arial"/>
          <w:sz w:val="20"/>
          <w:szCs w:val="20"/>
          <w:color w:val="auto"/>
        </w:rPr>
        <w:t>” means the period beginning as of the closing of a Subsequent Bain Transaction and ending as of the earliest of (i) the closing of a WD Competitor CoC, (ii) **** (solely with respect to ****) or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(with respect to ****) of the closing of such Subsequent Bain Transaction, or (iii) **** of the Effective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any Person means any other Person:</w:t>
      </w:r>
    </w:p>
    <w:p>
      <w:pPr>
        <w:spacing w:after="0" w:line="216" w:lineRule="exact"/>
        <w:rPr>
          <w:sz w:val="20"/>
          <w:szCs w:val="20"/>
          <w:color w:val="auto"/>
        </w:rPr>
      </w:pPr>
    </w:p>
    <w:p>
      <w:pPr>
        <w:ind w:left="1300" w:right="340" w:hanging="644"/>
        <w:spacing w:after="0" w:line="303" w:lineRule="auto"/>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more than 50% of whose outstanding shares or securities (representing the right to vote for the election of directors or other managing authority) are, or</w:t>
      </w:r>
    </w:p>
    <w:p>
      <w:pPr>
        <w:spacing w:after="0" w:line="135" w:lineRule="exact"/>
        <w:rPr>
          <w:rFonts w:ascii="Arial" w:cs="Arial" w:eastAsia="Arial" w:hAnsi="Arial"/>
          <w:sz w:val="20"/>
          <w:szCs w:val="20"/>
          <w:color w:val="auto"/>
        </w:rPr>
      </w:pPr>
    </w:p>
    <w:p>
      <w:pPr>
        <w:ind w:left="1300" w:right="60" w:hanging="644"/>
        <w:spacing w:after="0" w:line="320" w:lineRule="auto"/>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 now or hereafter owned or Controlled, directly or indirectly, by such Person, but such other Person shall be deemed to be a Subsidiary only so long as such ownership or Control exists;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Subsidiary, when used in relation to a Party or any of its Affiliates, shall not include any JV or any of the JVs’ Subsidiaries or any new joint venture entity (or any Subsidiary of any such new joint venture entity) created as a result of a new agreement between WD or any of its Subsidiaries, on one side, and TMC or any of its Subsidiaries, on the other side, relating to the Collaboration.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TMC Group</w:t>
      </w:r>
      <w:r>
        <w:rPr>
          <w:rFonts w:ascii="Arial" w:cs="Arial" w:eastAsia="Arial" w:hAnsi="Arial"/>
          <w:sz w:val="20"/>
          <w:szCs w:val="20"/>
          <w:color w:val="auto"/>
        </w:rPr>
        <w:t>” means TMC, Bain Capital and all of their respective Affiliates.</w:t>
      </w:r>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TMC Memory Business Owner</w:t>
      </w:r>
      <w:r>
        <w:rPr>
          <w:rFonts w:ascii="Arial" w:cs="Arial" w:eastAsia="Arial" w:hAnsi="Arial"/>
          <w:sz w:val="20"/>
          <w:szCs w:val="20"/>
          <w:color w:val="auto"/>
        </w:rPr>
        <w:t>” means a Memory Business Owner that is, immediately prior to a Change of Control of such Memory Business Owner, Controlled by TMC or any of its Affiliates.</w:t>
      </w:r>
    </w:p>
    <w:p>
      <w:pPr>
        <w:spacing w:after="0" w:line="177" w:lineRule="exact"/>
        <w:rPr>
          <w:sz w:val="20"/>
          <w:szCs w:val="20"/>
          <w:color w:val="auto"/>
        </w:rPr>
      </w:pPr>
    </w:p>
    <w:p>
      <w:pPr>
        <w:ind w:right="28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any transfer, distribution in kind, sale, assignment, conveyance, creation of any Lien, or other disposal or delivery, including by dividend, distribution, merger, business combination, split-off, spin-off, consolidation or otherwise, whether made directly or indirectly, voluntarily or involuntarily, absolutely or conditionally, or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8"/>
        <w:spacing w:after="0" w:line="275" w:lineRule="auto"/>
        <w:tabs>
          <w:tab w:leader="none" w:pos="3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22" w:name="page223"/>
    <w:bookmarkEnd w:id="222"/>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means a transferee of Equity Interests in any Investment Vehicle, TMC, Pangea, any entity Controlling TMC or Pangea or any Subsidiary thereof, whether pursuant to an issuance, Transfer or otherwise.</w:t>
      </w:r>
    </w:p>
    <w:p>
      <w:pPr>
        <w:spacing w:after="0" w:line="177"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WD Competitor CoC</w:t>
      </w:r>
      <w:r>
        <w:rPr>
          <w:rFonts w:ascii="Arial" w:cs="Arial" w:eastAsia="Arial" w:hAnsi="Arial"/>
          <w:sz w:val="20"/>
          <w:szCs w:val="20"/>
          <w:color w:val="auto"/>
        </w:rPr>
        <w:t>” means a Change of Control of WD or any WD Memory Business Owner that results in WD or such WD Memory Business Owner being Controlled by a Competitor (other than WD).</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WD Memory Business Owner</w:t>
      </w:r>
      <w:r>
        <w:rPr>
          <w:rFonts w:ascii="Arial" w:cs="Arial" w:eastAsia="Arial" w:hAnsi="Arial"/>
          <w:sz w:val="20"/>
          <w:szCs w:val="20"/>
          <w:color w:val="auto"/>
        </w:rPr>
        <w:t>” means a Memory Business Owner that is, immediately prior to a Change of Control of such Memory Business Owner, Controlled by WD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8"/>
        <w:spacing w:after="0" w:line="275" w:lineRule="auto"/>
        <w:tabs>
          <w:tab w:leader="none" w:pos="36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23" w:name="page224"/>
    <w:bookmarkEnd w:id="223"/>
    <w:p>
      <w:pPr>
        <w:jc w:val="right"/>
        <w:ind w:right="60"/>
        <w:spacing w:after="0"/>
        <w:rPr>
          <w:sz w:val="20"/>
          <w:szCs w:val="20"/>
          <w:color w:val="auto"/>
        </w:rPr>
      </w:pPr>
      <w:r>
        <w:rPr>
          <w:rFonts w:ascii="Arial" w:cs="Arial" w:eastAsia="Arial" w:hAnsi="Arial"/>
          <w:sz w:val="22"/>
          <w:szCs w:val="22"/>
          <w:b w:val="1"/>
          <w:bCs w:val="1"/>
          <w:color w:val="auto"/>
        </w:rPr>
        <w:t>Exhibit 10.8</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9"/>
          <w:szCs w:val="19"/>
          <w:color w:val="auto"/>
        </w:rPr>
        <w:t>CERTAIN DEFINITIONS</w:t>
      </w:r>
    </w:p>
    <w:p>
      <w:pPr>
        <w:spacing w:after="0" w:line="1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9"/>
          <w:szCs w:val="19"/>
          <w:color w:val="auto"/>
        </w:rPr>
        <w:t>EXISTING AGREEMENTS</w:t>
      </w:r>
    </w:p>
    <w:p>
      <w:pPr>
        <w:spacing w:after="0"/>
        <w:tabs>
          <w:tab w:leader="none" w:pos="11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PROCEEDINGS</w:t>
      </w:r>
    </w:p>
    <w:p>
      <w:pPr>
        <w:spacing w:after="0"/>
        <w:tabs>
          <w:tab w:leader="none" w:pos="11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WITHDRAWAL AND DISMISSAL PLEADINGS</w:t>
      </w:r>
    </w:p>
    <w:p>
      <w:pPr>
        <w:spacing w:after="0"/>
        <w:tabs>
          <w:tab w:leader="none" w:pos="11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9"/>
          <w:szCs w:val="19"/>
          <w:color w:val="auto"/>
        </w:rPr>
        <w:t>MUTUAL RELEASE WITH BAIN CONSORTIUM MEMBERS</w:t>
      </w:r>
    </w:p>
    <w:p>
      <w:pPr>
        <w:spacing w:after="0"/>
        <w:tabs>
          <w:tab w:leader="none" w:pos="114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9"/>
          <w:szCs w:val="19"/>
          <w:color w:val="auto"/>
        </w:rPr>
        <w:t>BAIN SETTLEMENT AGREEMENT</w:t>
      </w:r>
    </w:p>
    <w:p>
      <w:pPr>
        <w:spacing w:after="0"/>
        <w:tabs>
          <w:tab w:leader="none" w:pos="116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9"/>
          <w:szCs w:val="19"/>
          <w:color w:val="auto"/>
        </w:rPr>
        <w:t>Y6 FACILITY AGREEMENT</w:t>
      </w:r>
    </w:p>
    <w:p>
      <w:pPr>
        <w:spacing w:after="0"/>
        <w:tabs>
          <w:tab w:leader="none" w:pos="122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9"/>
          <w:szCs w:val="19"/>
          <w:color w:val="auto"/>
        </w:rPr>
        <w:t>FAL EXTENSION</w:t>
      </w:r>
    </w:p>
    <w:p>
      <w:pPr>
        <w:spacing w:after="0"/>
        <w:tabs>
          <w:tab w:leader="none" w:pos="114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9"/>
          <w:szCs w:val="19"/>
          <w:color w:val="auto"/>
        </w:rPr>
        <w:t>FFL EXTENSION</w:t>
      </w:r>
    </w:p>
    <w:p>
      <w:pPr>
        <w:spacing w:after="0"/>
        <w:tabs>
          <w:tab w:leader="none" w:pos="116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9"/>
          <w:szCs w:val="19"/>
          <w:color w:val="auto"/>
        </w:rPr>
        <w:t>FPL EXTENSION AMENDMENT</w:t>
      </w:r>
    </w:p>
    <w:p>
      <w:pPr>
        <w:spacing w:after="0"/>
        <w:tabs>
          <w:tab w:leader="none" w:pos="122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9"/>
          <w:szCs w:val="19"/>
          <w:color w:val="auto"/>
        </w:rPr>
        <w:t>UNDERTAKING</w:t>
      </w:r>
    </w:p>
    <w:p>
      <w:pPr>
        <w:spacing w:after="0"/>
        <w:tabs>
          <w:tab w:leader="none" w:pos="1200" w:val="left"/>
        </w:tabs>
        <w:rPr>
          <w:sz w:val="20"/>
          <w:szCs w:val="20"/>
          <w:color w:val="auto"/>
        </w:rPr>
      </w:pPr>
      <w:r>
        <w:rPr>
          <w:rFonts w:ascii="Arial" w:cs="Arial" w:eastAsia="Arial" w:hAnsi="Arial"/>
          <w:sz w:val="20"/>
          <w:szCs w:val="20"/>
          <w:color w:val="auto"/>
        </w:rPr>
        <w:t>EXHIBIT L</w:t>
      </w:r>
      <w:r>
        <w:rPr>
          <w:sz w:val="20"/>
          <w:szCs w:val="20"/>
          <w:color w:val="auto"/>
        </w:rPr>
        <w:tab/>
      </w:r>
      <w:r>
        <w:rPr>
          <w:rFonts w:ascii="Arial" w:cs="Arial" w:eastAsia="Arial" w:hAnsi="Arial"/>
          <w:sz w:val="19"/>
          <w:szCs w:val="19"/>
          <w:color w:val="auto"/>
        </w:rPr>
        <w:t>TERMINATION AGREEMENT</w:t>
      </w:r>
    </w:p>
    <w:p>
      <w:pPr>
        <w:spacing w:after="0"/>
        <w:tabs>
          <w:tab w:leader="none" w:pos="1200" w:val="left"/>
        </w:tabs>
        <w:rPr>
          <w:sz w:val="20"/>
          <w:szCs w:val="20"/>
          <w:color w:val="auto"/>
        </w:rPr>
      </w:pPr>
      <w:r>
        <w:rPr>
          <w:rFonts w:ascii="Arial" w:cs="Arial" w:eastAsia="Arial" w:hAnsi="Arial"/>
          <w:sz w:val="20"/>
          <w:szCs w:val="20"/>
          <w:color w:val="auto"/>
        </w:rPr>
        <w:t>EXHIBIT M</w:t>
      </w:r>
      <w:r>
        <w:rPr>
          <w:sz w:val="20"/>
          <w:szCs w:val="20"/>
          <w:color w:val="auto"/>
        </w:rPr>
        <w:tab/>
      </w:r>
      <w:r>
        <w:rPr>
          <w:rFonts w:ascii="Arial" w:cs="Arial" w:eastAsia="Arial" w:hAnsi="Arial"/>
          <w:sz w:val="18"/>
          <w:szCs w:val="18"/>
          <w:color w:val="auto"/>
        </w:rPr>
        <w:t>PATENT CROSS LICENSE AGREEMENT BETWEEN WD AND TMC</w:t>
      </w:r>
    </w:p>
    <w:p>
      <w:pPr>
        <w:spacing w:after="0"/>
        <w:tabs>
          <w:tab w:leader="none" w:pos="1180" w:val="left"/>
        </w:tabs>
        <w:rPr>
          <w:sz w:val="20"/>
          <w:szCs w:val="20"/>
          <w:color w:val="auto"/>
        </w:rPr>
      </w:pPr>
      <w:r>
        <w:rPr>
          <w:rFonts w:ascii="Arial" w:cs="Arial" w:eastAsia="Arial" w:hAnsi="Arial"/>
          <w:sz w:val="20"/>
          <w:szCs w:val="20"/>
          <w:color w:val="auto"/>
        </w:rPr>
        <w:t>EXHIBIT N</w:t>
      </w:r>
      <w:r>
        <w:rPr>
          <w:sz w:val="20"/>
          <w:szCs w:val="20"/>
          <w:color w:val="auto"/>
        </w:rPr>
        <w:tab/>
      </w:r>
      <w:r>
        <w:rPr>
          <w:rFonts w:ascii="Arial" w:cs="Arial" w:eastAsia="Arial" w:hAnsi="Arial"/>
          <w:sz w:val="18"/>
          <w:szCs w:val="18"/>
          <w:color w:val="auto"/>
        </w:rPr>
        <w:t>PATENT CROSS LICENSE AGREEMENT BETWEEN WD AND TSB</w:t>
      </w:r>
    </w:p>
    <w:p>
      <w:pPr>
        <w:spacing w:after="0"/>
        <w:tabs>
          <w:tab w:leader="none" w:pos="1160" w:val="left"/>
        </w:tabs>
        <w:rPr>
          <w:sz w:val="20"/>
          <w:szCs w:val="20"/>
          <w:color w:val="auto"/>
        </w:rPr>
      </w:pPr>
      <w:r>
        <w:rPr>
          <w:rFonts w:ascii="Arial" w:cs="Arial" w:eastAsia="Arial" w:hAnsi="Arial"/>
          <w:sz w:val="20"/>
          <w:szCs w:val="20"/>
          <w:color w:val="auto"/>
        </w:rPr>
        <w:t>EXHIBIT O</w:t>
      </w:r>
      <w:r>
        <w:rPr>
          <w:sz w:val="20"/>
          <w:szCs w:val="20"/>
          <w:color w:val="auto"/>
        </w:rPr>
        <w:tab/>
      </w:r>
      <w:r>
        <w:rPr>
          <w:rFonts w:ascii="Arial" w:cs="Arial" w:eastAsia="Arial" w:hAnsi="Arial"/>
          <w:sz w:val="19"/>
          <w:szCs w:val="19"/>
          <w:color w:val="auto"/>
        </w:rPr>
        <w:t>AMENDED JMDY AGREEMENT</w:t>
      </w:r>
    </w:p>
    <w:p>
      <w:pPr>
        <w:spacing w:after="0"/>
        <w:tabs>
          <w:tab w:leader="none" w:pos="1180" w:val="left"/>
        </w:tabs>
        <w:rPr>
          <w:sz w:val="20"/>
          <w:szCs w:val="20"/>
          <w:color w:val="auto"/>
        </w:rPr>
      </w:pPr>
      <w:r>
        <w:rPr>
          <w:rFonts w:ascii="Arial" w:cs="Arial" w:eastAsia="Arial" w:hAnsi="Arial"/>
          <w:sz w:val="20"/>
          <w:szCs w:val="20"/>
          <w:color w:val="auto"/>
        </w:rPr>
        <w:t>EXHIBIT P</w:t>
      </w:r>
      <w:r>
        <w:rPr>
          <w:sz w:val="20"/>
          <w:szCs w:val="20"/>
          <w:color w:val="auto"/>
        </w:rPr>
        <w:tab/>
      </w:r>
      <w:r>
        <w:rPr>
          <w:rFonts w:ascii="Arial" w:cs="Arial" w:eastAsia="Arial" w:hAnsi="Arial"/>
          <w:sz w:val="19"/>
          <w:szCs w:val="19"/>
          <w:color w:val="auto"/>
        </w:rPr>
        <w:t>Y6 MCEIA</w:t>
      </w:r>
    </w:p>
    <w:p>
      <w:pPr>
        <w:spacing w:after="0"/>
        <w:tabs>
          <w:tab w:leader="none" w:pos="1560" w:val="left"/>
        </w:tabs>
        <w:rPr>
          <w:sz w:val="20"/>
          <w:szCs w:val="20"/>
          <w:color w:val="auto"/>
        </w:rPr>
      </w:pPr>
      <w:r>
        <w:rPr>
          <w:rFonts w:ascii="Arial" w:cs="Arial" w:eastAsia="Arial" w:hAnsi="Arial"/>
          <w:sz w:val="20"/>
          <w:szCs w:val="20"/>
          <w:color w:val="auto"/>
        </w:rPr>
        <w:t>SCHEDULE 2.1</w:t>
      </w:r>
      <w:r>
        <w:rPr>
          <w:sz w:val="20"/>
          <w:szCs w:val="20"/>
          <w:color w:val="auto"/>
        </w:rPr>
        <w:tab/>
      </w:r>
      <w:r>
        <w:rPr>
          <w:rFonts w:ascii="Arial" w:cs="Arial" w:eastAsia="Arial" w:hAnsi="Arial"/>
          <w:sz w:val="18"/>
          <w:szCs w:val="18"/>
          <w:color w:val="auto"/>
        </w:rPr>
        <w:t>CORRESPONDENCE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20" w:firstLine="8"/>
        <w:spacing w:after="0" w:line="275" w:lineRule="auto"/>
        <w:tabs>
          <w:tab w:leader="none" w:pos="36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24" w:name="page225"/>
    <w:bookmarkEnd w:id="22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SETTLEMENT AND MUTUAL RELEASE AGREEMENT</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This CONFIDENTIAL SETTLEMENT AND MUTUAL RELEASE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December 12, 2017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among Western Digital Corporation, a Delaware corporation (“</w:t>
      </w:r>
      <w:r>
        <w:rPr>
          <w:rFonts w:ascii="Arial" w:cs="Arial" w:eastAsia="Arial" w:hAnsi="Arial"/>
          <w:sz w:val="21"/>
          <w:szCs w:val="21"/>
          <w:u w:val="single" w:color="auto"/>
          <w:color w:val="auto"/>
        </w:rPr>
        <w:t>WD</w:t>
      </w:r>
      <w:r>
        <w:rPr>
          <w:rFonts w:ascii="Arial" w:cs="Arial" w:eastAsia="Arial" w:hAnsi="Arial"/>
          <w:sz w:val="21"/>
          <w:szCs w:val="21"/>
          <w:color w:val="auto"/>
        </w:rPr>
        <w:t>”), SanDisk LLC, a Delaware limited liability company (“</w:t>
      </w:r>
      <w:r>
        <w:rPr>
          <w:rFonts w:ascii="Arial" w:cs="Arial" w:eastAsia="Arial" w:hAnsi="Arial"/>
          <w:sz w:val="21"/>
          <w:szCs w:val="21"/>
          <w:u w:val="single" w:color="auto"/>
          <w:color w:val="auto"/>
        </w:rPr>
        <w:t>SanDisk LLC</w:t>
      </w:r>
      <w:r>
        <w:rPr>
          <w:rFonts w:ascii="Arial" w:cs="Arial" w:eastAsia="Arial" w:hAnsi="Arial"/>
          <w:sz w:val="21"/>
          <w:szCs w:val="21"/>
          <w:color w:val="auto"/>
        </w:rPr>
        <w:t>”), SanDisk (Cayman) Limited, a Cayman Islands company (“</w:t>
      </w:r>
      <w:r>
        <w:rPr>
          <w:rFonts w:ascii="Arial" w:cs="Arial" w:eastAsia="Arial" w:hAnsi="Arial"/>
          <w:sz w:val="21"/>
          <w:szCs w:val="21"/>
          <w:u w:val="single" w:color="auto"/>
          <w:color w:val="auto"/>
        </w:rPr>
        <w:t>SanDisk</w:t>
      </w:r>
      <w:r>
        <w:rPr>
          <w:rFonts w:ascii="Arial" w:cs="Arial" w:eastAsia="Arial" w:hAnsi="Arial"/>
          <w:sz w:val="21"/>
          <w:szCs w:val="21"/>
          <w:color w:val="auto"/>
        </w:rPr>
        <w:t xml:space="preserve"> </w:t>
      </w:r>
      <w:r>
        <w:rPr>
          <w:rFonts w:ascii="Arial" w:cs="Arial" w:eastAsia="Arial" w:hAnsi="Arial"/>
          <w:sz w:val="21"/>
          <w:szCs w:val="21"/>
          <w:u w:val="single" w:color="auto"/>
          <w:color w:val="auto"/>
        </w:rPr>
        <w:t>Cayman</w:t>
      </w:r>
      <w:r>
        <w:rPr>
          <w:rFonts w:ascii="Arial" w:cs="Arial" w:eastAsia="Arial" w:hAnsi="Arial"/>
          <w:sz w:val="21"/>
          <w:szCs w:val="21"/>
          <w:color w:val="auto"/>
        </w:rPr>
        <w:t>”), SanDisk (Ireland) Limited, a Republic of Ireland company (“</w:t>
      </w:r>
      <w:r>
        <w:rPr>
          <w:rFonts w:ascii="Arial" w:cs="Arial" w:eastAsia="Arial" w:hAnsi="Arial"/>
          <w:sz w:val="21"/>
          <w:szCs w:val="21"/>
          <w:u w:val="single" w:color="auto"/>
          <w:color w:val="auto"/>
        </w:rPr>
        <w:t>SanDisk Ireland</w:t>
      </w:r>
      <w:r>
        <w:rPr>
          <w:rFonts w:ascii="Arial" w:cs="Arial" w:eastAsia="Arial" w:hAnsi="Arial"/>
          <w:sz w:val="21"/>
          <w:szCs w:val="21"/>
          <w:color w:val="auto"/>
        </w:rPr>
        <w:t>”), SanDisk Flash B.V., a Netherlands company (“</w:t>
      </w:r>
      <w:r>
        <w:rPr>
          <w:rFonts w:ascii="Arial" w:cs="Arial" w:eastAsia="Arial" w:hAnsi="Arial"/>
          <w:sz w:val="21"/>
          <w:szCs w:val="21"/>
          <w:u w:val="single" w:color="auto"/>
          <w:color w:val="auto"/>
        </w:rPr>
        <w:t>SanDisk Flash</w:t>
      </w:r>
      <w:r>
        <w:rPr>
          <w:rFonts w:ascii="Arial" w:cs="Arial" w:eastAsia="Arial" w:hAnsi="Arial"/>
          <w:sz w:val="21"/>
          <w:szCs w:val="21"/>
          <w:color w:val="auto"/>
        </w:rPr>
        <w:t>,” and together with SanDisk LLC, SanDisk Cayman, and SanDisk Ireland, “</w:t>
      </w:r>
      <w:r>
        <w:rPr>
          <w:rFonts w:ascii="Arial" w:cs="Arial" w:eastAsia="Arial" w:hAnsi="Arial"/>
          <w:sz w:val="21"/>
          <w:szCs w:val="21"/>
          <w:u w:val="single" w:color="auto"/>
          <w:color w:val="auto"/>
        </w:rPr>
        <w:t>SanDisk</w:t>
      </w:r>
      <w:r>
        <w:rPr>
          <w:rFonts w:ascii="Arial" w:cs="Arial" w:eastAsia="Arial" w:hAnsi="Arial"/>
          <w:sz w:val="21"/>
          <w:szCs w:val="21"/>
          <w:color w:val="auto"/>
        </w:rPr>
        <w:t>”), Bain Capital Private Equity, L.P., a Delaware limited partnership (“</w:t>
      </w:r>
      <w:r>
        <w:rPr>
          <w:rFonts w:ascii="Arial" w:cs="Arial" w:eastAsia="Arial" w:hAnsi="Arial"/>
          <w:sz w:val="21"/>
          <w:szCs w:val="21"/>
          <w:u w:val="single" w:color="auto"/>
          <w:color w:val="auto"/>
        </w:rPr>
        <w:t>BCPE</w:t>
      </w:r>
      <w:r>
        <w:rPr>
          <w:rFonts w:ascii="Arial" w:cs="Arial" w:eastAsia="Arial" w:hAnsi="Arial"/>
          <w:sz w:val="21"/>
          <w:szCs w:val="21"/>
          <w:color w:val="auto"/>
        </w:rPr>
        <w:t>”), BCPE Pangea Cayman, L.P., a Cayman Islands limited partnership (“</w:t>
      </w:r>
      <w:r>
        <w:rPr>
          <w:rFonts w:ascii="Arial" w:cs="Arial" w:eastAsia="Arial" w:hAnsi="Arial"/>
          <w:sz w:val="21"/>
          <w:szCs w:val="21"/>
          <w:u w:val="single" w:color="auto"/>
          <w:color w:val="auto"/>
        </w:rPr>
        <w:t>BCPE Cayman 1</w:t>
      </w:r>
      <w:r>
        <w:rPr>
          <w:rFonts w:ascii="Arial" w:cs="Arial" w:eastAsia="Arial" w:hAnsi="Arial"/>
          <w:sz w:val="21"/>
          <w:szCs w:val="21"/>
          <w:color w:val="auto"/>
        </w:rPr>
        <w:t>”), BCPE Pangea Cayman2, Ltd., a Cayman Islands exempted company (“</w:t>
      </w:r>
      <w:r>
        <w:rPr>
          <w:rFonts w:ascii="Arial" w:cs="Arial" w:eastAsia="Arial" w:hAnsi="Arial"/>
          <w:sz w:val="21"/>
          <w:szCs w:val="21"/>
          <w:u w:val="single" w:color="auto"/>
          <w:color w:val="auto"/>
        </w:rPr>
        <w:t>BCPE Cayman 2</w:t>
      </w:r>
      <w:r>
        <w:rPr>
          <w:rFonts w:ascii="Arial" w:cs="Arial" w:eastAsia="Arial" w:hAnsi="Arial"/>
          <w:sz w:val="21"/>
          <w:szCs w:val="21"/>
          <w:color w:val="auto"/>
        </w:rPr>
        <w:t>”), Bain Capital Fund XII, L.P., a Cayman Islands limited partnership (“</w:t>
      </w:r>
      <w:r>
        <w:rPr>
          <w:rFonts w:ascii="Arial" w:cs="Arial" w:eastAsia="Arial" w:hAnsi="Arial"/>
          <w:sz w:val="21"/>
          <w:szCs w:val="21"/>
          <w:u w:val="single" w:color="auto"/>
          <w:color w:val="auto"/>
        </w:rPr>
        <w:t>Bain Fund XII</w:t>
      </w:r>
      <w:r>
        <w:rPr>
          <w:rFonts w:ascii="Arial" w:cs="Arial" w:eastAsia="Arial" w:hAnsi="Arial"/>
          <w:sz w:val="21"/>
          <w:szCs w:val="21"/>
          <w:color w:val="auto"/>
        </w:rPr>
        <w:t>”), Bain Capital Asia Fund III, L.P., a Cayman Islands limited partnership (“</w:t>
      </w:r>
      <w:r>
        <w:rPr>
          <w:rFonts w:ascii="Arial" w:cs="Arial" w:eastAsia="Arial" w:hAnsi="Arial"/>
          <w:sz w:val="21"/>
          <w:szCs w:val="21"/>
          <w:u w:val="single" w:color="auto"/>
          <w:color w:val="auto"/>
        </w:rPr>
        <w:t>Bain Asia III</w:t>
      </w:r>
      <w:r>
        <w:rPr>
          <w:rFonts w:ascii="Arial" w:cs="Arial" w:eastAsia="Arial" w:hAnsi="Arial"/>
          <w:sz w:val="21"/>
          <w:szCs w:val="21"/>
          <w:color w:val="auto"/>
        </w:rPr>
        <w:t>”), and K.K. Pangea, a Japanese corporation (“</w:t>
      </w:r>
      <w:r>
        <w:rPr>
          <w:rFonts w:ascii="Arial" w:cs="Arial" w:eastAsia="Arial" w:hAnsi="Arial"/>
          <w:sz w:val="21"/>
          <w:szCs w:val="21"/>
          <w:u w:val="single" w:color="auto"/>
          <w:color w:val="auto"/>
        </w:rPr>
        <w:t>Pangea</w:t>
      </w:r>
      <w:r>
        <w:rPr>
          <w:rFonts w:ascii="Arial" w:cs="Arial" w:eastAsia="Arial" w:hAnsi="Arial"/>
          <w:sz w:val="21"/>
          <w:szCs w:val="21"/>
          <w:color w:val="auto"/>
        </w:rPr>
        <w:t>”, together with BCPE, BCPE Cayman 1, BCPE Cayman 2, Bain Fund XII and Bain Asia III, “</w:t>
      </w:r>
      <w:r>
        <w:rPr>
          <w:rFonts w:ascii="Arial" w:cs="Arial" w:eastAsia="Arial" w:hAnsi="Arial"/>
          <w:sz w:val="21"/>
          <w:szCs w:val="21"/>
          <w:u w:val="single" w:color="auto"/>
          <w:color w:val="auto"/>
        </w:rPr>
        <w:t>Bain Capital</w:t>
      </w:r>
      <w:r>
        <w:rPr>
          <w:rFonts w:ascii="Arial" w:cs="Arial" w:eastAsia="Arial" w:hAnsi="Arial"/>
          <w:sz w:val="21"/>
          <w:szCs w:val="21"/>
          <w:color w:val="auto"/>
        </w:rPr>
        <w:t>”). WD, SanDisk LLC, SanDisk Cayman, SanDisk Ireland, SanDisk Flash, BCPE, BCPE Cayman 1, BCPE Cayman 2, Bain Fund XII and Bain Asia III shall each be referred to,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 xml:space="preserve">.” Certain capitalized terms used herein are defined herein and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of this Agreement.</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Toshiba Corporation, a Japanese corporation (“</w:t>
      </w:r>
      <w:r>
        <w:rPr>
          <w:rFonts w:ascii="Arial" w:cs="Arial" w:eastAsia="Arial" w:hAnsi="Arial"/>
          <w:sz w:val="22"/>
          <w:szCs w:val="22"/>
          <w:u w:val="single" w:color="auto"/>
          <w:color w:val="auto"/>
        </w:rPr>
        <w:t>TSB</w:t>
      </w:r>
      <w:r>
        <w:rPr>
          <w:rFonts w:ascii="Arial" w:cs="Arial" w:eastAsia="Arial" w:hAnsi="Arial"/>
          <w:sz w:val="22"/>
          <w:szCs w:val="22"/>
          <w:color w:val="auto"/>
        </w:rPr>
        <w:t>”), engaged in an auction process soliciting bids for a sale of all or a part of Toshiba Memory Corporation, a Japanese corporation (“</w:t>
      </w:r>
      <w:r>
        <w:rPr>
          <w:rFonts w:ascii="Arial" w:cs="Arial" w:eastAsia="Arial" w:hAnsi="Arial"/>
          <w:sz w:val="22"/>
          <w:szCs w:val="22"/>
          <w:u w:val="single" w:color="auto"/>
          <w:color w:val="auto"/>
        </w:rPr>
        <w:t>TMC</w:t>
      </w:r>
      <w:r>
        <w:rPr>
          <w:rFonts w:ascii="Arial" w:cs="Arial" w:eastAsia="Arial" w:hAnsi="Arial"/>
          <w:sz w:val="22"/>
          <w:szCs w:val="22"/>
          <w:color w:val="auto"/>
        </w:rPr>
        <w:t>”), which process ended on September 28, 2017 (the “</w:t>
      </w:r>
      <w:r>
        <w:rPr>
          <w:rFonts w:ascii="Arial" w:cs="Arial" w:eastAsia="Arial" w:hAnsi="Arial"/>
          <w:sz w:val="22"/>
          <w:szCs w:val="22"/>
          <w:u w:val="single" w:color="auto"/>
          <w:color w:val="auto"/>
        </w:rPr>
        <w:t>Auction</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on September 28, 2017, TSB entered into the Share Purchase Agreement (the “</w:t>
      </w:r>
      <w:r>
        <w:rPr>
          <w:rFonts w:ascii="Arial" w:cs="Arial" w:eastAsia="Arial" w:hAnsi="Arial"/>
          <w:sz w:val="22"/>
          <w:szCs w:val="22"/>
          <w:u w:val="single" w:color="auto"/>
          <w:color w:val="auto"/>
        </w:rPr>
        <w:t>SPA</w:t>
      </w:r>
      <w:r>
        <w:rPr>
          <w:rFonts w:ascii="Arial" w:cs="Arial" w:eastAsia="Arial" w:hAnsi="Arial"/>
          <w:sz w:val="22"/>
          <w:szCs w:val="22"/>
          <w:color w:val="auto"/>
        </w:rPr>
        <w:t xml:space="preserve">”) with Pangea for the sale of all of the shares of TMC, which sale is expected to be consummated by March 31, 2018 (such sale, together with the other transactions contemplated by and on the terms set forth in the SPA and related agreements and instruments and in compliance with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hereof, the “</w:t>
      </w:r>
      <w:r>
        <w:rPr>
          <w:rFonts w:ascii="Arial" w:cs="Arial" w:eastAsia="Arial" w:hAnsi="Arial"/>
          <w:sz w:val="22"/>
          <w:szCs w:val="22"/>
          <w:u w:val="single" w:color="auto"/>
          <w:color w:val="auto"/>
        </w:rPr>
        <w:t>TMC Sale</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Pangea will be owned as of the closing of the TMC Sale by Bain Capital (other than Pangea), Hoya Corporation, a Japanese company (“</w:t>
      </w:r>
      <w:r>
        <w:rPr>
          <w:rFonts w:ascii="Arial" w:cs="Arial" w:eastAsia="Arial" w:hAnsi="Arial"/>
          <w:sz w:val="19"/>
          <w:szCs w:val="19"/>
          <w:u w:val="single" w:color="auto"/>
          <w:color w:val="auto"/>
        </w:rPr>
        <w:t>Hoya</w:t>
      </w:r>
      <w:r>
        <w:rPr>
          <w:rFonts w:ascii="Arial" w:cs="Arial" w:eastAsia="Arial" w:hAnsi="Arial"/>
          <w:sz w:val="19"/>
          <w:szCs w:val="19"/>
          <w:color w:val="auto"/>
        </w:rPr>
        <w:t>”), Apple, Inc., a Delaware corporation (“</w:t>
      </w:r>
      <w:r>
        <w:rPr>
          <w:rFonts w:ascii="Arial" w:cs="Arial" w:eastAsia="Arial" w:hAnsi="Arial"/>
          <w:sz w:val="19"/>
          <w:szCs w:val="19"/>
          <w:u w:val="single" w:color="auto"/>
          <w:color w:val="auto"/>
        </w:rPr>
        <w:t>Apple</w:t>
      </w:r>
      <w:r>
        <w:rPr>
          <w:rFonts w:ascii="Arial" w:cs="Arial" w:eastAsia="Arial" w:hAnsi="Arial"/>
          <w:sz w:val="19"/>
          <w:szCs w:val="19"/>
          <w:color w:val="auto"/>
        </w:rPr>
        <w:t>”), Kingston Technology Company, Inc., a Delaware corporation (“</w:t>
      </w:r>
      <w:r>
        <w:rPr>
          <w:rFonts w:ascii="Arial" w:cs="Arial" w:eastAsia="Arial" w:hAnsi="Arial"/>
          <w:sz w:val="19"/>
          <w:szCs w:val="19"/>
          <w:u w:val="single" w:color="auto"/>
          <w:color w:val="auto"/>
        </w:rPr>
        <w:t>Kingston</w:t>
      </w:r>
      <w:r>
        <w:rPr>
          <w:rFonts w:ascii="Arial" w:cs="Arial" w:eastAsia="Arial" w:hAnsi="Arial"/>
          <w:sz w:val="19"/>
          <w:szCs w:val="19"/>
          <w:color w:val="auto"/>
        </w:rPr>
        <w:t>”), Seagate Technology LLC, a Delaware limited liability company (“</w:t>
      </w:r>
      <w:r>
        <w:rPr>
          <w:rFonts w:ascii="Arial" w:cs="Arial" w:eastAsia="Arial" w:hAnsi="Arial"/>
          <w:sz w:val="19"/>
          <w:szCs w:val="19"/>
          <w:u w:val="single" w:color="auto"/>
          <w:color w:val="auto"/>
        </w:rPr>
        <w:t>Seagate</w:t>
      </w:r>
      <w:r>
        <w:rPr>
          <w:rFonts w:ascii="Arial" w:cs="Arial" w:eastAsia="Arial" w:hAnsi="Arial"/>
          <w:sz w:val="19"/>
          <w:szCs w:val="19"/>
          <w:color w:val="auto"/>
        </w:rPr>
        <w:t>”), and Dell Technology Inc., a Delaware corporation (“</w:t>
      </w:r>
      <w:r>
        <w:rPr>
          <w:rFonts w:ascii="Arial" w:cs="Arial" w:eastAsia="Arial" w:hAnsi="Arial"/>
          <w:sz w:val="19"/>
          <w:szCs w:val="19"/>
          <w:u w:val="single" w:color="auto"/>
          <w:color w:val="auto"/>
        </w:rPr>
        <w:t>Dell</w:t>
      </w:r>
      <w:r>
        <w:rPr>
          <w:rFonts w:ascii="Arial" w:cs="Arial" w:eastAsia="Arial" w:hAnsi="Arial"/>
          <w:sz w:val="19"/>
          <w:szCs w:val="19"/>
          <w:color w:val="auto"/>
        </w:rPr>
        <w:t>”), and Pangea will receive financing from SK hynix, Inc., a South Korea company;</w:t>
      </w:r>
    </w:p>
    <w:p>
      <w:pPr>
        <w:spacing w:after="0" w:line="143" w:lineRule="exact"/>
        <w:rPr>
          <w:sz w:val="20"/>
          <w:szCs w:val="20"/>
          <w:color w:val="auto"/>
        </w:rPr>
      </w:pPr>
    </w:p>
    <w:p>
      <w:pPr>
        <w:ind w:left="660" w:right="3120"/>
        <w:spacing w:after="0" w:line="519" w:lineRule="auto"/>
        <w:rPr>
          <w:sz w:val="20"/>
          <w:szCs w:val="20"/>
          <w:color w:val="auto"/>
        </w:rPr>
      </w:pPr>
      <w:r>
        <w:rPr>
          <w:rFonts w:ascii="Arial" w:cs="Arial" w:eastAsia="Arial" w:hAnsi="Arial"/>
          <w:sz w:val="19"/>
          <w:szCs w:val="19"/>
          <w:color w:val="auto"/>
        </w:rPr>
        <w:t>WHEREAS, TSB, TMC, WD and SanDisk have commenced the Proceedings; WHEREAS, the Parties desire that TSB, TMC, WD and SanDisk settle the Proceedings;</w:t>
      </w:r>
    </w:p>
    <w:p>
      <w:pPr>
        <w:jc w:val="both"/>
        <w:ind w:firstLine="648"/>
        <w:spacing w:after="0" w:line="287" w:lineRule="auto"/>
        <w:rPr>
          <w:sz w:val="20"/>
          <w:szCs w:val="20"/>
          <w:color w:val="auto"/>
        </w:rPr>
      </w:pPr>
      <w:r>
        <w:rPr>
          <w:rFonts w:ascii="Arial" w:cs="Arial" w:eastAsia="Arial" w:hAnsi="Arial"/>
          <w:sz w:val="21"/>
          <w:szCs w:val="21"/>
          <w:color w:val="auto"/>
        </w:rPr>
        <w:t>WHEREAS, this Agreement is entered into concurrently with, and in support of, that certain Confidential Settlement And Mutual Release Agreement (the “</w:t>
      </w:r>
      <w:r>
        <w:rPr>
          <w:rFonts w:ascii="Arial" w:cs="Arial" w:eastAsia="Arial" w:hAnsi="Arial"/>
          <w:sz w:val="21"/>
          <w:szCs w:val="21"/>
          <w:u w:val="single" w:color="auto"/>
          <w:color w:val="auto"/>
        </w:rPr>
        <w:t>TSB and TMC Settlement Agreement</w:t>
      </w:r>
      <w:r>
        <w:rPr>
          <w:rFonts w:ascii="Arial" w:cs="Arial" w:eastAsia="Arial" w:hAnsi="Arial"/>
          <w:sz w:val="21"/>
          <w:szCs w:val="21"/>
          <w:color w:val="auto"/>
        </w:rPr>
        <w:t>”) by and among TSB, TMC, WD and SanDisk;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8"/>
        <w:spacing w:after="0" w:line="275" w:lineRule="auto"/>
        <w:tabs>
          <w:tab w:leader="none" w:pos="36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225" w:name="page226"/>
    <w:bookmarkEnd w:id="22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execution of this Agreement is a requirement under, and condition precedent to, the effectiveness of the TSB and TMC Settlement Agreement;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promises, mutual covenants and agreements contained herein, and other good and valuable consideration the receipt and sufficiency of which is hereby acknowledged, the Parties agree as follows:</w:t>
      </w:r>
    </w:p>
    <w:p>
      <w:pPr>
        <w:spacing w:after="0" w:line="99" w:lineRule="exact"/>
        <w:rPr>
          <w:sz w:val="20"/>
          <w:szCs w:val="20"/>
          <w:color w:val="auto"/>
        </w:rPr>
      </w:pPr>
    </w:p>
    <w:p>
      <w:pPr>
        <w:ind w:left="340" w:hanging="332"/>
        <w:spacing w:after="0"/>
        <w:tabs>
          <w:tab w:leader="none" w:pos="340" w:val="left"/>
        </w:tabs>
        <w:numPr>
          <w:ilvl w:val="0"/>
          <w:numId w:val="266"/>
        </w:numPr>
        <w:rPr>
          <w:rFonts w:ascii="Arial" w:cs="Arial" w:eastAsia="Arial" w:hAnsi="Arial"/>
          <w:sz w:val="22"/>
          <w:szCs w:val="22"/>
          <w:color w:val="auto"/>
        </w:rPr>
      </w:pPr>
      <w:r>
        <w:rPr>
          <w:rFonts w:ascii="Arial" w:cs="Arial" w:eastAsia="Arial" w:hAnsi="Arial"/>
          <w:sz w:val="22"/>
          <w:szCs w:val="22"/>
          <w:b w:val="1"/>
          <w:bCs w:val="1"/>
          <w:u w:val="single" w:color="auto"/>
          <w:color w:val="auto"/>
        </w:rPr>
        <w:t>Releases and Covenants Not to Sue</w:t>
      </w:r>
      <w:r>
        <w:rPr>
          <w:rFonts w:ascii="Arial" w:cs="Arial" w:eastAsia="Arial" w:hAnsi="Arial"/>
          <w:sz w:val="22"/>
          <w:szCs w:val="22"/>
          <w:color w:val="auto"/>
        </w:rPr>
        <w:t>.</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WD and SanDisk and Bain Capital Mutual Releases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7" w:lineRule="auto"/>
        <w:tabs>
          <w:tab w:leader="none" w:pos="179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WD and SanDisk, in each case on behalf of itself and its Affiliates, and its and their respective successors, predecessors, assignees, officers, directors, shareholders, employees, representatives and agents (the “</w:t>
      </w:r>
      <w:r>
        <w:rPr>
          <w:rFonts w:ascii="Arial" w:cs="Arial" w:eastAsia="Arial" w:hAnsi="Arial"/>
          <w:sz w:val="19"/>
          <w:szCs w:val="19"/>
          <w:u w:val="single" w:color="auto"/>
          <w:color w:val="auto"/>
        </w:rPr>
        <w:t>WD Releasors</w:t>
      </w:r>
      <w:r>
        <w:rPr>
          <w:rFonts w:ascii="Arial" w:cs="Arial" w:eastAsia="Arial" w:hAnsi="Arial"/>
          <w:sz w:val="19"/>
          <w:szCs w:val="19"/>
          <w:color w:val="auto"/>
        </w:rPr>
        <w:t>”) each hereby releases and forever discharges Bain Capital and its respective Affiliates (excluding any Excluded Person), and its and their respective successors, assignees, predecessors, funds, officers, directors, managers, partners, shareholders, employees, representatives, attorneys and agents, but, in each case, excluding any Excluded Person (the “</w:t>
      </w:r>
      <w:r>
        <w:rPr>
          <w:rFonts w:ascii="Arial" w:cs="Arial" w:eastAsia="Arial" w:hAnsi="Arial"/>
          <w:sz w:val="19"/>
          <w:szCs w:val="19"/>
          <w:u w:val="single" w:color="auto"/>
          <w:color w:val="auto"/>
        </w:rPr>
        <w:t>Bain Capital Releasees</w:t>
      </w:r>
      <w:r>
        <w:rPr>
          <w:rFonts w:ascii="Arial" w:cs="Arial" w:eastAsia="Arial" w:hAnsi="Arial"/>
          <w:sz w:val="19"/>
          <w:szCs w:val="19"/>
          <w:color w:val="auto"/>
        </w:rPr>
        <w:t xml:space="preserve">”), from all Claims (i) relating to, arising out of or in connection with the TMC Transfer; the TSB Transfer; the Auction (including TSB’s and TMC’s disclosure of confidential information regarding the Memory Business to bidders in the Auction or attorneys or consortium partners for due diligence purposes); acts, omissions, attempts, or efforts to acquire any or all shares of or interest in TMC; the Access Restrictions; the Fab 6 Unilateral Investment; or the TMC Sale; (ii) relating to the allegations that were or could have been asserted in the Proceedings; and/or (iii) that were asserted or threatened to be asserted in any of the correspondence set forth in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of this Agreement. WD and SanDisk, in each case on behalf of itself and the other WD Releasors, covenants not to (and to cause its respective Affiliates, and its and their respective successors, predecessors, assignees, officers, directors, shareholders (in their capacity as such), employees, representatives and agents, not to) sue or assert any Claims released in this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against the Bain Capital Releasees in any forum.</w:t>
      </w:r>
    </w:p>
    <w:p>
      <w:pPr>
        <w:spacing w:after="0" w:line="164" w:lineRule="exact"/>
        <w:rPr>
          <w:rFonts w:ascii="Arial" w:cs="Arial" w:eastAsia="Arial" w:hAnsi="Arial"/>
          <w:sz w:val="19"/>
          <w:szCs w:val="19"/>
          <w:color w:val="auto"/>
        </w:rPr>
      </w:pPr>
    </w:p>
    <w:p>
      <w:pPr>
        <w:jc w:val="both"/>
        <w:ind w:firstLine="1305"/>
        <w:spacing w:after="0" w:line="288" w:lineRule="auto"/>
        <w:tabs>
          <w:tab w:leader="none" w:pos="1742" w:val="left"/>
        </w:tabs>
        <w:numPr>
          <w:ilvl w:val="0"/>
          <w:numId w:val="267"/>
        </w:numPr>
        <w:rPr>
          <w:rFonts w:ascii="Arial" w:cs="Arial" w:eastAsia="Arial" w:hAnsi="Arial"/>
          <w:sz w:val="19"/>
          <w:szCs w:val="19"/>
          <w:color w:val="auto"/>
        </w:rPr>
      </w:pPr>
      <w:r>
        <w:rPr>
          <w:rFonts w:ascii="Arial" w:cs="Arial" w:eastAsia="Arial" w:hAnsi="Arial"/>
          <w:sz w:val="19"/>
          <w:szCs w:val="19"/>
          <w:color w:val="auto"/>
        </w:rPr>
        <w:t>Bain Capital, on behalf of itself and its Affiliates (excluding any Excluded Person), and its and their respective successors, assignees, predecessors, funds, officers, directors, managers, partners, shareholders, employees, representatives, attorneys and agents, but, in each case, excluding any Excluded Person (the “</w:t>
      </w:r>
      <w:r>
        <w:rPr>
          <w:rFonts w:ascii="Arial" w:cs="Arial" w:eastAsia="Arial" w:hAnsi="Arial"/>
          <w:sz w:val="19"/>
          <w:szCs w:val="19"/>
          <w:u w:val="single" w:color="auto"/>
          <w:color w:val="auto"/>
        </w:rPr>
        <w:t>Bain Capital Releasors</w:t>
      </w:r>
      <w:r>
        <w:rPr>
          <w:rFonts w:ascii="Arial" w:cs="Arial" w:eastAsia="Arial" w:hAnsi="Arial"/>
          <w:sz w:val="19"/>
          <w:szCs w:val="19"/>
          <w:color w:val="auto"/>
        </w:rPr>
        <w:t>”) each hereby releases and forever discharges each of WD, SanDisk, their respective Affiliates, and its and their respective successors, assignees, predecessors, officers, directors, shareholders, employees, representatives, attorneys and agents (the “</w:t>
      </w:r>
      <w:r>
        <w:rPr>
          <w:rFonts w:ascii="Arial" w:cs="Arial" w:eastAsia="Arial" w:hAnsi="Arial"/>
          <w:sz w:val="19"/>
          <w:szCs w:val="19"/>
          <w:u w:val="single" w:color="auto"/>
          <w:color w:val="auto"/>
        </w:rPr>
        <w:t>WD Releasees</w:t>
      </w:r>
      <w:r>
        <w:rPr>
          <w:rFonts w:ascii="Arial" w:cs="Arial" w:eastAsia="Arial" w:hAnsi="Arial"/>
          <w:sz w:val="19"/>
          <w:szCs w:val="19"/>
          <w:color w:val="auto"/>
        </w:rPr>
        <w:t xml:space="preserve">”), from all Claims (i) relating to, arising out of or in connection with the TMC Transfer; the TSB Transfer; the Auction; acts, omissions, attempts, or efforts to acquire any or all shares of or interest in TMC; the Access Restrictions; the Fab 6 Unilateral Investment; or the TMC Sale; (ii) relating to the allegations that were or could have been asserted in the Proceedings; and/or (iii) that were asserted or threatened to be asserted in any of the correspondence in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of this Agreement. Bain Capital, on behalf of itself and the other Bain Capital Releasors, covenants not to (and to cause its respective Affiliates, and its and their respective successors, predecessors, funds, assignees, officers, directors, managers, partners (in their capacities as such), shareholders, employees, representatives and agents, not to) sue or assert any Claims released in this </w:t>
      </w:r>
      <w:r>
        <w:rPr>
          <w:rFonts w:ascii="Arial" w:cs="Arial" w:eastAsia="Arial" w:hAnsi="Arial"/>
          <w:sz w:val="19"/>
          <w:szCs w:val="19"/>
          <w:u w:val="single" w:color="auto"/>
          <w:color w:val="auto"/>
        </w:rPr>
        <w:t>Section 1.1(b)</w:t>
      </w:r>
      <w:r>
        <w:rPr>
          <w:rFonts w:ascii="Arial" w:cs="Arial" w:eastAsia="Arial" w:hAnsi="Arial"/>
          <w:sz w:val="19"/>
          <w:szCs w:val="19"/>
          <w:color w:val="auto"/>
        </w:rPr>
        <w:t xml:space="preserve"> against the WD Releasees in any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20" w:firstLine="8"/>
        <w:spacing w:after="0" w:line="275" w:lineRule="auto"/>
        <w:tabs>
          <w:tab w:leader="none" w:pos="36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226" w:name="page227"/>
    <w:bookmarkEnd w:id="226"/>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Waiver</w:t>
      </w:r>
      <w:r>
        <w:rPr>
          <w:rFonts w:ascii="Arial" w:cs="Arial" w:eastAsia="Arial" w:hAnsi="Arial"/>
          <w:sz w:val="19"/>
          <w:szCs w:val="19"/>
          <w:color w:val="auto"/>
        </w:rPr>
        <w:t xml:space="preserve">. Each of WD and SanDisk, on behalf of itself and the other WD Releasors, and Bain Capital, on behalf of itself and the other Bain Capital Releasors, hereby irrevocably and forever waives all rights it may have arising under California Civil Code Section 1542, or any analogous requirement of Law, with respect to the Proceedings and the releases set forth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1.1(a) and </w:t>
      </w:r>
      <w:r>
        <w:rPr>
          <w:rFonts w:ascii="Arial" w:cs="Arial" w:eastAsia="Arial" w:hAnsi="Arial"/>
          <w:sz w:val="19"/>
          <w:szCs w:val="19"/>
          <w:u w:val="single" w:color="auto"/>
          <w:color w:val="auto"/>
        </w:rPr>
        <w:t>1.1(b)</w:t>
      </w:r>
      <w:r>
        <w:rPr>
          <w:rFonts w:ascii="Arial" w:cs="Arial" w:eastAsia="Arial" w:hAnsi="Arial"/>
          <w:sz w:val="19"/>
          <w:szCs w:val="19"/>
          <w:color w:val="auto"/>
        </w:rPr>
        <w:t xml:space="preserve">. In addition, each of WD and SanDisk, on behalf of itself and the other WD Releasors, and Bain Capital, on behalf of itself and the other Bain Capital Releasors, hereby confirm that they understand that Section 1542 provides that the releases contemplated by </w:t>
      </w:r>
      <w:r>
        <w:rPr>
          <w:rFonts w:ascii="Arial" w:cs="Arial" w:eastAsia="Arial" w:hAnsi="Arial"/>
          <w:sz w:val="19"/>
          <w:szCs w:val="19"/>
          <w:u w:val="single" w:color="auto"/>
          <w:color w:val="auto"/>
        </w:rPr>
        <w:t>Sections 1.1(a)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1.1(b)</w:t>
      </w:r>
      <w:r>
        <w:rPr>
          <w:rFonts w:ascii="Arial" w:cs="Arial" w:eastAsia="Arial" w:hAnsi="Arial"/>
          <w:sz w:val="19"/>
          <w:szCs w:val="19"/>
          <w:color w:val="auto"/>
        </w:rPr>
        <w:t xml:space="preserve"> are intended to and do operate as full and final releases of all claims within the scope of the releases, including all unknown, unsuspected, or unanticipated claims, rights, demands, actions, obligations, liabilities, and causes of action of every kind and character, and specifically and expressly waives and releases all rights under the provisions of Section 1542 and any like or similar statute or common law doctrine in any jurisdiction. Each of WD and SanDisk, on behalf of itself and the other WD Releasors, and Bain Capital, on behalf of itself and the other Bain Capital Releasors, hereby confirms that it understands that Section 1542 provides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3238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23850" cy="8890"/>
                    </a:xfrm>
                    <a:prstGeom prst="rect">
                      <a:avLst/>
                    </a:prstGeom>
                    <a:noFill/>
                  </pic:spPr>
                </pic:pic>
              </a:graphicData>
            </a:graphic>
          </wp:anchor>
        </w:drawing>
      </w:r>
    </w:p>
    <w:p>
      <w:pPr>
        <w:spacing w:after="0" w:line="138"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Each Party acknowledges that it has been fully informed by its counsel concerning the effect and import of this Agreement under California Civil Code Section 1542 and other analogous requirements of Law. Each Party acknowledges that the releases in </w:t>
      </w:r>
      <w:r>
        <w:rPr>
          <w:rFonts w:ascii="Arial" w:cs="Arial" w:eastAsia="Arial" w:hAnsi="Arial"/>
          <w:sz w:val="21"/>
          <w:szCs w:val="21"/>
          <w:u w:val="single" w:color="auto"/>
          <w:color w:val="auto"/>
        </w:rPr>
        <w:t>Sections 1.1(a)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1.1(b)</w:t>
      </w:r>
      <w:r>
        <w:rPr>
          <w:rFonts w:ascii="Arial" w:cs="Arial" w:eastAsia="Arial" w:hAnsi="Arial"/>
          <w:sz w:val="21"/>
          <w:szCs w:val="21"/>
          <w:color w:val="auto"/>
        </w:rPr>
        <w:t xml:space="preserve"> are intended to include in their respective effects, without limitation, claims which they do not know of or suspect exist in their favor and that such releases extinguishes all claims within the scope of the releases. The Parties acknowledge that they are aware that they may hereafter discover facts in addition to or different from those which they now know or believe to be true with respect to the releases set forth in </w:t>
      </w:r>
      <w:r>
        <w:rPr>
          <w:rFonts w:ascii="Arial" w:cs="Arial" w:eastAsia="Arial" w:hAnsi="Arial"/>
          <w:sz w:val="21"/>
          <w:szCs w:val="21"/>
          <w:u w:val="single" w:color="auto"/>
          <w:color w:val="auto"/>
        </w:rPr>
        <w:t>Sections 1.1(a)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1.1(b)</w:t>
      </w:r>
      <w:r>
        <w:rPr>
          <w:rFonts w:ascii="Arial" w:cs="Arial" w:eastAsia="Arial" w:hAnsi="Arial"/>
          <w:sz w:val="21"/>
          <w:szCs w:val="21"/>
          <w:color w:val="auto"/>
        </w:rPr>
        <w:t>, but that they intend to, and do hereby, fully, finally and forever settle, release and discharge all Proceedings, and all Claims within the scope of such releases, without regard to the subsequent discovery or existence of different or additional facts.</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No Admission</w:t>
      </w:r>
      <w:r>
        <w:rPr>
          <w:rFonts w:ascii="Arial" w:cs="Arial" w:eastAsia="Arial" w:hAnsi="Arial"/>
          <w:sz w:val="19"/>
          <w:szCs w:val="19"/>
          <w:color w:val="auto"/>
        </w:rPr>
        <w:t xml:space="preserve">. This Agreement is entered into in order to compromise and settle disputed Claims, without any acquiescence, acknowledgement, or agreement by any Party as to the merit of any Claims or defenses. Neither this Agreement nor any part thereof shall be, or be used as, an admission by anyone, at any time, for any purpose. In addition, without limitation or modification of the provisions set forth in </w:t>
      </w:r>
      <w:r>
        <w:rPr>
          <w:rFonts w:ascii="Arial" w:cs="Arial" w:eastAsia="Arial" w:hAnsi="Arial"/>
          <w:sz w:val="19"/>
          <w:szCs w:val="19"/>
          <w:u w:val="single" w:color="auto"/>
          <w:color w:val="auto"/>
        </w:rPr>
        <w:t>Sections 2.2(a)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2.2(b)</w:t>
      </w:r>
      <w:r>
        <w:rPr>
          <w:rFonts w:ascii="Arial" w:cs="Arial" w:eastAsia="Arial" w:hAnsi="Arial"/>
          <w:sz w:val="19"/>
          <w:szCs w:val="19"/>
          <w:color w:val="auto"/>
        </w:rPr>
        <w:t xml:space="preserve"> hereof, the inclusion in this Agreement of any consent or approval, or of any requirement to provide consent or approval, by any Party shall not be, or be used as, an admission by anyone that any such consent or approval is required under any Existing Agreement or otherwise.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Attorneys’ Fees and Costs</w:t>
      </w:r>
      <w:r>
        <w:rPr>
          <w:rFonts w:ascii="Arial" w:cs="Arial" w:eastAsia="Arial" w:hAnsi="Arial"/>
          <w:sz w:val="22"/>
          <w:szCs w:val="22"/>
          <w:color w:val="auto"/>
        </w:rPr>
        <w:t>. Each Party shall be responsible for its own costs and attorneys’ fees, if any,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firstLine="8"/>
        <w:spacing w:after="0" w:line="275" w:lineRule="auto"/>
        <w:tabs>
          <w:tab w:leader="none" w:pos="36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6" w:right="239" w:bottom="1440" w:gutter="0" w:footer="0" w:header="0"/>
        </w:sectPr>
      </w:pPr>
    </w:p>
    <w:bookmarkStart w:id="227" w:name="page228"/>
    <w:bookmarkEnd w:id="227"/>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ind w:left="360" w:hanging="352"/>
        <w:spacing w:after="0"/>
        <w:tabs>
          <w:tab w:leader="none" w:pos="360" w:val="left"/>
        </w:tabs>
        <w:numPr>
          <w:ilvl w:val="0"/>
          <w:numId w:val="27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Consents</w:t>
      </w:r>
      <w:r>
        <w:rPr>
          <w:rFonts w:ascii="Arial" w:cs="Arial" w:eastAsia="Arial" w:hAnsi="Arial"/>
          <w:sz w:val="22"/>
          <w:szCs w:val="22"/>
          <w:color w:val="auto"/>
        </w:rPr>
        <w:t>.</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WD and SanDisk Consents</w:t>
      </w:r>
      <w:r>
        <w:rPr>
          <w:rFonts w:ascii="Arial" w:cs="Arial" w:eastAsia="Arial" w:hAnsi="Arial"/>
          <w:sz w:val="19"/>
          <w:szCs w:val="19"/>
          <w:color w:val="auto"/>
        </w:rPr>
        <w:t>.</w:t>
      </w:r>
    </w:p>
    <w:p>
      <w:pPr>
        <w:spacing w:after="0" w:line="233" w:lineRule="exact"/>
        <w:rPr>
          <w:sz w:val="20"/>
          <w:szCs w:val="20"/>
          <w:color w:val="auto"/>
        </w:rPr>
      </w:pPr>
    </w:p>
    <w:p>
      <w:pPr>
        <w:jc w:val="both"/>
        <w:ind w:left="580" w:firstLine="1292"/>
        <w:spacing w:after="0" w:line="251" w:lineRule="auto"/>
        <w:tabs>
          <w:tab w:leader="none" w:pos="2377" w:val="left"/>
        </w:tabs>
        <w:numPr>
          <w:ilvl w:val="1"/>
          <w:numId w:val="27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2.2(a)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2.2(b)</w:t>
      </w:r>
      <w:r>
        <w:rPr>
          <w:rFonts w:ascii="Arial" w:cs="Arial" w:eastAsia="Arial" w:hAnsi="Arial"/>
          <w:sz w:val="22"/>
          <w:szCs w:val="22"/>
          <w:color w:val="auto"/>
        </w:rPr>
        <w:t>, WD and SanDisk each hereby irrevocably consent to, and shall cause its Subsidiaries to irrevocably consent to, any Transfer of Equity Interests in TMC or Pangea (or Equity Interests of any entity Controlling TMC or Pangea) by Bain Capital or any member of the Bain Consortium or their respective Affiliates to any Transferee and any subsequent Transfer by such Transferee to any Person (which Person shall also constitute a Transferee).</w:t>
      </w:r>
    </w:p>
    <w:p>
      <w:pPr>
        <w:spacing w:after="0" w:line="189" w:lineRule="exact"/>
        <w:rPr>
          <w:rFonts w:ascii="Arial" w:cs="Arial" w:eastAsia="Arial" w:hAnsi="Arial"/>
          <w:sz w:val="22"/>
          <w:szCs w:val="22"/>
          <w:color w:val="auto"/>
        </w:rPr>
      </w:pPr>
    </w:p>
    <w:p>
      <w:pPr>
        <w:jc w:val="both"/>
        <w:ind w:firstLine="1305"/>
        <w:spacing w:after="0" w:line="251" w:lineRule="auto"/>
        <w:tabs>
          <w:tab w:leader="none" w:pos="189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For clarity, (i) subject to Sections 2.2(a) and 2.2(b), the consents set forth in Section 2.1(a) satisfy any requirement to obtain the consent of SanDisk or any of its Affiliates pursuant to any Existing Agreement with respect to the matters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and (ii) the consents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Sections 2.2(a)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2.2(b)</w:t>
      </w:r>
      <w:r>
        <w:rPr>
          <w:rFonts w:ascii="Arial" w:cs="Arial" w:eastAsia="Arial" w:hAnsi="Arial"/>
          <w:sz w:val="22"/>
          <w:szCs w:val="22"/>
          <w:color w:val="auto"/>
        </w:rPr>
        <w:t>, with respect to a Transfer or issuance of Equity Interests in TMC, Pangea or any entity Controlling TMC or Pangea shall include consent with respect to any resulting indirect Transfer of TMC’s JV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-697230</wp:posOffset>
            </wp:positionV>
            <wp:extent cx="14986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1498600" cy="8890"/>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-697230</wp:posOffset>
            </wp:positionV>
            <wp:extent cx="795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Transfer Restrictions</w:t>
      </w:r>
      <w:r>
        <w:rPr>
          <w:rFonts w:ascii="Arial" w:cs="Arial" w:eastAsia="Arial" w:hAnsi="Arial"/>
          <w:sz w:val="19"/>
          <w:szCs w:val="19"/>
          <w:color w:val="auto"/>
        </w:rPr>
        <w:t>. Notwithstanding anything to the contrary in</w:t>
      </w:r>
      <w:r>
        <w:rPr>
          <w:rFonts w:ascii="Arial" w:cs="Arial" w:eastAsia="Arial" w:hAnsi="Arial"/>
          <w:sz w:val="19"/>
          <w:szCs w:val="19"/>
          <w:u w:val="single" w:color="auto"/>
          <w:color w:val="auto"/>
        </w:rPr>
        <w:t xml:space="preserve"> Section 2.1(a)</w:t>
      </w:r>
      <w:r>
        <w:rPr>
          <w:rFonts w:ascii="Arial" w:cs="Arial" w:eastAsia="Arial" w:hAnsi="Arial"/>
          <w:sz w:val="19"/>
          <w:szCs w:val="19"/>
          <w:color w:val="auto"/>
        </w:rPr>
        <w:t>, during the pendency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Restricted Period but not during any other period:</w:t>
      </w:r>
    </w:p>
    <w:p>
      <w:pPr>
        <w:spacing w:after="0" w:line="215" w:lineRule="exact"/>
        <w:rPr>
          <w:sz w:val="20"/>
          <w:szCs w:val="20"/>
          <w:color w:val="auto"/>
        </w:rPr>
      </w:pPr>
    </w:p>
    <w:p>
      <w:pPr>
        <w:ind w:firstLine="1305"/>
        <w:spacing w:after="0" w:line="276" w:lineRule="auto"/>
        <w:tabs>
          <w:tab w:leader="none" w:pos="1824" w:val="left"/>
        </w:tabs>
        <w:numPr>
          <w:ilvl w:val="1"/>
          <w:numId w:val="273"/>
        </w:numPr>
        <w:rPr>
          <w:rFonts w:ascii="Arial" w:cs="Arial" w:eastAsia="Arial" w:hAnsi="Arial"/>
          <w:sz w:val="22"/>
          <w:szCs w:val="22"/>
          <w:color w:val="auto"/>
        </w:rPr>
      </w:pPr>
      <w:r>
        <w:rPr>
          <w:rFonts w:ascii="Arial" w:cs="Arial" w:eastAsia="Arial" w:hAnsi="Arial"/>
          <w:sz w:val="22"/>
          <w:szCs w:val="22"/>
          <w:color w:val="auto"/>
        </w:rPr>
        <w:t>WD’s separate prior written consent shall be required for each of the following unless and until there is a closing of a WD Competitor CoC:</w:t>
      </w:r>
    </w:p>
    <w:p>
      <w:pPr>
        <w:spacing w:after="0" w:line="160" w:lineRule="exact"/>
        <w:rPr>
          <w:rFonts w:ascii="Arial" w:cs="Arial" w:eastAsia="Arial" w:hAnsi="Arial"/>
          <w:sz w:val="22"/>
          <w:szCs w:val="22"/>
          <w:color w:val="auto"/>
        </w:rPr>
      </w:pPr>
    </w:p>
    <w:p>
      <w:pPr>
        <w:jc w:val="both"/>
        <w:ind w:firstLine="1953"/>
        <w:spacing w:after="0" w:line="299" w:lineRule="auto"/>
        <w:tabs>
          <w:tab w:leader="none" w:pos="2356" w:val="left"/>
        </w:tabs>
        <w:numPr>
          <w:ilvl w:val="2"/>
          <w:numId w:val="273"/>
        </w:numPr>
        <w:rPr>
          <w:rFonts w:ascii="Arial" w:cs="Arial" w:eastAsia="Arial" w:hAnsi="Arial"/>
          <w:sz w:val="19"/>
          <w:szCs w:val="19"/>
          <w:color w:val="auto"/>
        </w:rPr>
      </w:pPr>
      <w:r>
        <w:rPr>
          <w:rFonts w:ascii="Arial" w:cs="Arial" w:eastAsia="Arial" w:hAnsi="Arial"/>
          <w:sz w:val="19"/>
          <w:szCs w:val="19"/>
          <w:color w:val="auto"/>
        </w:rPr>
        <w:t>any issuance or granting by TMC, Pangea or an Investment Vehicle of Equity Interests in, or the power to direct the voting or Control of, TMC, Pangea or any of their respective Subsidiaries, in either case to a Competitor, other than</w:t>
      </w:r>
    </w:p>
    <w:p>
      <w:pPr>
        <w:jc w:val="both"/>
        <w:ind w:firstLine="8"/>
        <w:spacing w:after="0" w:line="284" w:lineRule="auto"/>
        <w:tabs>
          <w:tab w:leader="none" w:pos="381"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an issuance of passive Equity Interests (including limited partnership economic rights) in an Investment Vehicle, or Equity Interests in TMC or Pangea to **** with the proceeds of any such issuance ultimately being used solely in the business or operations of TMC (following a bona fide good faith determination by the board of directors of Pangea that such issuance helps to satisfy TMC’s liquidity needs and is otherwise in the best interests of TMC as compared to other sources of financing reasonably available to TMC or Pangea); provided, that, after giving effect to any such issuance, **** does not (y) hold or own, directly or indirectly, (other than through a passive investment in an Investment Vehicle) Equity Interests in TMC or Pangea in excess of an amount equal to **** of, plus an amount equal to the **** of, the total Equity Interests in TMC or Pangea on a fully diluted and as-converted basis or (z) hold or own, directly or indirectly, or have the right to acquire, any voting or Control rights in, TMC, Pangea or any of their respective Subsidiaries in excess of an amount equal to **** of, plus an amount equal to the **** of, the total voting rights in TMC or Pangea on an as-converted basis, (B) an issuance of Equity Interests in TMC, Pangea or any Investment Vehicle or any of their respective Subsidiaries to TSB or any of its wholly-owned Subsidiaries, in each case, acting solely for its own account and not on behalf of, or for the account of, any other Competitor, with the proceeds of any such issuance ultimately being used solely in the business or operations of TMC; provided that none of TSB nor its Affiliates has any agreement providing any Competitor with the right to vote or acquire such Equity Interests; provided, further that, after giving effect to any such issuance, TSB and its Affiliates collectively do not hold or own, or have the right to acquire,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firstLine="8"/>
        <w:spacing w:after="0" w:line="275" w:lineRule="auto"/>
        <w:tabs>
          <w:tab w:leader="none" w:pos="36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6" w:right="239" w:bottom="1440" w:gutter="0" w:footer="0" w:header="0"/>
        </w:sectPr>
      </w:pPr>
    </w:p>
    <w:bookmarkStart w:id="228" w:name="page229"/>
    <w:bookmarkEnd w:id="228"/>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Interests or voting rights in TMC or Pangea in an amount that would constitute, or result in, a Change of Control of TMC, Pangea or any of their respective Subsidiaries or (C) following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the closing of a Bain Transaction, an issuance of Equity Interests in TMC or Pangea, to **** or any of its Affiliates in amount up to ****, in the aggregate, of the total Equity Interests in TMC or Pangea on a fully diluted and as-converted basis solely in connection and simultaneous with a bona fide primary sale of Equity Interests in TMC or Pangea to multiple purchasers in addition to **** or its Affiliates, with the proceeds of any such issuance ultimately being used solely in the business or operations of TMC (following a bona fide good faith determination by the board of directors of Pangea that such issuance helps to satisfy TMC’s liquidity needs and is otherwise in the best interests of TMC as compared to other sources of financing reasonably available to TMC or Pangea);</w:t>
      </w:r>
    </w:p>
    <w:p>
      <w:pPr>
        <w:spacing w:after="0" w:line="177" w:lineRule="exact"/>
        <w:rPr>
          <w:sz w:val="20"/>
          <w:szCs w:val="20"/>
          <w:color w:val="auto"/>
        </w:rPr>
      </w:pPr>
    </w:p>
    <w:p>
      <w:pPr>
        <w:jc w:val="both"/>
        <w:ind w:firstLine="1953"/>
        <w:spacing w:after="0" w:line="258" w:lineRule="auto"/>
        <w:tabs>
          <w:tab w:leader="none" w:pos="251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any repurchase of direct or indirect Equity Interests by TMC or Pangea, or any recapitalization or similar transaction involving a member of the TMC Group, to the extent that any such repurchase, recapitalization or similar transaction, together with all previous repurchases, recapitalizations, or similar transactions, would result in **** (y) holding or owning, directly or indirectly, (other than through a passive investment in an Investment Vehicle) Equity Interests in TMC, Pangea or any of their respective Subsidiaries, other than Equity Interests in TMC or Pangea not in excess of an amount equal to **** of, plus an amount equal to the **** of, the total Equity Interests in TMC or Pangea on a fully diluted and as-converted basis or (z) holding or owning, directly or indirectly, or having the right to acquire, any voting rights in TMC or any of its Subsidiaries, other than voting rights in TMC or Pangea not in excess of an amount equal to **** of, plus an amount equal to the **** of, the total voting rights in TMC or Pangea on an as-converted basis, in each case, unless **** holds or owns, directly or indirectly, or has the right to acquire, voting rights or Equity Interests in TMC or Pangea in an amount in excess of such threshold at the time of the repurchase, recapitalization or similar transaction, in which case such transaction shall not be permitted unless it does not result in any increase in the percentage of voting rights or Equity Interests of **** and its Affiliates collectively in TMC or Pangea, as applicable;</w:t>
      </w:r>
    </w:p>
    <w:p>
      <w:pPr>
        <w:spacing w:after="0" w:line="190" w:lineRule="exact"/>
        <w:rPr>
          <w:rFonts w:ascii="Arial" w:cs="Arial" w:eastAsia="Arial" w:hAnsi="Arial"/>
          <w:sz w:val="21"/>
          <w:szCs w:val="21"/>
          <w:color w:val="auto"/>
        </w:rPr>
      </w:pPr>
    </w:p>
    <w:p>
      <w:pPr>
        <w:jc w:val="both"/>
        <w:ind w:firstLine="1953"/>
        <w:spacing w:after="0" w:line="284" w:lineRule="auto"/>
        <w:tabs>
          <w:tab w:leader="none" w:pos="248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any Transfer by TSB, Bain Capital or any of their respective Affiliates, or any consent by TSB, Bain Capital or any of their respective Affiliates, to the Transfer (whether by amendment, waiver, consent, modification or other action, with respect to or under the Pangea Shareholders Agreement (or any shareholder agreement in respect of a Subsequent Bain Transaction), the governance documents of any Bain Capital entity, or otherwise), by any other Person of, any Equity Interests or voting rights in TMC, Pangea or any of their respective Subsidiaries to a Competitor, other than (A) a Transfer by Bain Capital of Equity Interests or voting rights in Pangea or TMC to **** only to the extent such Transfer is made simultaneously with (1) a bona fide primary sale of securities by TMC or Pangea to **** permitted under </w:t>
      </w:r>
      <w:r>
        <w:rPr>
          <w:rFonts w:ascii="Arial" w:cs="Arial" w:eastAsia="Arial" w:hAnsi="Arial"/>
          <w:sz w:val="19"/>
          <w:szCs w:val="19"/>
          <w:u w:val="single" w:color="auto"/>
          <w:color w:val="auto"/>
        </w:rPr>
        <w:t>Section 2.2(a)(i)</w:t>
      </w:r>
      <w:r>
        <w:rPr>
          <w:rFonts w:ascii="Arial" w:cs="Arial" w:eastAsia="Arial" w:hAnsi="Arial"/>
          <w:sz w:val="19"/>
          <w:szCs w:val="19"/>
          <w:color w:val="auto"/>
        </w:rPr>
        <w:t xml:space="preserve"> or (2) the initial public offering of TMC, Pangea or any entity Controlling TMC or Pangea; provided that (y) in no event may Bain Capital Transfer to **** pursuant to this </w:t>
      </w:r>
      <w:r>
        <w:rPr>
          <w:rFonts w:ascii="Arial" w:cs="Arial" w:eastAsia="Arial" w:hAnsi="Arial"/>
          <w:sz w:val="19"/>
          <w:szCs w:val="19"/>
          <w:u w:val="single" w:color="auto"/>
          <w:color w:val="auto"/>
        </w:rPr>
        <w:t>Section 2.2(a)(iii)</w:t>
      </w:r>
      <w:r>
        <w:rPr>
          <w:rFonts w:ascii="Arial" w:cs="Arial" w:eastAsia="Arial" w:hAnsi="Arial"/>
          <w:sz w:val="19"/>
          <w:szCs w:val="19"/>
          <w:color w:val="auto"/>
        </w:rPr>
        <w:t xml:space="preserve"> Equity Interests or voting rights that exceed **** of the Equity Interests or voting rights in TMC or Pangea, as applicable, in the aggregate (taken together with all Transfers by Bain Capital to ****); and (z) after giving effect to any such primary sale and Transfer, **** does not (1) hold or own, directly or indirectly, (other than through a passive investment in an Investment Vehicle) Equity Interests in TMC or Pangea in excess of an amount equal to **** (in the case of a Transfer to ****</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8"/>
        <w:spacing w:after="0" w:line="275" w:lineRule="auto"/>
        <w:tabs>
          <w:tab w:leader="none" w:pos="36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229" w:name="page230"/>
    <w:bookmarkEnd w:id="229"/>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2.2(a)(iii)(A)(1)</w:t>
      </w:r>
      <w:r>
        <w:rPr>
          <w:rFonts w:ascii="Arial" w:cs="Arial" w:eastAsia="Arial" w:hAnsi="Arial"/>
          <w:sz w:val="22"/>
          <w:szCs w:val="22"/>
          <w:color w:val="auto"/>
        </w:rPr>
        <w:t xml:space="preserve">) of, and **** (in the case of a Transfer to **** pursuant to </w:t>
      </w:r>
      <w:r>
        <w:rPr>
          <w:rFonts w:ascii="Arial" w:cs="Arial" w:eastAsia="Arial" w:hAnsi="Arial"/>
          <w:sz w:val="22"/>
          <w:szCs w:val="22"/>
          <w:u w:val="single" w:color="auto"/>
          <w:color w:val="auto"/>
        </w:rPr>
        <w:t>Section 2.2(a)(iii)(A)(2)</w:t>
      </w:r>
      <w:r>
        <w:rPr>
          <w:rFonts w:ascii="Arial" w:cs="Arial" w:eastAsia="Arial" w:hAnsi="Arial"/>
          <w:sz w:val="22"/>
          <w:szCs w:val="22"/>
          <w:color w:val="auto"/>
        </w:rPr>
        <w:t>) of, in either case, plus an amount equal to the **** of, the total Equity Interests in TMC or Pangea on a fully diluted and as-converted basis or (2) hold or own, directly or indirectly, or have the right to acquire, any voting or Control rights in TMC or any of its Subsidiaries in excess of an amount equal to **** of, plus an amount equal to the **** of, the total voting rights in TMC or Pangea on an as-converted basis; and (B) following the third (3</w:t>
      </w:r>
      <w:r>
        <w:rPr>
          <w:rFonts w:ascii="Arial" w:cs="Arial" w:eastAsia="Arial" w:hAnsi="Arial"/>
          <w:sz w:val="28"/>
          <w:szCs w:val="28"/>
          <w:color w:val="auto"/>
          <w:vertAlign w:val="superscript"/>
        </w:rPr>
        <w:t>rd</w:t>
      </w:r>
      <w:r>
        <w:rPr>
          <w:rFonts w:ascii="Arial" w:cs="Arial" w:eastAsia="Arial" w:hAnsi="Arial"/>
          <w:sz w:val="22"/>
          <w:szCs w:val="22"/>
          <w:color w:val="auto"/>
        </w:rPr>
        <w:t>) anniversary of the closing of a Bain Transaction, a Transfer of Equity Interests or voting rights in Pangea, TMC, or any entity Controlling TMC or Pangea by Bain Capital to **** or any of its Affiliates in an amount up to the ****, in the aggregate, of the total Equity Interests in TMC or Pangea on a fully diluted and as-converted basis; and</w:t>
      </w:r>
    </w:p>
    <w:p>
      <w:pPr>
        <w:spacing w:after="0" w:line="202" w:lineRule="exact"/>
        <w:rPr>
          <w:sz w:val="20"/>
          <w:szCs w:val="20"/>
          <w:color w:val="auto"/>
        </w:rPr>
      </w:pPr>
    </w:p>
    <w:p>
      <w:pPr>
        <w:ind w:firstLine="1953"/>
        <w:spacing w:after="0" w:line="276" w:lineRule="auto"/>
        <w:tabs>
          <w:tab w:leader="none" w:pos="2464" w:val="left"/>
        </w:tabs>
        <w:numPr>
          <w:ilvl w:val="1"/>
          <w:numId w:val="278"/>
        </w:numPr>
        <w:rPr>
          <w:rFonts w:ascii="Arial" w:cs="Arial" w:eastAsia="Arial" w:hAnsi="Arial"/>
          <w:sz w:val="22"/>
          <w:szCs w:val="22"/>
          <w:color w:val="auto"/>
        </w:rPr>
      </w:pPr>
      <w:r>
        <w:rPr>
          <w:rFonts w:ascii="Arial" w:cs="Arial" w:eastAsia="Arial" w:hAnsi="Arial"/>
          <w:sz w:val="22"/>
          <w:szCs w:val="22"/>
          <w:color w:val="auto"/>
        </w:rPr>
        <w:t>a transaction constituting a Change of Control of TMC, Pangea or any of their respective Subsidiaries that results in Control of TMC, Pangea or any of their Subsidiaries by a Competitor.</w:t>
      </w:r>
    </w:p>
    <w:p>
      <w:pPr>
        <w:spacing w:after="0" w:line="160" w:lineRule="exact"/>
        <w:rPr>
          <w:rFonts w:ascii="Arial" w:cs="Arial" w:eastAsia="Arial" w:hAnsi="Arial"/>
          <w:sz w:val="22"/>
          <w:szCs w:val="22"/>
          <w:color w:val="auto"/>
        </w:rPr>
      </w:pPr>
    </w:p>
    <w:p>
      <w:pPr>
        <w:ind w:left="1820" w:hanging="515"/>
        <w:spacing w:after="0"/>
        <w:tabs>
          <w:tab w:leader="none" w:pos="182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 Notwithstanding anything herein to the contrary, in no event shall the Parties permit (A) any of ****, ****</w:t>
      </w:r>
    </w:p>
    <w:p>
      <w:pPr>
        <w:spacing w:after="0" w:line="56" w:lineRule="exact"/>
        <w:rPr>
          <w:rFonts w:ascii="Arial" w:cs="Arial" w:eastAsia="Arial" w:hAnsi="Arial"/>
          <w:sz w:val="19"/>
          <w:szCs w:val="19"/>
          <w:color w:val="auto"/>
        </w:rPr>
      </w:pPr>
    </w:p>
    <w:p>
      <w:pPr>
        <w:jc w:val="both"/>
        <w:spacing w:after="0" w:line="259" w:lineRule="auto"/>
        <w:rPr>
          <w:rFonts w:ascii="Arial" w:cs="Arial" w:eastAsia="Arial" w:hAnsi="Arial"/>
          <w:sz w:val="19"/>
          <w:szCs w:val="19"/>
          <w:color w:val="auto"/>
        </w:rPr>
      </w:pPr>
      <w:r>
        <w:rPr>
          <w:rFonts w:ascii="Arial" w:cs="Arial" w:eastAsia="Arial" w:hAnsi="Arial"/>
          <w:sz w:val="21"/>
          <w:szCs w:val="21"/>
          <w:color w:val="auto"/>
        </w:rPr>
        <w:t>or **** to own or hold, or have the right to acquire, any Equity Interests or voting rights in TMC if any of ****, **** or **** own or hold, or have the right to acquire, any Equity Interests or voting rights in Pangea and (B) any of ****, **** or **** be permitted to own or hold or have the right to acquire, any Equity Interests or voting rights in Pangea if any of ****, **** or **** own or hold, or have the right to acquire, any Equity Interests or voting rights in TMC. Except as otherwise set forth in this Agreement, the conditions for Transfer, admission and/or withdrawal, to the extent applicable, set out in any Existing Agreement, including for the avoidance of doubt, Article 9 and Section 4.1(a)(ix) of the applicable JV’s Operating Agreement and Section 5.1(b) of the applicable JV’s Master Agreement, shall continue to apply.</w:t>
      </w:r>
    </w:p>
    <w:p>
      <w:pPr>
        <w:spacing w:after="0" w:line="183" w:lineRule="exact"/>
        <w:rPr>
          <w:rFonts w:ascii="Arial" w:cs="Arial" w:eastAsia="Arial" w:hAnsi="Arial"/>
          <w:sz w:val="19"/>
          <w:szCs w:val="19"/>
          <w:color w:val="auto"/>
        </w:rPr>
      </w:pPr>
    </w:p>
    <w:p>
      <w:pPr>
        <w:jc w:val="both"/>
        <w:ind w:firstLine="1953"/>
        <w:spacing w:after="0" w:line="291" w:lineRule="auto"/>
        <w:tabs>
          <w:tab w:leader="none" w:pos="2456" w:val="left"/>
        </w:tabs>
        <w:numPr>
          <w:ilvl w:val="1"/>
          <w:numId w:val="279"/>
        </w:numPr>
        <w:rPr>
          <w:rFonts w:ascii="Arial" w:cs="Arial" w:eastAsia="Arial" w:hAnsi="Arial"/>
          <w:sz w:val="19"/>
          <w:szCs w:val="19"/>
          <w:color w:val="auto"/>
        </w:rPr>
      </w:pPr>
      <w:r>
        <w:rPr>
          <w:rFonts w:ascii="Arial" w:cs="Arial" w:eastAsia="Arial" w:hAnsi="Arial"/>
          <w:sz w:val="19"/>
          <w:szCs w:val="19"/>
          <w:color w:val="auto"/>
        </w:rPr>
        <w:t xml:space="preserve">As a condition to any Transfer or issuance of Equity Interests or voting rights in TMC, Pangea or an Investment Vehicle, the transferor (or issuer) shall cause any Transferee to enter into an agreement with TMC or Pangea, as applicable, that requires such Transferee, subject to the other provisions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to comply with the restrictions on Transfer set forth herein, and other provisions provided in </w:t>
      </w:r>
      <w:r>
        <w:rPr>
          <w:rFonts w:ascii="Arial" w:cs="Arial" w:eastAsia="Arial" w:hAnsi="Arial"/>
          <w:sz w:val="19"/>
          <w:szCs w:val="19"/>
          <w:u w:val="single" w:color="auto"/>
          <w:color w:val="auto"/>
        </w:rPr>
        <w:t>Sections 2.2(a)</w:t>
      </w:r>
      <w:r>
        <w:rPr>
          <w:rFonts w:ascii="Arial" w:cs="Arial" w:eastAsia="Arial" w:hAnsi="Arial"/>
          <w:sz w:val="19"/>
          <w:szCs w:val="19"/>
          <w:color w:val="auto"/>
        </w:rPr>
        <w:t xml:space="preserve"> and 2.2(b) (the “</w:t>
      </w:r>
      <w:r>
        <w:rPr>
          <w:rFonts w:ascii="Arial" w:cs="Arial" w:eastAsia="Arial" w:hAnsi="Arial"/>
          <w:sz w:val="19"/>
          <w:szCs w:val="19"/>
          <w:u w:val="single" w:color="auto"/>
          <w:color w:val="auto"/>
        </w:rPr>
        <w:t>Transfer Restrictions</w:t>
      </w:r>
      <w:r>
        <w:rPr>
          <w:rFonts w:ascii="Arial" w:cs="Arial" w:eastAsia="Arial" w:hAnsi="Arial"/>
          <w:sz w:val="19"/>
          <w:szCs w:val="19"/>
          <w:color w:val="auto"/>
        </w:rPr>
        <w:t>”), which agreement shall provide that WD and SanDisk are intended third-party beneficiaries of the Transferee’s obligation to abide by the Transfer Restrictions with direct rights of enforcement against such Transferee, provided that after the Transferee enters into an agreement with TMC to accede to the Transfer Restrictions, the transferring shareholder will not have any obligation or liability relating to, arising out of, or in connection with a Transferee’s failure to comply with the Transfer Restrictions and TMC or Pangea, as applicable, shall provide WD a copy of such agreement upon execution thereof.</w:t>
      </w:r>
    </w:p>
    <w:p>
      <w:pPr>
        <w:spacing w:after="0" w:line="154" w:lineRule="exact"/>
        <w:rPr>
          <w:rFonts w:ascii="Arial" w:cs="Arial" w:eastAsia="Arial" w:hAnsi="Arial"/>
          <w:sz w:val="19"/>
          <w:szCs w:val="19"/>
          <w:color w:val="auto"/>
        </w:rPr>
      </w:pPr>
    </w:p>
    <w:p>
      <w:pPr>
        <w:ind w:firstLine="1305"/>
        <w:spacing w:after="0" w:line="276" w:lineRule="auto"/>
        <w:tabs>
          <w:tab w:leader="none" w:pos="1716" w:val="left"/>
        </w:tabs>
        <w:numPr>
          <w:ilvl w:val="0"/>
          <w:numId w:val="279"/>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2.2</w:t>
      </w:r>
      <w:r>
        <w:rPr>
          <w:rFonts w:ascii="Arial" w:cs="Arial" w:eastAsia="Arial" w:hAnsi="Arial"/>
          <w:sz w:val="22"/>
          <w:szCs w:val="22"/>
          <w:color w:val="auto"/>
        </w:rPr>
        <w:t>, any reference to a “Subsidiary” shall only include a Subsidiary that, directly or indirectly, holds, owns or Controls JV Rights.</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823"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Upon the consummation of an initial public offering of TMC or Pangea or any entity Controlling TMC or Pangea or, if required by the applicable Qualified Exchange, not more than thirty (30) days prior to the anticipated consummation of such initial public offering on a Qualified Exchange, the Parties agree that the terms of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will be deemed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-1998345</wp:posOffset>
            </wp:positionV>
            <wp:extent cx="331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33147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20" w:firstLine="8"/>
        <w:spacing w:after="0" w:line="275" w:lineRule="auto"/>
        <w:tabs>
          <w:tab w:leader="none" w:pos="36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6" w:right="239" w:bottom="1440" w:gutter="0" w:footer="0" w:header="0"/>
        </w:sectPr>
      </w:pPr>
    </w:p>
    <w:bookmarkStart w:id="230" w:name="page231"/>
    <w:bookmarkEnd w:id="230"/>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 the limited extent necessary for the issuer to comply with the listing requirements imposed by such Qualified Exchange on such issuer and in a manner that preserves the Transfer Restrictions hereunder to the maximum extent permissible; provided, that if an initial public offering is not consummated within forty five (45) days following the date on which the Transfer Restrictions were deemed modified, the Transfer Restrictions shall be deemed reinstated retroactively to the date of such deemed modification.</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Change of Control by Pangea</w:t>
      </w:r>
      <w:r>
        <w:rPr>
          <w:rFonts w:ascii="Arial" w:cs="Arial" w:eastAsia="Arial" w:hAnsi="Arial"/>
          <w:sz w:val="21"/>
          <w:szCs w:val="21"/>
          <w:color w:val="auto"/>
        </w:rPr>
        <w:t>. Section 3.7 of the TSB and TMC Settlement Agreement is incorporated herein by reference, and Pangea hereby agrees that upon the closing of the TMC Sale (i) it will be a Memory Business Owner (as defined in the TSB and TMC Settlement Agreement) and (ii) it shall be bound by such Section 3.7 of the TSB and TMC Settlement Agreement and Sections 2.2 and 3.6 of the Parent Guarantee and Undertaking as to Collaboration entered into by and between WD, TSB and TMC on the date hereof (the “</w:t>
      </w:r>
      <w:r>
        <w:rPr>
          <w:rFonts w:ascii="Arial" w:cs="Arial" w:eastAsia="Arial" w:hAnsi="Arial"/>
          <w:sz w:val="21"/>
          <w:szCs w:val="21"/>
          <w:u w:val="single" w:color="auto"/>
          <w:color w:val="auto"/>
        </w:rPr>
        <w:t>Undertaking</w:t>
      </w:r>
      <w:r>
        <w:rPr>
          <w:rFonts w:ascii="Arial" w:cs="Arial" w:eastAsia="Arial" w:hAnsi="Arial"/>
          <w:sz w:val="21"/>
          <w:szCs w:val="21"/>
          <w:color w:val="auto"/>
        </w:rPr>
        <w:t>”), for the benefit of all counterparties to the Undertaking and the Collaboration Agreements (as defined in the TSB and TMC Settlement Agreement).</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Each Party represents and warrants to the other Parties that, as of the Effective Date: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Organization and Standing</w:t>
      </w:r>
      <w:r>
        <w:rPr>
          <w:rFonts w:ascii="Arial" w:cs="Arial" w:eastAsia="Arial" w:hAnsi="Arial"/>
          <w:sz w:val="22"/>
          <w:szCs w:val="22"/>
          <w:color w:val="auto"/>
        </w:rPr>
        <w:t>. It is duly organized and validly existing and in good standing under the Laws of the jurisdiction in which it is organized.</w:t>
      </w:r>
    </w:p>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Authority; Enforceability</w:t>
      </w:r>
      <w:r>
        <w:rPr>
          <w:rFonts w:ascii="Arial" w:cs="Arial" w:eastAsia="Arial" w:hAnsi="Arial"/>
          <w:sz w:val="19"/>
          <w:szCs w:val="19"/>
          <w:color w:val="auto"/>
        </w:rPr>
        <w:t>. It has the requisite power and authority to enter into this Agreement and to perform its obligations hereunder. All proceedings required to be taken by it to authorize the execution, delivery and performance of this Agreement have been properly taken. This Agreement has been duly and validly executed and delivered by it and constitutes a valid and binding obligation of it, enforceable against it in accordance with its terms except as enforceability may be limited by bankruptcy, insolvency, fraudulent conveyance or similar laws affecting the enforcement of creditors’ rights generally or the availability of equitable remedies (regardless of whether enforceability is considered in a proceeding at law or in equity).</w:t>
      </w:r>
    </w:p>
    <w:p>
      <w:pPr>
        <w:spacing w:after="0" w:line="14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delivery and performance of this Agreement by it do not and will not (a) breach, violate or conflict with any provision of its charter documents as amended to date or (b) conflict with or violate any Law applicable to it.</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 Assigned Claims</w:t>
      </w:r>
      <w:r>
        <w:rPr>
          <w:rFonts w:ascii="Arial" w:cs="Arial" w:eastAsia="Arial" w:hAnsi="Arial"/>
          <w:sz w:val="22"/>
          <w:szCs w:val="22"/>
          <w:color w:val="auto"/>
        </w:rPr>
        <w:t>. It has not assigned to any third party any Claim that is otherwise within the scope of the release it is giving under this Agreement.</w:t>
      </w:r>
    </w:p>
    <w:p>
      <w:pPr>
        <w:spacing w:after="0" w:line="155" w:lineRule="exact"/>
        <w:rPr>
          <w:sz w:val="20"/>
          <w:szCs w:val="20"/>
          <w:color w:val="auto"/>
        </w:rPr>
      </w:pPr>
    </w:p>
    <w:p>
      <w:pPr>
        <w:ind w:left="660" w:right="9620" w:hanging="652"/>
        <w:spacing w:after="0" w:line="537" w:lineRule="auto"/>
        <w:tabs>
          <w:tab w:leader="none" w:pos="354" w:val="left"/>
        </w:tabs>
        <w:numPr>
          <w:ilvl w:val="0"/>
          <w:numId w:val="281"/>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4.1 ****</w:t>
      </w:r>
    </w:p>
    <w:p>
      <w:pPr>
        <w:spacing w:after="0" w:line="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Confidentiality of Agreement</w:t>
      </w:r>
      <w:r>
        <w:rPr>
          <w:rFonts w:ascii="Arial" w:cs="Arial" w:eastAsia="Arial" w:hAnsi="Arial"/>
          <w:sz w:val="19"/>
          <w:szCs w:val="19"/>
          <w:color w:val="auto"/>
        </w:rPr>
        <w:t>. No Party shall, or shall permit any of its Affiliates to, without the prior written consent of the other Parties, issue any public statement, release, announcement or other document, or otherwise publicly disclose or file, all or any part of this Agreement or any description or terms or conditions hereof, except as may be required by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20" w:firstLine="8"/>
        <w:spacing w:after="0" w:line="275" w:lineRule="auto"/>
        <w:tabs>
          <w:tab w:leader="none" w:pos="36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26" w:right="239" w:bottom="1440" w:gutter="0" w:footer="0" w:header="0"/>
        </w:sectPr>
      </w:pPr>
    </w:p>
    <w:bookmarkStart w:id="231" w:name="page232"/>
    <w:bookmarkEnd w:id="231"/>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Law, including as required to be disclosed by applicable securities or other Laws, provided, that notwithstanding anything herein to the contrary, the Party required to make a disclosure shall, prior to any such disclosure required by the U.S. Securities and Exchange Commission or the Financial Services Authority of Japan, provide the other Parties with notice which includes a copy of the proposed disclosure and consider in good faith such other Parties’ timely input with respect to such disclosure, and, in the case of disclosures or filings required pursuant to Laws other than the Laws and regulations of the U.S. Securities and Exchange Commission or Financial Services Authority of Japan, the Party required to make the applicable disclosure or filing shall cooperate with the other Parties, to the fullest extent practicable under applicable Law, in obtaining any confidential treatment for such disclosure or filing requested by the other Parties prior to making such disclosure or filing, to the extent practicable. Each Party shall use its commercially reasonable efforts to grant or deny any consent required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the Laws, other than the Laws and regulations of the U.S. Securities and Exchange Commission and the Financial Services Authority of Japan, within five (5) Business Days of receipt of written request by any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Party’s failure to respond within said time period shall not be deemed to constitute such Party’s consent. Notwithstanding the foregoing, Pangea may disclose all or part of this Agreement, the TSB and TMC Settlement Agreement, and/or the Transaction Documents in connection with obtaining regulatory approvals of the TMC Sale, subject to an obligation to cooperate with the other Parties to this Agreement and TSB and TMC, to the fullest extent practicable under applicable Law, in obtaining any confidential treatment for such disclosure or filing requested by the other Parties prior to making such disclosure or filing, to the extent practicable.</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Public Announcements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the contents and timing of the initial public announcement regarding this Agreement and/or the subject matter hereof shall be mutually agreed between the Parties prior to the public release of such announcement, and any further public announcements, by or on behalf of a Party shall not be inconsistent with public announcements previously agreed upon by the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notwithstanding the foregoing, each Party will be allowed to respond publicly to third party inquiries regarding this Agreement and the subject matter hereof in a manner consistent with any public filings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made by such Party. Nothing in this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shall be construed as restricting any Party’s confidential communications with third parties (including Governmental Authorities or regulators), and in no event shall any Party have any liability or obligation to any other Party with respect thereto.</w:t>
      </w:r>
    </w:p>
    <w:p>
      <w:pPr>
        <w:spacing w:after="0" w:line="175" w:lineRule="exact"/>
        <w:rPr>
          <w:sz w:val="20"/>
          <w:szCs w:val="20"/>
          <w:color w:val="auto"/>
        </w:rPr>
      </w:pPr>
    </w:p>
    <w:p>
      <w:pPr>
        <w:ind w:left="360" w:hanging="352"/>
        <w:spacing w:after="0"/>
        <w:tabs>
          <w:tab w:leader="none" w:pos="360"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Commitments and Representations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Capitalization and Governance of Pangea</w:t>
      </w:r>
      <w:r>
        <w:rPr>
          <w:rFonts w:ascii="Arial" w:cs="Arial" w:eastAsia="Arial" w:hAnsi="Arial"/>
          <w:sz w:val="21"/>
          <w:szCs w:val="21"/>
          <w:color w:val="auto"/>
        </w:rPr>
        <w:t>. Bain Capital will take all actions necessary so that immediately following the closing of the TMC Sale (i) Pangea will own 100% of the issued and outstanding Equity Interests in TMC and (ii) no Competitor other than **** will hold any voting rights in TMC. Immediately following the closing of the TMC Sale, (a) Bain Capital (other than Pangea) will have the right to nominate **** of the members of the board of directors of Pangea, (b) **** will not hold any voting rights in any member of the TMC Group, (c) excluding any interest held indirectly through ****’s passive limited partner interest in ****, **** will not beneficially own more than **** of the voting common equity of Pangea, assuming conversion in full of all Equity Interests held by ****, (d) the ultimate Controlling person of **** is **** and (e) **** (other than to the extent permitted hereby or as required by Law) will not have any voting rights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8"/>
        <w:spacing w:after="0" w:line="275" w:lineRule="auto"/>
        <w:tabs>
          <w:tab w:leader="none" w:pos="36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26" w:right="239" w:bottom="1440" w:gutter="0" w:footer="0" w:header="0"/>
        </w:sectPr>
      </w:pPr>
    </w:p>
    <w:bookmarkStart w:id="232" w:name="page233"/>
    <w:bookmarkEnd w:id="232"/>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consent rights with respect to the activities of TMC, Pangea or their respective Subsidiaries. Neither **** nor **** will have a right to designate, nor will they have designated, a board member or observer at TMC, Pangea or any of their respective Subsidiaries.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Disclosure of Pangea Financing Arrangements.</w:t>
      </w:r>
      <w:r>
        <w:rPr>
          <w:rFonts w:ascii="Arial" w:cs="Arial" w:eastAsia="Arial" w:hAnsi="Arial"/>
          <w:sz w:val="21"/>
          <w:szCs w:val="21"/>
          <w:color w:val="auto"/>
        </w:rPr>
        <w:t xml:space="preserve"> Bain Capital has disclosed to WD a true, correct and complete copy of a redacted term sheet that relates to committed senior debt financing for the TMC Sale in effect as of the date hereof (the “</w:t>
      </w:r>
      <w:r>
        <w:rPr>
          <w:rFonts w:ascii="Arial" w:cs="Arial" w:eastAsia="Arial" w:hAnsi="Arial"/>
          <w:sz w:val="21"/>
          <w:szCs w:val="21"/>
          <w:u w:val="single" w:color="auto"/>
          <w:color w:val="auto"/>
        </w:rPr>
        <w:t>Bank</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 Sheet</w:t>
      </w:r>
      <w:r>
        <w:rPr>
          <w:rFonts w:ascii="Arial" w:cs="Arial" w:eastAsia="Arial" w:hAnsi="Arial"/>
          <w:sz w:val="21"/>
          <w:szCs w:val="21"/>
          <w:color w:val="auto"/>
        </w:rPr>
        <w:t>”), which term sheet may be redacted as to interest rates, fee amounts, leverage ratios, loan maturity and other commercially sensitive numbers and which, for the avoidance of doubt, includes all (and does not redact any) terms related to the grant of security in favor of the senior lenders and all terms relating to the JVs and the JV Rights. Bain Capital shall provide to WD a true, correct and complete copy of the executed definitive documentation relating to the Pangea Financing Arrangements contemplated by the Bank Term Sheet, within four (4) Business Days following execution thereof, which may be redacted only in a manner consistent with the previous sentence.</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Disclosure of **** and **** Arrangements</w:t>
      </w:r>
      <w:r>
        <w:rPr>
          <w:rFonts w:ascii="Arial" w:cs="Arial" w:eastAsia="Arial" w:hAnsi="Arial"/>
          <w:sz w:val="22"/>
          <w:szCs w:val="22"/>
          <w:color w:val="auto"/>
        </w:rPr>
        <w:t>. Except for true, correct and complete copies of Contracts disclosed to WD prior to the date hereof (which Contracts have only been redacted to exclude disclosure of the waterfall and cost sharing provisions), there are no Contracts in effect or contemplated, as of the date hereof, to be in effect between Bain Capital on the one hand and **** or **** on the other hand, relating to the ownership, voting, Transfer or Control of Equity Interests in any member of the TMC Group.</w:t>
      </w:r>
    </w:p>
    <w:p>
      <w:pPr>
        <w:spacing w:after="0" w:line="19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Pangea Shareholders Agreement</w:t>
      </w:r>
      <w:r>
        <w:rPr>
          <w:rFonts w:ascii="Arial" w:cs="Arial" w:eastAsia="Arial" w:hAnsi="Arial"/>
          <w:sz w:val="19"/>
          <w:szCs w:val="19"/>
          <w:color w:val="auto"/>
        </w:rPr>
        <w:t>. Bain Capital has disclosed to WD a true, correct and complete copy of the term sheet for the Pangea Shareholders Agreement. From the closing of a Bain Transaction until the earlier of (a) **** following the closing of a Bain Transaction and (b) an initial public offering of TMC or Pangea or any entity Controlling TMC or Pangea, Bain Capital shall cause a shareholders’ agreement to be executed by all holders of Equity Interests in TMC or a Person of whom TMC is a wholly-owned Subsidiary which shall be effective as of the closing of a Bain Transaction, and which shall contain a prohibition on Transfer of Equity Interests in TMC or a Person of whom TMC is a wholly-owned Subsidiary by any holder thereof, which prohibition shall require the approval of both of TSB (for so long as TSB holds at least **** of the Equity Interests or voting rights in Pangea) and Bain Capital to amend, waive, modify, or grant any consent with respect thereto.</w:t>
      </w:r>
    </w:p>
    <w:p>
      <w:pPr>
        <w:spacing w:after="0" w:line="150" w:lineRule="exact"/>
        <w:rPr>
          <w:sz w:val="20"/>
          <w:szCs w:val="20"/>
          <w:color w:val="auto"/>
        </w:rPr>
      </w:pPr>
    </w:p>
    <w:p>
      <w:pPr>
        <w:ind w:left="360" w:hanging="352"/>
        <w:spacing w:after="0"/>
        <w:tabs>
          <w:tab w:leader="none" w:pos="360" w:val="left"/>
        </w:tabs>
        <w:numPr>
          <w:ilvl w:val="0"/>
          <w:numId w:val="28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and Termination</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be effective as of the Effective Date and shall remain in full force and effect until the earlier of (a) the termination of the TSB and TMC Settlement Agreement and (b) termination by written agreement of all of the Parties hereto.</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w:t>
      </w:r>
      <w:r>
        <w:rPr>
          <w:rFonts w:ascii="Arial" w:cs="Arial" w:eastAsia="Arial" w:hAnsi="Arial"/>
          <w:sz w:val="19"/>
          <w:szCs w:val="19"/>
          <w:u w:val="single" w:color="auto"/>
          <w:color w:val="auto"/>
        </w:rPr>
        <w:t xml:space="preserve"> Sections 1</w:t>
      </w:r>
      <w:r>
        <w:rPr>
          <w:rFonts w:ascii="Arial" w:cs="Arial" w:eastAsia="Arial" w:hAnsi="Arial"/>
          <w:sz w:val="19"/>
          <w:szCs w:val="19"/>
          <w:color w:val="auto"/>
        </w:rPr>
        <w:t>,</w:t>
      </w:r>
      <w:r>
        <w:rPr>
          <w:rFonts w:ascii="Arial" w:cs="Arial" w:eastAsia="Arial" w:hAnsi="Arial"/>
          <w:sz w:val="19"/>
          <w:szCs w:val="19"/>
          <w:u w:val="single" w:color="auto"/>
          <w:color w:val="auto"/>
        </w:rPr>
        <w:t xml:space="preserve"> 2</w:t>
      </w:r>
      <w:r>
        <w:rPr>
          <w:rFonts w:ascii="Arial" w:cs="Arial" w:eastAsia="Arial" w:hAnsi="Arial"/>
          <w:sz w:val="19"/>
          <w:szCs w:val="19"/>
          <w:color w:val="auto"/>
        </w:rPr>
        <w:t>,</w:t>
      </w:r>
      <w:r>
        <w:rPr>
          <w:rFonts w:ascii="Arial" w:cs="Arial" w:eastAsia="Arial" w:hAnsi="Arial"/>
          <w:sz w:val="19"/>
          <w:szCs w:val="19"/>
          <w:u w:val="single" w:color="auto"/>
          <w:color w:val="auto"/>
        </w:rPr>
        <w:t xml:space="preserve"> 4.2</w:t>
      </w:r>
      <w:r>
        <w:rPr>
          <w:rFonts w:ascii="Arial" w:cs="Arial" w:eastAsia="Arial" w:hAnsi="Arial"/>
          <w:sz w:val="19"/>
          <w:szCs w:val="19"/>
          <w:color w:val="auto"/>
        </w:rPr>
        <w:t>,</w:t>
      </w:r>
      <w:r>
        <w:rPr>
          <w:rFonts w:ascii="Arial" w:cs="Arial" w:eastAsia="Arial" w:hAnsi="Arial"/>
          <w:sz w:val="19"/>
          <w:szCs w:val="19"/>
          <w:u w:val="single" w:color="auto"/>
          <w:color w:val="auto"/>
        </w:rPr>
        <w:t xml:space="preserve"> 4.3</w:t>
      </w:r>
      <w:r>
        <w:rPr>
          <w:rFonts w:ascii="Arial" w:cs="Arial" w:eastAsia="Arial" w:hAnsi="Arial"/>
          <w:sz w:val="19"/>
          <w:szCs w:val="19"/>
          <w:color w:val="auto"/>
        </w:rPr>
        <w:t>,</w:t>
      </w:r>
      <w:r>
        <w:rPr>
          <w:rFonts w:ascii="Arial" w:cs="Arial" w:eastAsia="Arial" w:hAnsi="Arial"/>
          <w:sz w:val="19"/>
          <w:szCs w:val="19"/>
          <w:u w:val="single" w:color="auto"/>
          <w:color w:val="auto"/>
        </w:rPr>
        <w:t xml:space="preserve"> 6.2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7 </w:t>
      </w:r>
      <w:r>
        <w:rPr>
          <w:rFonts w:ascii="Arial" w:cs="Arial" w:eastAsia="Arial" w:hAnsi="Arial"/>
          <w:sz w:val="19"/>
          <w:szCs w:val="19"/>
          <w:color w:val="auto"/>
        </w:rPr>
        <w:t>shall survive any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firstLine="8"/>
        <w:spacing w:after="0" w:line="275" w:lineRule="auto"/>
        <w:tabs>
          <w:tab w:leader="none" w:pos="36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26" w:right="239" w:bottom="1440" w:gutter="0" w:footer="0" w:header="0"/>
        </w:sectPr>
      </w:pPr>
    </w:p>
    <w:bookmarkStart w:id="233" w:name="page234"/>
    <w:bookmarkEnd w:id="233"/>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ind w:left="360" w:hanging="352"/>
        <w:spacing w:after="0"/>
        <w:tabs>
          <w:tab w:leader="none" w:pos="36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exhibit(s) and schedules hereto, constitute the entire agreement of the Parties to this Agreement with respect to the subject matter hereof and supersedes all prior written and oral agreements and understandings with respect to such subject matter.</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Undertaking as to Affiliate Obligations</w:t>
      </w:r>
      <w:r>
        <w:rPr>
          <w:rFonts w:ascii="Arial" w:cs="Arial" w:eastAsia="Arial" w:hAnsi="Arial"/>
          <w:sz w:val="21"/>
          <w:szCs w:val="21"/>
          <w:color w:val="auto"/>
        </w:rPr>
        <w:t xml:space="preserve">. Each Party shall cause all covenants, conditions and agreements that are required to be performed, observed or satisfied by any of its Affiliates under this Agreement to be fully and faithfully observed, performed and satisfied by such Affiliate, and shall not cause or permit to exist any breach or default of such covenants, conditions or agreements arising from such Affiliate’s action or inaction. Nothing expressed or implied in this Agreement shall be construed to create any right in any Person other than the Parties; provided that the parties to the Undertaking and the Collaboration Agreements that are not Parties hereto shall be third party beneficiaries of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and shall be entitled to rely upon and enforce such sections of this Agreement, but no other sections of this Agreement.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 California applicable to agreements made and to be performed entirely within such state without regard to the conflict of laws principles of such state.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Dispute Resolution; Arbitration</w:t>
      </w:r>
      <w:r>
        <w:rPr>
          <w:rFonts w:ascii="Arial" w:cs="Arial" w:eastAsia="Arial" w:hAnsi="Arial"/>
          <w:sz w:val="22"/>
          <w:szCs w:val="22"/>
          <w:color w:val="auto"/>
        </w:rPr>
        <w:t>. Any dispute concerning this Agreement shall be settled by confidential, binding arbitration in San Francisco, California. The dispute shall be heard by a panel of three arbitrators pursuant to the rules of the International Chamber of Commerce. Such arbitration shall be conducted in English. The awards of such arbitration shall be final and binding upon the parties thereto. Each Party will bear its own fees and expenses associated with the arbitration. Filing fees and arbitrator fees charged by the International Chamber of Commerce shall be borne equally by the claimant(s), on one hand, and the respondent(s), on the other hand, to such arbitration.</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Equitable Relief</w:t>
      </w:r>
      <w:r>
        <w:rPr>
          <w:rFonts w:ascii="Arial" w:cs="Arial" w:eastAsia="Arial" w:hAnsi="Arial"/>
          <w:sz w:val="22"/>
          <w:szCs w:val="22"/>
          <w:color w:val="auto"/>
        </w:rPr>
        <w:t xml:space="preserve">. Equitable relief, including the remedies of specific performance and injunction, shall be available with respect to any actual or attempted breach or violation of, or failure to obtain consent when required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in the absence of exigent circumstances, the Parties shall refrain from commencing any lawsuit or seeking judicial relief in connection with such actual or attempted breach and resolve the subject dispute in accordance with the procedures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xml:space="preserve">. The Parties are independent contractors and no provision of or action pursuant to this Agreement shall constitute any Party acting as the direct or indirect agent or partner of any other Party for any purpose or in any sense whatsoever. Nothing contained in this Agreement is intended to, or shall be deemed to, create a partnership or fiduciary relationship between or among the Parties. No Party shall take a position contrary to this </w:t>
      </w:r>
      <w:r>
        <w:rPr>
          <w:rFonts w:ascii="Arial" w:cs="Arial" w:eastAsia="Arial" w:hAnsi="Arial"/>
          <w:sz w:val="19"/>
          <w:szCs w:val="19"/>
          <w:u w:val="single" w:color="auto"/>
          <w:color w:val="auto"/>
        </w:rPr>
        <w:t>Section 7.6</w:t>
      </w:r>
      <w:r>
        <w:rPr>
          <w:rFonts w:ascii="Arial" w:cs="Arial" w:eastAsia="Arial" w:hAnsi="Arial"/>
          <w:sz w:val="19"/>
          <w:szCs w:val="19"/>
          <w:color w:val="auto"/>
        </w:rPr>
        <w:t>.</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Official Language</w:t>
      </w:r>
      <w:r>
        <w:rPr>
          <w:rFonts w:ascii="Arial" w:cs="Arial" w:eastAsia="Arial" w:hAnsi="Arial"/>
          <w:sz w:val="22"/>
          <w:szCs w:val="22"/>
          <w:color w:val="auto"/>
        </w:rPr>
        <w:t>. The official language of this Agreement is the English language only, which language shall be controlling in all respects, and all versions of this Agreement in any other language shall not be binding on the Parties nor shall such other versions be admissible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firstLine="8"/>
        <w:spacing w:after="0" w:line="275" w:lineRule="auto"/>
        <w:tabs>
          <w:tab w:leader="none" w:pos="36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6" w:right="239" w:bottom="1440" w:gutter="0" w:footer="0" w:header="0"/>
        </w:sectPr>
      </w:pPr>
    </w:p>
    <w:bookmarkStart w:id="234" w:name="page235"/>
    <w:bookmarkEnd w:id="23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legal proceeding, including arbitration, brought under this Agreement. All communications and notices to be made or given pursuant to this Agreement shall be in the English language.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824"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Treatment of Ambiguities</w:t>
      </w:r>
      <w:r>
        <w:rPr>
          <w:rFonts w:ascii="Arial" w:cs="Arial" w:eastAsia="Arial" w:hAnsi="Arial"/>
          <w:sz w:val="22"/>
          <w:szCs w:val="22"/>
          <w:color w:val="auto"/>
        </w:rPr>
        <w:t>. The Parties acknowledge that each Party has participated in the drafting of this Agreement, and that any rule of construction to the effect that ambiguities are to be resolved against the drafting party shall not be applied in the construction or interpretation of this Agreement.</w:t>
      </w:r>
    </w:p>
    <w:p>
      <w:pPr>
        <w:spacing w:after="0" w:line="177" w:lineRule="exact"/>
        <w:rPr>
          <w:rFonts w:ascii="Arial" w:cs="Arial" w:eastAsia="Arial" w:hAnsi="Arial"/>
          <w:sz w:val="22"/>
          <w:szCs w:val="22"/>
          <w:color w:val="auto"/>
        </w:rPr>
      </w:pPr>
    </w:p>
    <w:p>
      <w:pPr>
        <w:jc w:val="both"/>
        <w:ind w:firstLine="1305"/>
        <w:spacing w:after="0" w:line="290" w:lineRule="auto"/>
        <w:tabs>
          <w:tab w:leader="none" w:pos="1904"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t>References; Construction</w:t>
      </w:r>
      <w:r>
        <w:rPr>
          <w:rFonts w:ascii="Arial" w:cs="Arial" w:eastAsia="Arial" w:hAnsi="Arial"/>
          <w:sz w:val="19"/>
          <w:szCs w:val="19"/>
          <w:color w:val="auto"/>
        </w:rPr>
        <w:t>. Unless otherwise indicated herein, with respect to any reference made in this Agreement to a Section, Exhibit or Schedule, such reference shall be to a section of, or an exhibit or a schedule to, this Agreement. The section headings contained in this Agreement and the recitals at the beginning of this Agreement are for reference purposes only and shall not, other than to define the capitalized terms defined therein, affect in any way the meaning or interpretation of this Agreement or any other agreement. The words “include,” “includes” and “including,” when used in this Agreement, shall be deemed to be followed by the phrase “without limitation.” The words “herein,” “hereof,” “hereunder” and words of like import shall refer to this Agreement as a whole (including its exhibits and schedules), unless the context clearly indicates to the contrary. Any reference made in this Agreement to any Existing Agreement shall be deemed, unless the context clearly indicates to the contrary, to refer to such Existing Agreement as such Existing Agreement may be amended or supplemented from time to time. As referred to herein, all references to “Pangea” or “TMC” shall be deemed to include the surviving entity in the TMC Merger.</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7.9 </w:t>
      </w:r>
      <w:r>
        <w:rPr>
          <w:rFonts w:ascii="Arial" w:cs="Arial" w:eastAsia="Arial" w:hAnsi="Arial"/>
          <w:sz w:val="21"/>
          <w:szCs w:val="21"/>
          <w:u w:val="single" w:color="auto"/>
          <w:color w:val="auto"/>
        </w:rPr>
        <w:t>Notices and Contact Information</w:t>
      </w:r>
      <w:r>
        <w:rPr>
          <w:rFonts w:ascii="Arial" w:cs="Arial" w:eastAsia="Arial" w:hAnsi="Arial"/>
          <w:sz w:val="21"/>
          <w:szCs w:val="21"/>
          <w:color w:val="auto"/>
        </w:rPr>
        <w:t xml:space="preserve">. All notices and other communications to be given or made under this Agreement shall be in writing and shall be deemed received (a) if delivered by hand, courier or overnight delivery service, when delivered, (b) if delivered by email, the earlier of (i) when the recipient, by an email sent to the email address for the sending party stated in this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or by a notice delivered by another method in accordance with this </w:t>
      </w:r>
      <w:r>
        <w:rPr>
          <w:rFonts w:ascii="Arial" w:cs="Arial" w:eastAsia="Arial" w:hAnsi="Arial"/>
          <w:sz w:val="21"/>
          <w:szCs w:val="21"/>
          <w:u w:val="single" w:color="auto"/>
          <w:color w:val="auto"/>
        </w:rPr>
        <w:t>Section 7.9</w:t>
      </w:r>
      <w:r>
        <w:rPr>
          <w:rFonts w:ascii="Arial" w:cs="Arial" w:eastAsia="Arial" w:hAnsi="Arial"/>
          <w:sz w:val="21"/>
          <w:szCs w:val="21"/>
          <w:color w:val="auto"/>
        </w:rPr>
        <w:t>, acknowledges having received that email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than an automatic “read receipt” will not constitute acknowledgement of an email for purposes of this </w:t>
      </w:r>
      <w:r>
        <w:rPr>
          <w:rFonts w:ascii="Arial" w:cs="Arial" w:eastAsia="Arial" w:hAnsi="Arial"/>
          <w:sz w:val="21"/>
          <w:szCs w:val="21"/>
          <w:u w:val="single" w:color="auto"/>
          <w:color w:val="auto"/>
        </w:rPr>
        <w:t>Section 7.9</w:t>
      </w:r>
      <w:r>
        <w:rPr>
          <w:rFonts w:ascii="Arial" w:cs="Arial" w:eastAsia="Arial" w:hAnsi="Arial"/>
          <w:sz w:val="21"/>
          <w:szCs w:val="21"/>
          <w:color w:val="auto"/>
        </w:rPr>
        <w:t xml:space="preserve"> or (ii) when the email is delivered, if followed within two Business Days by delivery of a copy by hand, courier or overnight delivery service, or (c) five days after being mailed by certified or registered mail, return receipt requested, with appropriate postage prepaid and shall be directed to the address of such Party specified below (or at such other address as such Party shall designate by like notice):</w:t>
      </w:r>
    </w:p>
    <w:p>
      <w:pPr>
        <w:spacing w:after="0" w:line="18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If to WD:</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5601 Great Oaks Parkway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(408) 717-6000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8"/>
        <w:spacing w:after="0" w:line="275" w:lineRule="auto"/>
        <w:tabs>
          <w:tab w:leader="none" w:pos="36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26" w:right="239" w:bottom="1440" w:gutter="0" w:footer="0" w:header="0"/>
        </w:sectPr>
      </w:pPr>
    </w:p>
    <w:bookmarkStart w:id="235" w:name="page236"/>
    <w:bookmarkEnd w:id="235"/>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SanDisk:</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5601 Great Oaks Parkway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Jose, CA 95119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(408) 717-6000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Legal Officer</w:t>
      </w:r>
    </w:p>
    <w:p>
      <w:pPr>
        <w:spacing w:after="0" w:line="24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If to Bain Capital:</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Bain Capital Private Equity, 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5F, Palace Building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1-1-1 Marunouchi</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Chiyoda-ku, Tokyo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+81.3.6212.7070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Yuji Sugimoto, Managing Director</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Ropes &amp; Gray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 Tower 30F</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Marunouchi 2-7-2</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Chiyoda-ku, Tokyo 100-7030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+81.3.6259.3514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Tsuyoshi Imai</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Assignment</w:t>
      </w:r>
      <w:r>
        <w:rPr>
          <w:rFonts w:ascii="Arial" w:cs="Arial" w:eastAsia="Arial" w:hAnsi="Arial"/>
          <w:sz w:val="22"/>
          <w:szCs w:val="22"/>
          <w:color w:val="auto"/>
        </w:rPr>
        <w:t>. Except as expressly provided herein, no Party may Transfer this Agreement or any of its rights or obligations hereunder without the prior written consent of each of WD, SanDisk, Bain Capital (other than Pangea) and each of their respective successors (which consent may be withheld by such Party in such Party’s sole discretion), and any such purported transfer without such consent will be void.</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This Agreement may not be amended, modified or supplemented except by a written instrument executed by each Party. No waiver of any provision of this Agreement shall be effective unless set forth in a written instrument signed by the Party waiving such provision. No failure or delay by a Party in exercising any right, power or remedy under this Agreement shall operate as a waiver thereof, nor shall any single or partial exercise of the same preclude any further exercise thereof or the exercise of any other right, power or remedy. Without limiting the foregoing, no waiver by a Party of any breach by any other Party of any provision hereof shall be deemed to be a waiver of any subsequent breach of that or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firstLine="8"/>
        <w:spacing w:after="0" w:line="275" w:lineRule="auto"/>
        <w:tabs>
          <w:tab w:leader="none" w:pos="36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26" w:right="239" w:bottom="1440" w:gutter="0" w:footer="0" w:header="0"/>
        </w:sectPr>
      </w:pPr>
    </w:p>
    <w:bookmarkStart w:id="236" w:name="page237"/>
    <w:bookmarkEnd w:id="236"/>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shall inure to the benefit of the Parties and their respective successors and permitted assignees.</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Severability</w:t>
      </w:r>
      <w:r>
        <w:rPr>
          <w:rFonts w:ascii="Arial" w:cs="Arial" w:eastAsia="Arial" w:hAnsi="Arial"/>
          <w:sz w:val="22"/>
          <w:szCs w:val="22"/>
          <w:color w:val="auto"/>
        </w:rPr>
        <w:t>. If a provision of this Agreement or the application of any such provision is or becomes illegal, invalid or unenforceable in any respect under any jurisdiction, that will not affect (a) the legality, validity or enforceability in that jurisdiction of any other provision of this Agreement or (b) the legality, validity or enforceability in any other jurisdictions of that or any other provision of this Agreement. To the extent permitted by applicable Law, the Parties waive any provision of Law that renders any provision of this Agreement invalid, illegal or unenforceable in any respect. Such provision shall be replaced by a mutually acceptable provision, which being valid, legal and enforceable comes closest to the intention of the Parties underlying such illegal, invalid or unenforceable provision.</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Counterparts; Effectiveness</w:t>
      </w:r>
      <w:r>
        <w:rPr>
          <w:rFonts w:ascii="Arial" w:cs="Arial" w:eastAsia="Arial" w:hAnsi="Arial"/>
          <w:sz w:val="19"/>
          <w:szCs w:val="19"/>
          <w:color w:val="auto"/>
        </w:rPr>
        <w:t>. This Agreement may be executed in counterparts, each of which shall be binding as of the date first written above, and all of which shall constitute one and the same instrument. Each such counterpart shall be deemed an original, and it shall not be necessary in making proof of this Agreement to produce or account for more than one of each such counterpart. The exchange of copies of this Agreement and of signature pages by portable document format (.pdf) or other electronic format shall be deemed to be their original signatures for all purposes. This Agreement shall not become effective until one or more counterparts have been executed by each Party and delivered to the other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firstLine="8"/>
        <w:spacing w:after="0" w:line="275" w:lineRule="auto"/>
        <w:tabs>
          <w:tab w:leader="none" w:pos="36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26"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b w:val="1"/>
          <w:bCs w:val="1"/>
          <w:color w:val="auto"/>
        </w:rPr>
        <w:t>Exhibit 10.9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duly authorized representatives as of the date first written above.</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5320" w:type="dxa"/>
            <w:vAlign w:val="bottom"/>
            <w:gridSpan w:val="3"/>
          </w:tcPr>
          <w:p>
            <w:pPr>
              <w:ind w:left="20"/>
              <w:spacing w:after="0"/>
              <w:rPr>
                <w:sz w:val="20"/>
                <w:szCs w:val="20"/>
                <w:color w:val="auto"/>
              </w:rPr>
            </w:pPr>
            <w:r>
              <w:rPr>
                <w:rFonts w:ascii="Arial" w:cs="Arial" w:eastAsia="Arial" w:hAnsi="Arial"/>
                <w:sz w:val="22"/>
                <w:szCs w:val="22"/>
                <w:b w:val="1"/>
                <w:bCs w:val="1"/>
                <w:color w:val="auto"/>
              </w:rPr>
              <w:t>WESTERN DIGITAL CORPORATION</w:t>
            </w:r>
          </w:p>
        </w:tc>
        <w:tc>
          <w:tcPr>
            <w:tcW w:w="3640" w:type="dxa"/>
            <w:vAlign w:val="bottom"/>
            <w:gridSpan w:val="3"/>
          </w:tcPr>
          <w:p>
            <w:pPr>
              <w:ind w:left="460"/>
              <w:spacing w:after="0"/>
              <w:rPr>
                <w:sz w:val="20"/>
                <w:szCs w:val="20"/>
                <w:color w:val="auto"/>
              </w:rPr>
            </w:pPr>
            <w:r>
              <w:rPr>
                <w:rFonts w:ascii="Arial" w:cs="Arial" w:eastAsia="Arial" w:hAnsi="Arial"/>
                <w:sz w:val="22"/>
                <w:szCs w:val="22"/>
                <w:b w:val="1"/>
                <w:bCs w:val="1"/>
                <w:color w:val="auto"/>
              </w:rPr>
              <w:t>SANDISK LLC</w:t>
            </w:r>
          </w:p>
        </w:tc>
      </w:tr>
      <w:tr>
        <w:trPr>
          <w:trHeight w:val="814"/>
        </w:trPr>
        <w:tc>
          <w:tcPr>
            <w:tcW w:w="5320" w:type="dxa"/>
            <w:vAlign w:val="bottom"/>
            <w:gridSpan w:val="3"/>
          </w:tcPr>
          <w:p>
            <w:pPr>
              <w:ind w:left="20"/>
              <w:spacing w:after="0"/>
              <w:rPr>
                <w:sz w:val="20"/>
                <w:szCs w:val="20"/>
                <w:color w:val="auto"/>
              </w:rPr>
            </w:pPr>
            <w:r>
              <w:rPr>
                <w:rFonts w:ascii="Arial" w:cs="Arial" w:eastAsia="Arial" w:hAnsi="Arial"/>
                <w:sz w:val="22"/>
                <w:szCs w:val="22"/>
                <w:color w:val="auto"/>
              </w:rPr>
              <w:t>By: /s/ Michael C. Ray</w:t>
            </w:r>
          </w:p>
        </w:tc>
        <w:tc>
          <w:tcPr>
            <w:tcW w:w="3640" w:type="dxa"/>
            <w:vAlign w:val="bottom"/>
            <w:gridSpan w:val="3"/>
          </w:tcPr>
          <w:p>
            <w:pPr>
              <w:ind w:left="460"/>
              <w:spacing w:after="0"/>
              <w:rPr>
                <w:sz w:val="20"/>
                <w:szCs w:val="20"/>
                <w:color w:val="auto"/>
              </w:rPr>
            </w:pPr>
            <w:r>
              <w:rPr>
                <w:rFonts w:ascii="Arial" w:cs="Arial" w:eastAsia="Arial" w:hAnsi="Arial"/>
                <w:sz w:val="22"/>
                <w:szCs w:val="22"/>
                <w:color w:val="auto"/>
              </w:rPr>
              <w:t>By: /s/ Michael C. Ray</w:t>
            </w: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2"/>
        </w:trPr>
        <w:tc>
          <w:tcPr>
            <w:tcW w:w="5320" w:type="dxa"/>
            <w:vAlign w:val="bottom"/>
            <w:gridSpan w:val="3"/>
          </w:tcPr>
          <w:p>
            <w:pPr>
              <w:ind w:left="20"/>
              <w:spacing w:after="0" w:line="242" w:lineRule="exact"/>
              <w:rPr>
                <w:sz w:val="20"/>
                <w:szCs w:val="20"/>
                <w:color w:val="auto"/>
              </w:rPr>
            </w:pPr>
            <w:r>
              <w:rPr>
                <w:rFonts w:ascii="Arial" w:cs="Arial" w:eastAsia="Arial" w:hAnsi="Arial"/>
                <w:sz w:val="22"/>
                <w:szCs w:val="22"/>
                <w:color w:val="auto"/>
              </w:rPr>
              <w:t>Name: Michael C. Ray</w:t>
            </w:r>
          </w:p>
        </w:tc>
        <w:tc>
          <w:tcPr>
            <w:tcW w:w="3640" w:type="dxa"/>
            <w:vAlign w:val="bottom"/>
            <w:gridSpan w:val="3"/>
          </w:tcPr>
          <w:p>
            <w:pPr>
              <w:ind w:left="460"/>
              <w:spacing w:after="0" w:line="242" w:lineRule="exact"/>
              <w:rPr>
                <w:sz w:val="20"/>
                <w:szCs w:val="20"/>
                <w:color w:val="auto"/>
              </w:rPr>
            </w:pPr>
            <w:r>
              <w:rPr>
                <w:rFonts w:ascii="Arial" w:cs="Arial" w:eastAsia="Arial" w:hAnsi="Arial"/>
                <w:sz w:val="22"/>
                <w:szCs w:val="22"/>
                <w:color w:val="auto"/>
              </w:rPr>
              <w:t>Name: Michael C. Ray</w:t>
            </w:r>
          </w:p>
        </w:tc>
      </w:tr>
      <w:tr>
        <w:trPr>
          <w:trHeight w:val="243"/>
        </w:trPr>
        <w:tc>
          <w:tcPr>
            <w:tcW w:w="5320" w:type="dxa"/>
            <w:vAlign w:val="bottom"/>
            <w:gridSpan w:val="3"/>
          </w:tcPr>
          <w:p>
            <w:pPr>
              <w:spacing w:after="0" w:line="243" w:lineRule="exact"/>
              <w:rPr>
                <w:sz w:val="20"/>
                <w:szCs w:val="20"/>
                <w:color w:val="auto"/>
              </w:rPr>
            </w:pPr>
            <w:r>
              <w:rPr>
                <w:rFonts w:ascii="Arial" w:cs="Arial" w:eastAsia="Arial" w:hAnsi="Arial"/>
                <w:sz w:val="22"/>
                <w:szCs w:val="22"/>
                <w:color w:val="auto"/>
                <w:w w:val="99"/>
              </w:rPr>
              <w:t>Title: Executive Vice President, Chief Legal Officer and</w:t>
            </w:r>
          </w:p>
        </w:tc>
        <w:tc>
          <w:tcPr>
            <w:tcW w:w="3640" w:type="dxa"/>
            <w:vAlign w:val="bottom"/>
            <w:gridSpan w:val="3"/>
          </w:tcPr>
          <w:p>
            <w:pPr>
              <w:ind w:left="460"/>
              <w:spacing w:after="0" w:line="243" w:lineRule="exact"/>
              <w:rPr>
                <w:sz w:val="20"/>
                <w:szCs w:val="20"/>
                <w:color w:val="auto"/>
              </w:rPr>
            </w:pPr>
            <w:r>
              <w:rPr>
                <w:rFonts w:ascii="Arial" w:cs="Arial" w:eastAsia="Arial" w:hAnsi="Arial"/>
                <w:sz w:val="22"/>
                <w:szCs w:val="22"/>
                <w:color w:val="auto"/>
              </w:rPr>
              <w:t>Title: Sole Manager</w:t>
            </w:r>
          </w:p>
        </w:tc>
      </w:tr>
      <w:tr>
        <w:trPr>
          <w:trHeight w:val="275"/>
        </w:trPr>
        <w:tc>
          <w:tcPr>
            <w:tcW w:w="380" w:type="dxa"/>
            <w:vAlign w:val="bottom"/>
          </w:tcPr>
          <w:p>
            <w:pPr>
              <w:spacing w:after="0"/>
              <w:rPr>
                <w:sz w:val="23"/>
                <w:szCs w:val="23"/>
                <w:color w:val="auto"/>
              </w:rPr>
            </w:pPr>
          </w:p>
        </w:tc>
        <w:tc>
          <w:tcPr>
            <w:tcW w:w="4940" w:type="dxa"/>
            <w:vAlign w:val="bottom"/>
            <w:gridSpan w:val="2"/>
          </w:tcPr>
          <w:p>
            <w:pPr>
              <w:ind w:left="360"/>
              <w:spacing w:after="0"/>
              <w:rPr>
                <w:sz w:val="20"/>
                <w:szCs w:val="20"/>
                <w:color w:val="auto"/>
              </w:rPr>
            </w:pPr>
            <w:r>
              <w:rPr>
                <w:rFonts w:ascii="Arial" w:cs="Arial" w:eastAsia="Arial" w:hAnsi="Arial"/>
                <w:sz w:val="22"/>
                <w:szCs w:val="22"/>
                <w:color w:val="auto"/>
              </w:rPr>
              <w:t>Secretary</w:t>
            </w: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94"/>
        </w:trPr>
        <w:tc>
          <w:tcPr>
            <w:tcW w:w="5320" w:type="dxa"/>
            <w:vAlign w:val="bottom"/>
            <w:gridSpan w:val="3"/>
          </w:tcPr>
          <w:p>
            <w:pPr>
              <w:ind w:left="20"/>
              <w:spacing w:after="0"/>
              <w:rPr>
                <w:sz w:val="20"/>
                <w:szCs w:val="20"/>
                <w:color w:val="auto"/>
              </w:rPr>
            </w:pPr>
            <w:r>
              <w:rPr>
                <w:rFonts w:ascii="Arial" w:cs="Arial" w:eastAsia="Arial" w:hAnsi="Arial"/>
                <w:sz w:val="22"/>
                <w:szCs w:val="22"/>
                <w:b w:val="1"/>
                <w:bCs w:val="1"/>
                <w:color w:val="auto"/>
              </w:rPr>
              <w:t>SANDISK (CAYMAN) LIMITED</w:t>
            </w:r>
          </w:p>
        </w:tc>
        <w:tc>
          <w:tcPr>
            <w:tcW w:w="3640" w:type="dxa"/>
            <w:vAlign w:val="bottom"/>
            <w:gridSpan w:val="3"/>
          </w:tcPr>
          <w:p>
            <w:pPr>
              <w:ind w:left="460"/>
              <w:spacing w:after="0"/>
              <w:rPr>
                <w:sz w:val="20"/>
                <w:szCs w:val="20"/>
                <w:color w:val="auto"/>
              </w:rPr>
            </w:pPr>
            <w:r>
              <w:rPr>
                <w:rFonts w:ascii="Arial" w:cs="Arial" w:eastAsia="Arial" w:hAnsi="Arial"/>
                <w:sz w:val="22"/>
                <w:szCs w:val="22"/>
                <w:b w:val="1"/>
                <w:bCs w:val="1"/>
                <w:color w:val="auto"/>
              </w:rPr>
              <w:t>SANDISK (IRELAND) LIMITED</w:t>
            </w:r>
          </w:p>
        </w:tc>
      </w:tr>
      <w:tr>
        <w:trPr>
          <w:trHeight w:val="814"/>
        </w:trPr>
        <w:tc>
          <w:tcPr>
            <w:tcW w:w="5320" w:type="dxa"/>
            <w:vAlign w:val="bottom"/>
            <w:gridSpan w:val="3"/>
          </w:tcPr>
          <w:p>
            <w:pPr>
              <w:ind w:left="20"/>
              <w:spacing w:after="0"/>
              <w:rPr>
                <w:sz w:val="20"/>
                <w:szCs w:val="20"/>
                <w:color w:val="auto"/>
              </w:rPr>
            </w:pPr>
            <w:r>
              <w:rPr>
                <w:rFonts w:ascii="Arial" w:cs="Arial" w:eastAsia="Arial" w:hAnsi="Arial"/>
                <w:sz w:val="22"/>
                <w:szCs w:val="22"/>
                <w:color w:val="auto"/>
              </w:rPr>
              <w:t>By: /s/ Michael C. Ray</w:t>
            </w:r>
          </w:p>
        </w:tc>
        <w:tc>
          <w:tcPr>
            <w:tcW w:w="3640" w:type="dxa"/>
            <w:vAlign w:val="bottom"/>
            <w:gridSpan w:val="3"/>
          </w:tcPr>
          <w:p>
            <w:pPr>
              <w:ind w:left="460"/>
              <w:spacing w:after="0"/>
              <w:rPr>
                <w:sz w:val="20"/>
                <w:szCs w:val="20"/>
                <w:color w:val="auto"/>
              </w:rPr>
            </w:pPr>
            <w:r>
              <w:rPr>
                <w:rFonts w:ascii="Arial" w:cs="Arial" w:eastAsia="Arial" w:hAnsi="Arial"/>
                <w:sz w:val="22"/>
                <w:szCs w:val="22"/>
                <w:color w:val="auto"/>
              </w:rPr>
              <w:t>By: /s/ Michael C. Ray</w:t>
            </w: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2"/>
        </w:trPr>
        <w:tc>
          <w:tcPr>
            <w:tcW w:w="5320" w:type="dxa"/>
            <w:vAlign w:val="bottom"/>
            <w:gridSpan w:val="3"/>
          </w:tcPr>
          <w:p>
            <w:pPr>
              <w:ind w:left="20"/>
              <w:spacing w:after="0" w:line="242" w:lineRule="exact"/>
              <w:rPr>
                <w:sz w:val="20"/>
                <w:szCs w:val="20"/>
                <w:color w:val="auto"/>
              </w:rPr>
            </w:pPr>
            <w:r>
              <w:rPr>
                <w:rFonts w:ascii="Arial" w:cs="Arial" w:eastAsia="Arial" w:hAnsi="Arial"/>
                <w:sz w:val="22"/>
                <w:szCs w:val="22"/>
                <w:color w:val="auto"/>
              </w:rPr>
              <w:t>Name: Michael C. Ray</w:t>
            </w:r>
          </w:p>
        </w:tc>
        <w:tc>
          <w:tcPr>
            <w:tcW w:w="3640" w:type="dxa"/>
            <w:vAlign w:val="bottom"/>
            <w:gridSpan w:val="3"/>
          </w:tcPr>
          <w:p>
            <w:pPr>
              <w:ind w:left="460"/>
              <w:spacing w:after="0" w:line="242" w:lineRule="exact"/>
              <w:rPr>
                <w:sz w:val="20"/>
                <w:szCs w:val="20"/>
                <w:color w:val="auto"/>
              </w:rPr>
            </w:pPr>
            <w:r>
              <w:rPr>
                <w:rFonts w:ascii="Arial" w:cs="Arial" w:eastAsia="Arial" w:hAnsi="Arial"/>
                <w:sz w:val="22"/>
                <w:szCs w:val="22"/>
                <w:color w:val="auto"/>
              </w:rPr>
              <w:t>Name: Michael C. Ray</w:t>
            </w:r>
          </w:p>
        </w:tc>
      </w:tr>
      <w:tr>
        <w:trPr>
          <w:trHeight w:val="275"/>
        </w:trPr>
        <w:tc>
          <w:tcPr>
            <w:tcW w:w="5320" w:type="dxa"/>
            <w:vAlign w:val="bottom"/>
            <w:gridSpan w:val="3"/>
          </w:tcPr>
          <w:p>
            <w:pPr>
              <w:spacing w:after="0"/>
              <w:rPr>
                <w:sz w:val="20"/>
                <w:szCs w:val="20"/>
                <w:color w:val="auto"/>
              </w:rPr>
            </w:pPr>
            <w:r>
              <w:rPr>
                <w:rFonts w:ascii="Arial" w:cs="Arial" w:eastAsia="Arial" w:hAnsi="Arial"/>
                <w:sz w:val="22"/>
                <w:szCs w:val="22"/>
                <w:color w:val="auto"/>
              </w:rPr>
              <w:t>Title: Director</w:t>
            </w:r>
          </w:p>
        </w:tc>
        <w:tc>
          <w:tcPr>
            <w:tcW w:w="3640" w:type="dxa"/>
            <w:vAlign w:val="bottom"/>
            <w:gridSpan w:val="3"/>
          </w:tcPr>
          <w:p>
            <w:pPr>
              <w:ind w:left="460"/>
              <w:spacing w:after="0"/>
              <w:rPr>
                <w:sz w:val="20"/>
                <w:szCs w:val="20"/>
                <w:color w:val="auto"/>
              </w:rPr>
            </w:pPr>
            <w:r>
              <w:rPr>
                <w:rFonts w:ascii="Arial" w:cs="Arial" w:eastAsia="Arial" w:hAnsi="Arial"/>
                <w:sz w:val="22"/>
                <w:szCs w:val="22"/>
                <w:color w:val="auto"/>
              </w:rPr>
              <w:t>Title: Director</w:t>
            </w:r>
          </w:p>
        </w:tc>
      </w:tr>
      <w:tr>
        <w:trPr>
          <w:trHeight w:val="783"/>
        </w:trPr>
        <w:tc>
          <w:tcPr>
            <w:tcW w:w="5320" w:type="dxa"/>
            <w:vAlign w:val="bottom"/>
            <w:gridSpan w:val="3"/>
          </w:tcPr>
          <w:p>
            <w:pPr>
              <w:ind w:left="20"/>
              <w:spacing w:after="0"/>
              <w:rPr>
                <w:sz w:val="20"/>
                <w:szCs w:val="20"/>
                <w:color w:val="auto"/>
              </w:rPr>
            </w:pPr>
            <w:r>
              <w:rPr>
                <w:rFonts w:ascii="Arial" w:cs="Arial" w:eastAsia="Arial" w:hAnsi="Arial"/>
                <w:sz w:val="22"/>
                <w:szCs w:val="22"/>
                <w:b w:val="1"/>
                <w:bCs w:val="1"/>
                <w:color w:val="auto"/>
              </w:rPr>
              <w:t>SANDISK FLASH B.V.</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14"/>
        </w:trPr>
        <w:tc>
          <w:tcPr>
            <w:tcW w:w="5320" w:type="dxa"/>
            <w:vAlign w:val="bottom"/>
            <w:gridSpan w:val="3"/>
          </w:tcPr>
          <w:p>
            <w:pPr>
              <w:ind w:left="20"/>
              <w:spacing w:after="0"/>
              <w:rPr>
                <w:sz w:val="20"/>
                <w:szCs w:val="20"/>
                <w:color w:val="auto"/>
              </w:rPr>
            </w:pPr>
            <w:r>
              <w:rPr>
                <w:rFonts w:ascii="Arial" w:cs="Arial" w:eastAsia="Arial" w:hAnsi="Arial"/>
                <w:sz w:val="22"/>
                <w:szCs w:val="22"/>
                <w:color w:val="auto"/>
              </w:rPr>
              <w:t>By: /s/ Michael C. Ray</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2"/>
        </w:trPr>
        <w:tc>
          <w:tcPr>
            <w:tcW w:w="5320" w:type="dxa"/>
            <w:vAlign w:val="bottom"/>
            <w:gridSpan w:val="3"/>
          </w:tcPr>
          <w:p>
            <w:pPr>
              <w:ind w:left="20"/>
              <w:spacing w:after="0" w:line="242" w:lineRule="exact"/>
              <w:rPr>
                <w:sz w:val="20"/>
                <w:szCs w:val="20"/>
                <w:color w:val="auto"/>
              </w:rPr>
            </w:pPr>
            <w:r>
              <w:rPr>
                <w:rFonts w:ascii="Arial" w:cs="Arial" w:eastAsia="Arial" w:hAnsi="Arial"/>
                <w:sz w:val="22"/>
                <w:szCs w:val="22"/>
                <w:color w:val="auto"/>
              </w:rPr>
              <w:t>Name: Michael C. Ray</w:t>
            </w: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5"/>
        </w:trPr>
        <w:tc>
          <w:tcPr>
            <w:tcW w:w="5320" w:type="dxa"/>
            <w:vAlign w:val="bottom"/>
            <w:gridSpan w:val="3"/>
          </w:tcPr>
          <w:p>
            <w:pPr>
              <w:spacing w:after="0"/>
              <w:rPr>
                <w:sz w:val="20"/>
                <w:szCs w:val="20"/>
                <w:color w:val="auto"/>
              </w:rPr>
            </w:pPr>
            <w:r>
              <w:rPr>
                <w:rFonts w:ascii="Arial" w:cs="Arial" w:eastAsia="Arial" w:hAnsi="Arial"/>
                <w:sz w:val="22"/>
                <w:szCs w:val="22"/>
                <w:color w:val="auto"/>
              </w:rPr>
              <w:t>Title: Director</w:t>
            </w: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Confidential Settlement and Mutual Release Agreement]</w:t>
      </w:r>
    </w:p>
    <w:p>
      <w:pPr>
        <w:sectPr>
          <w:pgSz w:w="11900" w:h="16838" w:orient="portrait"/>
          <w:cols w:equalWidth="0" w:num="1">
            <w:col w:w="11420"/>
          </w:cols>
          <w:pgMar w:left="240" w:top="126" w:right="2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BAIN CAPITAL PRIVATE EQUITY, L.P.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BCPE PANGEA CAYMAN2, LTD.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580"/>
        <w:spacing w:after="0" w:line="238" w:lineRule="auto"/>
        <w:rPr>
          <w:sz w:val="20"/>
          <w:szCs w:val="20"/>
          <w:color w:val="auto"/>
        </w:rPr>
      </w:pPr>
      <w:r>
        <w:rPr>
          <w:rFonts w:ascii="Arial" w:cs="Arial" w:eastAsia="Arial" w:hAnsi="Arial"/>
          <w:sz w:val="22"/>
          <w:szCs w:val="22"/>
          <w:b w:val="1"/>
          <w:bCs w:val="1"/>
          <w:color w:val="auto"/>
        </w:rPr>
        <w:t xml:space="preserve">BAIN CAPITAL ASIA FUND III, L.P. </w:t>
      </w:r>
      <w:r>
        <w:rPr>
          <w:rFonts w:ascii="Arial" w:cs="Arial" w:eastAsia="Arial" w:hAnsi="Arial"/>
          <w:sz w:val="22"/>
          <w:szCs w:val="22"/>
          <w:color w:val="auto"/>
        </w:rPr>
        <w:t>By: Bain Capital Partners Asia III, L.P., its general partner</w:t>
      </w:r>
    </w:p>
    <w:p>
      <w:pPr>
        <w:spacing w:after="0" w:line="231" w:lineRule="auto"/>
        <w:rPr>
          <w:sz w:val="20"/>
          <w:szCs w:val="20"/>
          <w:color w:val="auto"/>
        </w:rPr>
      </w:pPr>
      <w:r>
        <w:rPr>
          <w:rFonts w:ascii="Arial" w:cs="Arial" w:eastAsia="Arial" w:hAnsi="Arial"/>
          <w:sz w:val="22"/>
          <w:szCs w:val="22"/>
          <w:color w:val="auto"/>
        </w:rPr>
        <w:t>By: Bain Capital Investors, LLC,</w:t>
      </w:r>
    </w:p>
    <w:p>
      <w:pPr>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10.9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BCPE PANGEA CAYMAN, 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BCPE Pangea GP, LLC,</w:t>
      </w:r>
    </w:p>
    <w:p>
      <w:pPr>
        <w:spacing w:after="0" w:line="230" w:lineRule="auto"/>
        <w:rPr>
          <w:sz w:val="20"/>
          <w:szCs w:val="20"/>
          <w:color w:val="auto"/>
        </w:rPr>
      </w:pPr>
      <w:r>
        <w:rPr>
          <w:rFonts w:ascii="Arial" w:cs="Arial" w:eastAsia="Arial" w:hAnsi="Arial"/>
          <w:sz w:val="22"/>
          <w:szCs w:val="22"/>
          <w:color w:val="auto"/>
        </w:rPr>
        <w:t>its general partner</w:t>
      </w:r>
    </w:p>
    <w:p>
      <w:pPr>
        <w:spacing w:after="0" w:line="231" w:lineRule="auto"/>
        <w:rPr>
          <w:sz w:val="20"/>
          <w:szCs w:val="20"/>
          <w:color w:val="auto"/>
        </w:rPr>
      </w:pPr>
      <w:r>
        <w:rPr>
          <w:rFonts w:ascii="Arial" w:cs="Arial" w:eastAsia="Arial" w:hAnsi="Arial"/>
          <w:sz w:val="22"/>
          <w:szCs w:val="22"/>
          <w:color w:val="auto"/>
        </w:rPr>
        <w:t>By: Bain Capital Investors, LLC,</w:t>
      </w:r>
    </w:p>
    <w:p>
      <w:pPr>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Managing Director</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BAIN CAPITAL FUND XII, 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Bain Capital Partners XII, LLC,</w:t>
      </w:r>
    </w:p>
    <w:p>
      <w:pPr>
        <w:spacing w:after="0" w:line="230" w:lineRule="auto"/>
        <w:rPr>
          <w:sz w:val="20"/>
          <w:szCs w:val="20"/>
          <w:color w:val="auto"/>
        </w:rPr>
      </w:pPr>
      <w:r>
        <w:rPr>
          <w:rFonts w:ascii="Arial" w:cs="Arial" w:eastAsia="Arial" w:hAnsi="Arial"/>
          <w:sz w:val="22"/>
          <w:szCs w:val="22"/>
          <w:color w:val="auto"/>
        </w:rPr>
        <w:t>its general partner</w:t>
      </w:r>
    </w:p>
    <w:p>
      <w:pPr>
        <w:spacing w:after="0" w:line="231" w:lineRule="auto"/>
        <w:rPr>
          <w:sz w:val="20"/>
          <w:szCs w:val="20"/>
          <w:color w:val="auto"/>
        </w:rPr>
      </w:pPr>
      <w:r>
        <w:rPr>
          <w:rFonts w:ascii="Arial" w:cs="Arial" w:eastAsia="Arial" w:hAnsi="Arial"/>
          <w:sz w:val="22"/>
          <w:szCs w:val="22"/>
          <w:color w:val="auto"/>
        </w:rPr>
        <w:t>By: Bain Capital Investors, LLC,</w:t>
      </w:r>
    </w:p>
    <w:p>
      <w:pPr>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K.K. PANGEA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W. Barnes</w:t>
      </w:r>
    </w:p>
    <w:p>
      <w:pPr>
        <w:spacing w:after="0" w:line="238" w:lineRule="auto"/>
        <w:rPr>
          <w:sz w:val="20"/>
          <w:szCs w:val="20"/>
          <w:color w:val="auto"/>
        </w:rPr>
      </w:pPr>
      <w:r>
        <w:rPr>
          <w:rFonts w:ascii="Arial" w:cs="Arial" w:eastAsia="Arial" w:hAnsi="Arial"/>
          <w:sz w:val="22"/>
          <w:szCs w:val="22"/>
          <w:color w:val="auto"/>
        </w:rPr>
        <w:t>Name: Steven W. Barnes</w:t>
      </w:r>
    </w:p>
    <w:p>
      <w:pPr>
        <w:spacing w:after="0"/>
        <w:rPr>
          <w:sz w:val="20"/>
          <w:szCs w:val="20"/>
          <w:color w:val="auto"/>
        </w:rPr>
      </w:pPr>
      <w:r>
        <w:rPr>
          <w:rFonts w:ascii="Arial" w:cs="Arial" w:eastAsia="Arial" w:hAnsi="Arial"/>
          <w:sz w:val="22"/>
          <w:szCs w:val="22"/>
          <w:color w:val="auto"/>
        </w:rPr>
        <w:t>Title: Authorized Signatory</w:t>
      </w:r>
    </w:p>
    <w:p>
      <w:pPr>
        <w:spacing w:after="0" w:line="1172" w:lineRule="exact"/>
        <w:rPr>
          <w:sz w:val="20"/>
          <w:szCs w:val="20"/>
          <w:color w:val="auto"/>
        </w:rPr>
      </w:pPr>
    </w:p>
    <w:p>
      <w:pPr>
        <w:sectPr>
          <w:pgSz w:w="11900" w:h="16838" w:orient="portrait"/>
          <w:cols w:equalWidth="0" w:num="2">
            <w:col w:w="5120" w:space="720"/>
            <w:col w:w="5540"/>
          </w:cols>
          <w:pgMar w:left="280" w:top="12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9"/>
          <w:szCs w:val="19"/>
          <w:i w:val="1"/>
          <w:iCs w:val="1"/>
          <w:color w:val="auto"/>
        </w:rPr>
        <w:t>[Signature Page to Confidential Settlement and Mutual Release Agreement]</w:t>
      </w:r>
    </w:p>
    <w:p>
      <w:pPr>
        <w:sectPr>
          <w:pgSz w:w="11900" w:h="16838" w:orient="portrait"/>
          <w:cols w:equalWidth="0" w:num="1">
            <w:col w:w="11380"/>
          </w:cols>
          <w:pgMar w:left="280" w:top="126" w:right="239" w:bottom="1440" w:gutter="0" w:footer="0" w:header="0"/>
          <w:type w:val="continuous"/>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t>Exhibit 10.9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Definitions</w:t>
      </w:r>
    </w:p>
    <w:p>
      <w:pPr>
        <w:spacing w:after="0" w:line="2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specified Person, any other Person that directly or indirectly, through one or more intermediaries, Controls, is Controlled by or is under common Control with, the Person specified, and “</w:t>
      </w:r>
      <w:r>
        <w:rPr>
          <w:rFonts w:ascii="Arial" w:cs="Arial" w:eastAsia="Arial" w:hAnsi="Arial"/>
          <w:sz w:val="19"/>
          <w:szCs w:val="19"/>
          <w:u w:val="single" w:color="auto"/>
          <w:color w:val="auto"/>
        </w:rPr>
        <w:t>Control</w:t>
      </w:r>
      <w:r>
        <w:rPr>
          <w:rFonts w:ascii="Arial" w:cs="Arial" w:eastAsia="Arial" w:hAnsi="Arial"/>
          <w:sz w:val="19"/>
          <w:szCs w:val="19"/>
          <w:color w:val="auto"/>
        </w:rPr>
        <w:t>”, when used with respect to any Person, means the power to direct the management and policies of such Person, directly or indirectly, whether through the ownership of voting securities or otherwise, and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xml:space="preserve">” have meanings correlative to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Affiliate (a) when used in relation to any JV or Subsidiary thereof, shall not include any Party or its Affiliates, and (b) when used in relation to a Party or its Affiliates, shall not include any JV or Subsidiary thereof.</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Access Restrictions</w:t>
      </w:r>
      <w:r>
        <w:rPr>
          <w:rFonts w:ascii="Arial" w:cs="Arial" w:eastAsia="Arial" w:hAnsi="Arial"/>
          <w:sz w:val="22"/>
          <w:szCs w:val="22"/>
          <w:color w:val="auto"/>
        </w:rPr>
        <w:t>” means those certain steps that WD and SanDisk claim that TSB and TMC took on or about June 28, 2017 to restrict WD and certain of its Subsidiaries (and its or their employees) from accessing facilities, databases, and information relating to the JVs and to refuse to ship engineering wafers and samples to locations designated by SanDisk, including in Milpitas, California.</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Participants</w:t>
      </w:r>
      <w:r>
        <w:rPr>
          <w:rFonts w:ascii="Arial" w:cs="Arial" w:eastAsia="Arial" w:hAnsi="Arial"/>
          <w:sz w:val="22"/>
          <w:szCs w:val="22"/>
          <w:color w:val="auto"/>
        </w:rPr>
        <w:t>” means all bidders in the Auction and their attorneys and consortium partners, excluding Bain Capital and any member of the Bain Consortium.</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Bain Consortium</w:t>
      </w:r>
      <w:r>
        <w:rPr>
          <w:rFonts w:ascii="Arial" w:cs="Arial" w:eastAsia="Arial" w:hAnsi="Arial"/>
          <w:sz w:val="22"/>
          <w:szCs w:val="22"/>
          <w:color w:val="auto"/>
        </w:rPr>
        <w:t>” means the consortium formed in connection with the TMC Sale, consisting of Bain Capital; Hoya; Apple; Kingston; Seagate; Dell; and 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Bain Transaction</w:t>
      </w:r>
      <w:r>
        <w:rPr>
          <w:rFonts w:ascii="Arial" w:cs="Arial" w:eastAsia="Arial" w:hAnsi="Arial"/>
          <w:sz w:val="22"/>
          <w:szCs w:val="22"/>
          <w:color w:val="auto"/>
        </w:rPr>
        <w:t>” means the TMC Sale or a Subsequent Bain Transaction, as applicable.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day which is a Saturday, Sunday or legal holiday in the State of California or Japan) on which commercial banks are open for business in the State of California or Tokyo, Japan.</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with respect to a Person means (i) a transaction or series of related transactions as a result of which more than 50% of the beneficial ownership of the outstanding common stock or other ownership interests of such Person (representing the right to vote for the board of directors or similar organization of such Person) is acquired by another Person or affiliated group of Persons, whether by reason of stock acquisition, merger, consolidation, reorganization or otherwise or (ii) the sale or disposition of all or substantially all of a Person’s assets to another Person or affiliated group of Persons.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Claims</w:t>
      </w:r>
      <w:r>
        <w:rPr>
          <w:rFonts w:ascii="Arial" w:cs="Arial" w:eastAsia="Arial" w:hAnsi="Arial"/>
          <w:sz w:val="21"/>
          <w:szCs w:val="21"/>
          <w:color w:val="auto"/>
        </w:rPr>
        <w:t>” means any and all claims, counterclaims, demands, losses, payments, Liens, expenses (including attorneys’ fees), damages, liabilities, financial obligations, indemnification obligation, actions, causes of action, disputes, debts or obligations of every kind and nature, whether contractual, in law or in equity (including, without limitation, under the Japanese Civil Code, the laws of the State of California, the Uniform Commercial Code (as codified by each state of the United States of America), and/or the United Nations Convention on Contracts for the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firstLine="8"/>
        <w:spacing w:after="0" w:line="275" w:lineRule="auto"/>
        <w:tabs>
          <w:tab w:leader="none" w:pos="36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26" w:right="239" w:bottom="1440" w:gutter="0" w:footer="0" w:header="0"/>
        </w:sectPr>
      </w:pPr>
    </w:p>
    <w:bookmarkStart w:id="240" w:name="page241"/>
    <w:bookmarkEnd w:id="240"/>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Sale of Goods) past or present, direct or indirect, known or unknown, suspected or unsuspected, fixed or contingent, and whether several or otherwise.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any written or oral contract, instrument, agreement, arrangement, understanding or obligation, that is or purports to be binding on the parties thereto, including any commitment letter, fee letter, side letter, note, bond, indenture, mortgage, guarantee, undertaking, commitment, promise, option, lease, sublease, license or sublicense.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with respect to a Person, any common equity or common equity-equivalent interests or securities of such Person, including, any participating preferred securities, warrants, options or other rights to acquire any of the foregoing and debt securities that are or convertible into or exchangeable or exercisable for any of the foregoing.</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Person</w:t>
      </w:r>
      <w:r>
        <w:rPr>
          <w:rFonts w:ascii="Arial" w:cs="Arial" w:eastAsia="Arial" w:hAnsi="Arial"/>
          <w:sz w:val="22"/>
          <w:szCs w:val="22"/>
          <w:color w:val="auto"/>
        </w:rPr>
        <w:t>” means any member of the Bain Consortium (other than Bain Capital), any Auction Participant or any bank or financial institution or any of their respective Affiliates that may assert a Claim against any WD Releasor within the scope of Section 2.2(c) of the TSB and TMC Settlement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Agreements</w:t>
      </w:r>
      <w:r>
        <w:rPr>
          <w:rFonts w:ascii="Arial" w:cs="Arial" w:eastAsia="Arial" w:hAnsi="Arial"/>
          <w:sz w:val="19"/>
          <w:szCs w:val="19"/>
          <w:color w:val="auto"/>
        </w:rPr>
        <w:t xml:space="preserve">” means the various agreements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TSB and TMC Settlement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Fab 6 Unilateral Investment</w:t>
      </w:r>
      <w:r>
        <w:rPr>
          <w:rFonts w:ascii="Arial" w:cs="Arial" w:eastAsia="Arial" w:hAnsi="Arial"/>
          <w:sz w:val="22"/>
          <w:szCs w:val="22"/>
          <w:color w:val="auto"/>
        </w:rPr>
        <w:t>” means TMC’s decision and announcement on or about August 3, 2017 that TMC will unilaterally invest in manufacturing equipment for the Fab 6 cleanroom at Yokkaichi.</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Master Agreement</w:t>
      </w:r>
      <w:r>
        <w:rPr>
          <w:rFonts w:ascii="Arial" w:cs="Arial" w:eastAsia="Arial" w:hAnsi="Arial"/>
          <w:sz w:val="22"/>
          <w:szCs w:val="22"/>
          <w:color w:val="auto"/>
        </w:rPr>
        <w:t>” means that certain Flash Alliance Master Agreement, entered into by and among TSB, SanDisk Corporation and SanDisk Ireland, dated as of July 7, 2006.</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FAL Operating Agreement</w:t>
      </w:r>
      <w:r>
        <w:rPr>
          <w:rFonts w:ascii="Arial" w:cs="Arial" w:eastAsia="Arial" w:hAnsi="Arial"/>
          <w:sz w:val="22"/>
          <w:szCs w:val="22"/>
          <w:color w:val="auto"/>
        </w:rPr>
        <w:t>” means that certain Operating Agreement of Flash Alliance, Ltd., entered into by and between TSB and SanDisk Ireland, dated as of July 7, 2006.</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Master Agreement</w:t>
      </w:r>
      <w:r>
        <w:rPr>
          <w:rFonts w:ascii="Arial" w:cs="Arial" w:eastAsia="Arial" w:hAnsi="Arial"/>
          <w:sz w:val="22"/>
          <w:szCs w:val="22"/>
          <w:color w:val="auto"/>
        </w:rPr>
        <w:t>” means that certain Flash Forward Master Agreement, entered into by and among TSB, SanDisk Corporation and SanDisk Flash, dated as of July 13, 2010.</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FFL Operating Agreement</w:t>
      </w:r>
      <w:r>
        <w:rPr>
          <w:rFonts w:ascii="Arial" w:cs="Arial" w:eastAsia="Arial" w:hAnsi="Arial"/>
          <w:sz w:val="22"/>
          <w:szCs w:val="22"/>
          <w:color w:val="auto"/>
        </w:rPr>
        <w:t>” means that certain Operating Agreement of Flash Forward, Ltd., entered into by and between TSB and SanDisk Flash, dated as of March 1, 2011.</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Master Agreement</w:t>
      </w:r>
      <w:r>
        <w:rPr>
          <w:rFonts w:ascii="Arial" w:cs="Arial" w:eastAsia="Arial" w:hAnsi="Arial"/>
          <w:sz w:val="22"/>
          <w:szCs w:val="22"/>
          <w:color w:val="auto"/>
        </w:rPr>
        <w:t>” means that certain Flash Partners Master Agreement, entered into by and among TSB, SanDisk Corporation and SanDisk International Limited, dated as of September 10, 2004.</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FPL Operating Agreement</w:t>
      </w:r>
      <w:r>
        <w:rPr>
          <w:rFonts w:ascii="Arial" w:cs="Arial" w:eastAsia="Arial" w:hAnsi="Arial"/>
          <w:sz w:val="22"/>
          <w:szCs w:val="22"/>
          <w:color w:val="auto"/>
        </w:rPr>
        <w:t>” means that certain Operating Agreement of Flash Partners, Ltd., entered into by and between TSB and SanDisk International Limited, dated as of September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
        <w:spacing w:after="0" w:line="275" w:lineRule="auto"/>
        <w:tabs>
          <w:tab w:leader="none" w:pos="36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41" w:name="page242"/>
    <w:bookmarkEnd w:id="241"/>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Person and any court or other tribunal); or (d) individual, Person or body (including any stock exchange) exercising, or entitled to exercise, any executive, legislative, judicial, administrative, regulatory, police, military or taxing authority or power of any nature.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Vehicle</w:t>
      </w:r>
      <w:r>
        <w:rPr>
          <w:rFonts w:ascii="Arial" w:cs="Arial" w:eastAsia="Arial" w:hAnsi="Arial"/>
          <w:sz w:val="22"/>
          <w:szCs w:val="22"/>
          <w:color w:val="auto"/>
        </w:rPr>
        <w:t>” means an entity, a principal purpose of which is investing in TMC or Pangea, including such an entity Controlled by Bain Capital.</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JVs</w:t>
      </w:r>
      <w:r>
        <w:rPr>
          <w:rFonts w:ascii="Arial" w:cs="Arial" w:eastAsia="Arial" w:hAnsi="Arial"/>
          <w:sz w:val="22"/>
          <w:szCs w:val="22"/>
          <w:color w:val="auto"/>
        </w:rPr>
        <w:t>” means the three joint venture companies formed by TSB and SanDisk between 2004 and 2011: Flash Partners, Ltd., (“</w:t>
      </w:r>
      <w:r>
        <w:rPr>
          <w:rFonts w:ascii="Arial" w:cs="Arial" w:eastAsia="Arial" w:hAnsi="Arial"/>
          <w:sz w:val="22"/>
          <w:szCs w:val="22"/>
          <w:u w:val="single" w:color="auto"/>
          <w:color w:val="auto"/>
        </w:rPr>
        <w:t>FPL</w:t>
      </w:r>
      <w:r>
        <w:rPr>
          <w:rFonts w:ascii="Arial" w:cs="Arial" w:eastAsia="Arial" w:hAnsi="Arial"/>
          <w:sz w:val="22"/>
          <w:szCs w:val="22"/>
          <w:color w:val="auto"/>
        </w:rPr>
        <w:t>”), Flash Alliance, Ltd., (“</w:t>
      </w:r>
      <w:r>
        <w:rPr>
          <w:rFonts w:ascii="Arial" w:cs="Arial" w:eastAsia="Arial" w:hAnsi="Arial"/>
          <w:sz w:val="22"/>
          <w:szCs w:val="22"/>
          <w:u w:val="single" w:color="auto"/>
          <w:color w:val="auto"/>
        </w:rPr>
        <w:t>FAL</w:t>
      </w:r>
      <w:r>
        <w:rPr>
          <w:rFonts w:ascii="Arial" w:cs="Arial" w:eastAsia="Arial" w:hAnsi="Arial"/>
          <w:sz w:val="22"/>
          <w:szCs w:val="22"/>
          <w:color w:val="auto"/>
        </w:rPr>
        <w:t>”), and Flash Forward, Ltd., (“</w:t>
      </w:r>
      <w:r>
        <w:rPr>
          <w:rFonts w:ascii="Arial" w:cs="Arial" w:eastAsia="Arial" w:hAnsi="Arial"/>
          <w:sz w:val="22"/>
          <w:szCs w:val="22"/>
          <w:u w:val="single" w:color="auto"/>
          <w:color w:val="auto"/>
        </w:rPr>
        <w:t>FFL</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Rights</w:t>
      </w:r>
      <w:r>
        <w:rPr>
          <w:rFonts w:ascii="Arial" w:cs="Arial" w:eastAsia="Arial" w:hAnsi="Arial"/>
          <w:sz w:val="22"/>
          <w:szCs w:val="22"/>
          <w:color w:val="auto"/>
        </w:rPr>
        <w:t>”, with respect to any Person, means (a) all rights and obligations of such Person under the Existing Agreements and (b) such Person’s JV Shares.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JV Shares</w:t>
      </w:r>
      <w:r>
        <w:rPr>
          <w:rFonts w:ascii="Arial" w:cs="Arial" w:eastAsia="Arial" w:hAnsi="Arial"/>
          <w:sz w:val="19"/>
          <w:szCs w:val="19"/>
          <w:color w:val="auto"/>
        </w:rPr>
        <w:t>” means any interest in FPL, FAL, or FFL as referenced in Section 9.1(a) of the FPL Operating Agreement, FAL Operating Agreement, and FFL Operating Agreement, respectively, including: (i) the equity interests in FPL described as “FP Units” in the FPL Master Agreement and “Units” in Appendix A to the FPL Master Agreement and in the FPL Operating Agreement, (ii) the equity interests in FAL described as “FA Shares” in the FAL Master Agreement and “Shares” in Appendix A to the FAL Master Agreement and in the FAL Operating Agreement, and (iii) the equity interests in FFL described as “FF Interests” in the FFL Master Agreement and “Interests” in Appendix A to the FFL Master Agreement and in the FFL Operating Agreement.</w:t>
      </w:r>
    </w:p>
    <w:p>
      <w:pPr>
        <w:spacing w:after="0" w:line="1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applicable provisions of all (a) constitutions, treaties, statutes, laws (including common law), rules, regulations, ordinances or codes; (b) orders, decisions, judgments, awards or decrees; and (c) requests, guidelines or directives (whether or not having the force of law), in each case of any Governmental Authority of any applicable jurisdiction.</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encumbrance, charge or security interest in or on such asset, (b) the interest of a vendor or a lessor under any conditional sale agreement, capital lease or title retention agreement relating to such asset and (c) in the case of securities, any purchase option, call or similar right with respect to such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Master Agreements</w:t>
      </w:r>
      <w:r>
        <w:rPr>
          <w:rFonts w:ascii="Arial" w:cs="Arial" w:eastAsia="Arial" w:hAnsi="Arial"/>
          <w:sz w:val="19"/>
          <w:szCs w:val="19"/>
          <w:color w:val="auto"/>
        </w:rPr>
        <w:t>” means the FAL Master Agreement, the FFL Master Agreement and the FPL Master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Agreements</w:t>
      </w:r>
      <w:r>
        <w:rPr>
          <w:rFonts w:ascii="Arial" w:cs="Arial" w:eastAsia="Arial" w:hAnsi="Arial"/>
          <w:sz w:val="22"/>
          <w:szCs w:val="22"/>
          <w:color w:val="auto"/>
        </w:rPr>
        <w:t>” means the FAL Operating Agreement, the FFL Operating Agreement and the FFL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20" w:firstLine="8"/>
        <w:spacing w:after="0" w:line="275" w:lineRule="auto"/>
        <w:tabs>
          <w:tab w:leader="none" w:pos="36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242" w:name="page243"/>
    <w:bookmarkEnd w:id="242"/>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Pangea Financing Arrangement</w:t>
      </w:r>
      <w:r>
        <w:rPr>
          <w:rFonts w:ascii="Arial" w:cs="Arial" w:eastAsia="Arial" w:hAnsi="Arial"/>
          <w:sz w:val="22"/>
          <w:szCs w:val="22"/>
          <w:color w:val="auto"/>
        </w:rPr>
        <w:t>” means any Contract entered into or proposed to be entered into by TMC, Bain Capital or any of their respective Affiliates for the purpose of financing the TMC Sale or for the operations or activities of TMC and its Subsidiaries, in each case, at the closing of the TMC Sale.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Pangea Shareholders Agreement</w:t>
      </w:r>
      <w:r>
        <w:rPr>
          <w:rFonts w:ascii="Arial" w:cs="Arial" w:eastAsia="Arial" w:hAnsi="Arial"/>
          <w:sz w:val="22"/>
          <w:szCs w:val="22"/>
          <w:color w:val="auto"/>
        </w:rPr>
        <w:t>” means the shareholders agreement to be executed by and among BCPE Cayman 1, BCPE Cayman 2, TSB and Hoya in connection with the proposed acquisition by Pangea of TMC.</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or entity, including any private or public real estate operating company or real estate investment trust, exempted company, exempted limited partnership, private limited company, corporation, partnership, limited partnership, limited liability company, trust, charitable trust or other legal entity, wherever organized, or any unincorporated association or Governmental Authority.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Proceedings</w:t>
      </w:r>
      <w:r>
        <w:rPr>
          <w:rFonts w:ascii="Arial" w:cs="Arial" w:eastAsia="Arial" w:hAnsi="Arial"/>
          <w:sz w:val="22"/>
          <w:szCs w:val="22"/>
          <w:color w:val="auto"/>
        </w:rPr>
        <w:t xml:space="preserve">” means the litigation and arbitration proceedings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the TSB and TMC Settlement Agreement, as well as any motion for a temporary restraining order, preliminary injunction, or other form of injunctive relief, pending or existing, between or among any of the parties to the cases identified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the TSB and TMC Settlement Agreement.</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Exchange</w:t>
      </w:r>
      <w:r>
        <w:rPr>
          <w:rFonts w:ascii="Arial" w:cs="Arial" w:eastAsia="Arial" w:hAnsi="Arial"/>
          <w:sz w:val="22"/>
          <w:szCs w:val="22"/>
          <w:color w:val="auto"/>
        </w:rPr>
        <w:t>” means any of the internationally recognized stock exchanges based in Tokyo, New York, London, Hong Kong or Singapore.</w:t>
      </w:r>
    </w:p>
    <w:p>
      <w:pPr>
        <w:spacing w:after="0" w:line="17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the period beginning on the date hereof and ending on the earlier to occur of (A) (i) with respect to ****, the third (3</w:t>
      </w:r>
      <w:r>
        <w:rPr>
          <w:rFonts w:ascii="Arial" w:cs="Arial" w:eastAsia="Arial" w:hAnsi="Arial"/>
          <w:sz w:val="28"/>
          <w:szCs w:val="28"/>
          <w:color w:val="auto"/>
          <w:vertAlign w:val="superscript"/>
        </w:rPr>
        <w:t>rd</w:t>
      </w:r>
      <w:r>
        <w:rPr>
          <w:rFonts w:ascii="Arial" w:cs="Arial" w:eastAsia="Arial" w:hAnsi="Arial"/>
          <w:sz w:val="22"/>
          <w:szCs w:val="22"/>
          <w:color w:val="auto"/>
        </w:rPr>
        <w:t>) anniversary of the closing of the Bain Transaction, (ii) with respect to ****, **** of the closing of the Bain Transaction and (iii) with respect to ****, the third (3</w:t>
      </w:r>
      <w:r>
        <w:rPr>
          <w:rFonts w:ascii="Arial" w:cs="Arial" w:eastAsia="Arial" w:hAnsi="Arial"/>
          <w:sz w:val="28"/>
          <w:szCs w:val="28"/>
          <w:color w:val="auto"/>
          <w:vertAlign w:val="superscript"/>
        </w:rPr>
        <w:t>rd</w:t>
      </w:r>
      <w:r>
        <w:rPr>
          <w:rFonts w:ascii="Arial" w:cs="Arial" w:eastAsia="Arial" w:hAnsi="Arial"/>
          <w:sz w:val="22"/>
          <w:szCs w:val="22"/>
          <w:color w:val="auto"/>
        </w:rPr>
        <w:t>) anniversary of the closing of the Bain Transaction, and (B) **** of the date hereof.</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SK</w:t>
      </w:r>
      <w:r>
        <w:rPr>
          <w:rFonts w:ascii="Arial" w:cs="Arial" w:eastAsia="Arial" w:hAnsi="Arial"/>
          <w:sz w:val="22"/>
          <w:szCs w:val="22"/>
          <w:color w:val="auto"/>
        </w:rPr>
        <w:t>” means SK hynix, Inc. and its Affiliates;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Bain Transaction</w:t>
      </w:r>
      <w:r>
        <w:rPr>
          <w:rFonts w:ascii="Arial" w:cs="Arial" w:eastAsia="Arial" w:hAnsi="Arial"/>
          <w:sz w:val="21"/>
          <w:szCs w:val="21"/>
          <w:color w:val="auto"/>
        </w:rPr>
        <w:t>” means, other than the TMC Sale, any acquisition (whether by merger, consolidation or otherwise) of any Equity Interests or voting rights in TMC or any of its Subsidiaries (including any Person that directly or indirectly holds or owns JV Rights), or an acquisition of substantially all or a material portion of the assets of TMC or its Subsidiaries, by Bain Capital, any of its Affiliates or any group or consortium that includes Bain Capital as a member.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any Person means any other Person:</w:t>
      </w:r>
    </w:p>
    <w:p>
      <w:pPr>
        <w:spacing w:after="0" w:line="220" w:lineRule="exact"/>
        <w:rPr>
          <w:sz w:val="20"/>
          <w:szCs w:val="20"/>
          <w:color w:val="auto"/>
        </w:rPr>
      </w:pPr>
    </w:p>
    <w:p>
      <w:pPr>
        <w:ind w:left="1300" w:firstLine="5"/>
        <w:spacing w:after="0" w:line="263" w:lineRule="auto"/>
        <w:tabs>
          <w:tab w:leader="none" w:pos="1598" w:val="left"/>
        </w:tabs>
        <w:numPr>
          <w:ilvl w:val="1"/>
          <w:numId w:val="296"/>
        </w:numPr>
        <w:rPr>
          <w:rFonts w:ascii="Arial" w:cs="Arial" w:eastAsia="Arial" w:hAnsi="Arial"/>
          <w:sz w:val="22"/>
          <w:szCs w:val="22"/>
          <w:color w:val="auto"/>
        </w:rPr>
      </w:pPr>
      <w:r>
        <w:rPr>
          <w:rFonts w:ascii="Arial" w:cs="Arial" w:eastAsia="Arial" w:hAnsi="Arial"/>
          <w:sz w:val="22"/>
          <w:szCs w:val="22"/>
          <w:color w:val="auto"/>
        </w:rPr>
        <w:t>more than 50% of whose outstanding shares or securities (representing the right to vote for the election of directors or other managing authority) are,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right="120" w:firstLine="8"/>
        <w:spacing w:after="0" w:line="275" w:lineRule="auto"/>
        <w:tabs>
          <w:tab w:leader="none" w:pos="36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3" w:name="page244"/>
    <w:bookmarkEnd w:id="243"/>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jc w:val="both"/>
        <w:ind w:left="1300" w:firstLine="5"/>
        <w:spacing w:after="0" w:line="289" w:lineRule="auto"/>
        <w:tabs>
          <w:tab w:leader="none" w:pos="165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which does not have outstanding shares or securities (as may be the case in a partnership, joint venture or unincorporated association), but more than 50% of whose ownership interest representing the right to make decisions (equivalent to those generally reserved for the board of directors of a corporation) for such other Person is, now or hereafter owned or Controlled, directly or indirectly, by such Person, but such other Person shall be deemed to be a Subsidiary only so long as such ownership or Control exists;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Subsidiary, when used in relation to a Party or any of its Affiliates, shall not include any JV or any of the JVs’ Subsidiaries or any new joint venture entity (or any Subsidiary of any such new joint venture entity) created as a result of a new agreement between WD or any of its Subsidiaries, on one side and TMC or any of its Subsidiaries, on the other side, relating to the Collaboration (as defined in the Undertaking).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Group</w:t>
      </w:r>
      <w:r>
        <w:rPr>
          <w:rFonts w:ascii="Arial" w:cs="Arial" w:eastAsia="Arial" w:hAnsi="Arial"/>
          <w:sz w:val="22"/>
          <w:szCs w:val="22"/>
          <w:color w:val="auto"/>
        </w:rPr>
        <w:t>” means TMC, Bain Capital and all of their respective Affiliates.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TMC Merger</w:t>
      </w:r>
      <w:r>
        <w:rPr>
          <w:rFonts w:ascii="Arial" w:cs="Arial" w:eastAsia="Arial" w:hAnsi="Arial"/>
          <w:sz w:val="22"/>
          <w:szCs w:val="22"/>
          <w:color w:val="auto"/>
        </w:rPr>
        <w:t>” means any merger of Pangea and TMC following consummation of the TMC Sale.</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TMC Transfer</w:t>
      </w:r>
      <w:r>
        <w:rPr>
          <w:rFonts w:ascii="Arial" w:cs="Arial" w:eastAsia="Arial" w:hAnsi="Arial"/>
          <w:sz w:val="19"/>
          <w:szCs w:val="19"/>
          <w:color w:val="auto"/>
        </w:rPr>
        <w:t>” means that certain transaction occurring on or about April 1, 2017, in which TSB transferred substantially all of the assets, rights and obligations of its memory business (the “</w:t>
      </w:r>
      <w:r>
        <w:rPr>
          <w:rFonts w:ascii="Arial" w:cs="Arial" w:eastAsia="Arial" w:hAnsi="Arial"/>
          <w:sz w:val="19"/>
          <w:szCs w:val="19"/>
          <w:u w:val="single" w:color="auto"/>
          <w:color w:val="auto"/>
        </w:rPr>
        <w:t>Memory Business</w:t>
      </w:r>
      <w:r>
        <w:rPr>
          <w:rFonts w:ascii="Arial" w:cs="Arial" w:eastAsia="Arial" w:hAnsi="Arial"/>
          <w:sz w:val="19"/>
          <w:szCs w:val="19"/>
          <w:color w:val="auto"/>
        </w:rPr>
        <w:t>”), and its JV Shares to TMC.</w:t>
      </w:r>
    </w:p>
    <w:p>
      <w:pPr>
        <w:spacing w:after="0" w:line="1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any transfer, distribution in kind, sale, assignment, conveyance, creation of any Lien, or other disposal or delivery, including by dividend, distribution, merger, business combination, split-off, spin-off, consolidation or otherwise, whether made directly or indirectly, voluntarily or involuntarily, absolutely or conditionally, or by operation of law or otherwise.</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means a transferee of Equity Interests in any Investment Vehicle, TMC, Pangea, any entity Controlling TMC or Pangea or any Subsidiary thereof, whether pursuant to an issuance, Transfer or otherwise.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TSB Transfer</w:t>
      </w:r>
      <w:r>
        <w:rPr>
          <w:rFonts w:ascii="Arial" w:cs="Arial" w:eastAsia="Arial" w:hAnsi="Arial"/>
          <w:sz w:val="22"/>
          <w:szCs w:val="22"/>
          <w:color w:val="auto"/>
        </w:rPr>
        <w:t>” means that certain transaction occurring on or about June 3, 2017 in which TMC transferred the JV Shares which it had acquired via the TMC Transfer back to TSB.</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Competitor CoC</w:t>
      </w:r>
      <w:r>
        <w:rPr>
          <w:rFonts w:ascii="Arial" w:cs="Arial" w:eastAsia="Arial" w:hAnsi="Arial"/>
          <w:sz w:val="22"/>
          <w:szCs w:val="22"/>
          <w:color w:val="auto"/>
        </w:rPr>
        <w:t>” means a Change of Control of WD or any WD Memory Business Owner that results in WD or such WD Memory Business Owner being Controlled by a Competitor (other than WD).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WD Memory Business Owner</w:t>
      </w:r>
      <w:r>
        <w:rPr>
          <w:rFonts w:ascii="Arial" w:cs="Arial" w:eastAsia="Arial" w:hAnsi="Arial"/>
          <w:sz w:val="22"/>
          <w:szCs w:val="22"/>
          <w:color w:val="auto"/>
        </w:rPr>
        <w:t>” means a Memory Business Owner (as defined in the TSB and TMC Settlement Agreement) that is, immediately prior to a Change of Control of such Memory Business Owner, Controlled by WD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firstLine="8"/>
        <w:spacing w:after="0" w:line="275" w:lineRule="auto"/>
        <w:tabs>
          <w:tab w:leader="none" w:pos="36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44" w:name="page245"/>
    <w:bookmarkEnd w:id="244"/>
    <w:p>
      <w:pPr>
        <w:jc w:val="right"/>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85"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1"/>
          <w:szCs w:val="21"/>
          <w:color w:val="auto"/>
        </w:rPr>
        <w:t>CERTAIN DEFINITIONS</w:t>
      </w:r>
    </w:p>
    <w:p>
      <w:pPr>
        <w:spacing w:after="0" w:line="2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PROCEEDINGS</w:t>
      </w:r>
    </w:p>
    <w:p>
      <w:pPr>
        <w:spacing w:after="0" w:line="17"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SCHEDULE 1.1</w:t>
      </w:r>
      <w:r>
        <w:rPr>
          <w:sz w:val="20"/>
          <w:szCs w:val="20"/>
          <w:color w:val="auto"/>
        </w:rPr>
        <w:tab/>
      </w:r>
      <w:r>
        <w:rPr>
          <w:rFonts w:ascii="Arial" w:cs="Arial" w:eastAsia="Arial" w:hAnsi="Arial"/>
          <w:sz w:val="19"/>
          <w:szCs w:val="19"/>
          <w:color w:val="auto"/>
        </w:rPr>
        <w:t>CORRESPONDENCE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8"/>
        <w:spacing w:after="0" w:line="275" w:lineRule="auto"/>
        <w:tabs>
          <w:tab w:leader="none" w:pos="36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Indicates that 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6"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6"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Fiscal Year</w:t>
      </w:r>
    </w:p>
    <w:tbl>
      <w:tblPr>
        <w:tblLayout w:type="fixed"/>
        <w:tblInd w:w="0" w:type="dxa"/>
        <w:tblCellMar>
          <w:top w:w="0" w:type="dxa"/>
          <w:left w:w="0" w:type="dxa"/>
          <w:bottom w:w="0" w:type="dxa"/>
          <w:right w:w="0" w:type="dxa"/>
        </w:tblCellMar>
      </w:tblPr>
      <w:tr>
        <w:trPr>
          <w:trHeight w:val="47"/>
        </w:trPr>
        <w:tc>
          <w:tcPr>
            <w:tcW w:w="1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gridSpan w:val="2"/>
            <w:vMerge w:val="restart"/>
          </w:tcPr>
          <w:p>
            <w:pPr>
              <w:jc w:val="right"/>
              <w:ind w:right="10"/>
              <w:spacing w:after="0" w:line="133" w:lineRule="exact"/>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29, 2017</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Undistributed equity in income from</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w w:val="99"/>
              </w:rPr>
              <w:t>Interest relating to lease guarantee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Estimated interest portion of operating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lease expense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326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17.3x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23.9x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1.9x</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300"/>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3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2018</w:t>
      </w:r>
    </w:p>
    <w:p>
      <w:pPr>
        <w:sectPr>
          <w:pgSz w:w="11900" w:h="16838" w:orient="portrait"/>
          <w:cols w:equalWidth="0" w:num="1">
            <w:col w:w="11420"/>
          </w:cols>
          <w:pgMar w:left="240" w:top="580"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2018</w:t>
      </w:r>
    </w:p>
    <w:p>
      <w:pPr>
        <w:sectPr>
          <w:pgSz w:w="11900" w:h="16838" w:orient="portrait"/>
          <w:cols w:equalWidth="0" w:num="1">
            <w:col w:w="11420"/>
          </w:cols>
          <w:pgMar w:left="240" w:top="581" w:right="239" w:bottom="1440" w:gutter="0" w:footer="0" w:header="0"/>
        </w:sectPr>
      </w:pPr>
    </w:p>
    <w:bookmarkStart w:id="248" w:name="page249"/>
    <w:bookmarkEnd w:id="24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23" w:lineRule="exact"/>
        <w:tabs>
          <w:tab w:leader="none" w:pos="53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December 29, 2017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2018</w:t>
      </w:r>
    </w:p>
    <w:p>
      <w:pPr>
        <w:sectPr>
          <w:pgSz w:w="11900" w:h="16838" w:orient="portrait"/>
          <w:cols w:equalWidth="0" w:num="1">
            <w:col w:w="11420"/>
          </w:cols>
          <w:pgMar w:left="240" w:top="580" w:right="239" w:bottom="1440" w:gutter="0" w:footer="0" w:header="0"/>
        </w:sectPr>
      </w:pPr>
    </w:p>
    <w:bookmarkStart w:id="249" w:name="page250"/>
    <w:bookmarkEnd w:id="24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23" w:lineRule="exact"/>
        <w:tabs>
          <w:tab w:leader="none" w:pos="53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December 29, 2017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2018</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o"/>
      <w:numFmt w:val="bullet"/>
      <w:start w:val="1"/>
    </w:lvl>
  </w:abstractNum>
  <w:abstractNum w:abstractNumId="2">
    <w:nsid w:val="14D53685"/>
    <w:multiLevelType w:val="hybridMultilevel"/>
    <w:lvl w:ilvl="0">
      <w:lvlJc w:val="left"/>
      <w:lvlText w:val="•"/>
      <w:numFmt w:val="bullet"/>
      <w:start w:val="1"/>
    </w:lvl>
  </w:abstractNum>
  <w:abstractNum w:abstractNumId="3">
    <w:nsid w:val="230F856C"/>
    <w:multiLevelType w:val="hybridMultilevel"/>
    <w:lvl w:ilvl="0">
      <w:lvlJc w:val="left"/>
      <w:lvlText w:val="(%1)"/>
      <w:numFmt w:val="decimal"/>
      <w:start w:val="1"/>
    </w:lvl>
  </w:abstractNum>
  <w:abstractNum w:abstractNumId="4">
    <w:nsid w:val="6EAA85FB"/>
    <w:multiLevelType w:val="hybridMultilevel"/>
    <w:lvl w:ilvl="0">
      <w:lvlJc w:val="left"/>
      <w:lvlText w:val="(%1)"/>
      <w:numFmt w:val="decimal"/>
      <w:start w:val="1"/>
    </w:lvl>
  </w:abstractNum>
  <w:abstractNum w:abstractNumId="5">
    <w:nsid w:val="3F06ECB2"/>
    <w:multiLevelType w:val="hybridMultilevel"/>
    <w:lvl w:ilvl="0">
      <w:lvlJc w:val="left"/>
      <w:lvlText w:val="(%1)"/>
      <w:numFmt w:val="decimal"/>
      <w:start w:val="1"/>
    </w:lvl>
  </w:abstractNum>
  <w:abstractNum w:abstractNumId="6">
    <w:nsid w:val="3B594807"/>
    <w:multiLevelType w:val="hybridMultilevel"/>
    <w:lvl w:ilvl="0">
      <w:lvlJc w:val="left"/>
      <w:lvlText w:val="(%1)"/>
      <w:numFmt w:val="decimal"/>
      <w:start w:val="1"/>
    </w:lvl>
  </w:abstractNum>
  <w:abstractNum w:abstractNumId="7">
    <w:nsid w:val="6CAA2304"/>
    <w:multiLevelType w:val="hybridMultilevel"/>
    <w:lvl w:ilvl="0">
      <w:lvlJc w:val="left"/>
      <w:lvlText w:val="(%1)"/>
      <w:numFmt w:val="lowerRoman"/>
      <w:start w:val="4"/>
    </w:lvl>
  </w:abstractNum>
  <w:abstractNum w:abstractNumId="8">
    <w:nsid w:val="3F7C2FF4"/>
    <w:multiLevelType w:val="hybridMultilevel"/>
    <w:lvl w:ilvl="0">
      <w:lvlJc w:val="left"/>
      <w:lvlText w:val="(%1)"/>
      <w:numFmt w:val="lowerRoman"/>
      <w:start w:val="6"/>
    </w:lvl>
  </w:abstractNum>
  <w:abstractNum w:abstractNumId="9">
    <w:nsid w:val="25413BEC"/>
    <w:multiLevelType w:val="hybridMultilevel"/>
    <w:lvl w:ilvl="0">
      <w:lvlJc w:val="left"/>
      <w:lvlText w:val="•"/>
      <w:numFmt w:val="bullet"/>
      <w:start w:val="1"/>
    </w:lvl>
  </w:abstractNum>
  <w:abstractNum w:abstractNumId="10">
    <w:nsid w:val="17180B0B"/>
    <w:multiLevelType w:val="hybridMultilevel"/>
    <w:lvl w:ilvl="0">
      <w:lvlJc w:val="left"/>
      <w:lvlText w:val="(%1)"/>
      <w:numFmt w:val="decimal"/>
      <w:start w:val="1"/>
    </w:lvl>
  </w:abstractNum>
  <w:abstractNum w:abstractNumId="11">
    <w:nsid w:val="579328B9"/>
    <w:multiLevelType w:val="hybridMultilevel"/>
    <w:lvl w:ilvl="0">
      <w:lvlJc w:val="left"/>
      <w:lvlText w:val="(%1)"/>
      <w:numFmt w:val="decimal"/>
      <w:start w:val="1"/>
    </w:lvl>
  </w:abstractNum>
  <w:abstractNum w:abstractNumId="12">
    <w:nsid w:val="5D205E20"/>
    <w:multiLevelType w:val="hybridMultilevel"/>
    <w:lvl w:ilvl="0">
      <w:lvlJc w:val="left"/>
      <w:lvlText w:val="(%1)"/>
      <w:numFmt w:val="decimal"/>
      <w:start w:val="1"/>
    </w:lvl>
  </w:abstractNum>
  <w:abstractNum w:abstractNumId="13">
    <w:nsid w:val="11CCA8BA"/>
    <w:multiLevelType w:val="hybridMultilevel"/>
    <w:lvl w:ilvl="0">
      <w:lvlJc w:val="left"/>
      <w:lvlText w:val="(%1)"/>
      <w:numFmt w:val="decimal"/>
      <w:start w:val="1"/>
    </w:lvl>
  </w:abstractNum>
  <w:abstractNum w:abstractNumId="14">
    <w:nsid w:val="4D32AB86"/>
    <w:multiLevelType w:val="hybridMultilevel"/>
    <w:lvl w:ilvl="0">
      <w:lvlJc w:val="left"/>
      <w:lvlText w:val="•"/>
      <w:numFmt w:val="bullet"/>
      <w:start w:val="1"/>
    </w:lvl>
  </w:abstractNum>
  <w:abstractNum w:abstractNumId="15">
    <w:nsid w:val="3F07ACC3"/>
    <w:multiLevelType w:val="hybridMultilevel"/>
    <w:lvl w:ilvl="0">
      <w:lvlJc w:val="left"/>
      <w:lvlText w:val="(%1)"/>
      <w:numFmt w:val="decimal"/>
      <w:start w:val="1"/>
    </w:lvl>
  </w:abstractNum>
  <w:abstractNum w:abstractNumId="16">
    <w:nsid w:val="6B47F63E"/>
    <w:multiLevelType w:val="hybridMultilevel"/>
    <w:lvl w:ilvl="0">
      <w:lvlJc w:val="left"/>
      <w:lvlText w:val="•"/>
      <w:numFmt w:val="bullet"/>
      <w:start w:val="1"/>
    </w:lvl>
  </w:abstractNum>
  <w:abstractNum w:abstractNumId="17">
    <w:nsid w:val="5CB44A05"/>
    <w:multiLevelType w:val="hybridMultilevel"/>
    <w:lvl w:ilvl="0">
      <w:lvlJc w:val="left"/>
      <w:lvlText w:val="•"/>
      <w:numFmt w:val="bullet"/>
      <w:start w:val="1"/>
    </w:lvl>
  </w:abstractNum>
  <w:abstractNum w:abstractNumId="18">
    <w:nsid w:val="16CF80F1"/>
    <w:multiLevelType w:val="hybridMultilevel"/>
    <w:lvl w:ilvl="0">
      <w:lvlJc w:val="left"/>
      <w:lvlText w:val="•"/>
      <w:numFmt w:val="bullet"/>
      <w:start w:val="1"/>
    </w:lvl>
  </w:abstractNum>
  <w:abstractNum w:abstractNumId="19">
    <w:nsid w:val="1C695DEC"/>
    <w:multiLevelType w:val="hybridMultilevel"/>
    <w:lvl w:ilvl="0">
      <w:lvlJc w:val="left"/>
      <w:lvlText w:val="•"/>
      <w:numFmt w:val="bullet"/>
      <w:start w:val="1"/>
    </w:lvl>
  </w:abstractNum>
  <w:abstractNum w:abstractNumId="20">
    <w:nsid w:val="3FCFAED9"/>
    <w:multiLevelType w:val="hybridMultilevel"/>
    <w:lvl w:ilvl="0">
      <w:lvlJc w:val="left"/>
      <w:lvlText w:val="•"/>
      <w:numFmt w:val="bullet"/>
      <w:start w:val="1"/>
    </w:lvl>
  </w:abstractNum>
  <w:abstractNum w:abstractNumId="21">
    <w:nsid w:val="F856867"/>
    <w:multiLevelType w:val="hybridMultilevel"/>
    <w:lvl w:ilvl="0">
      <w:lvlJc w:val="left"/>
      <w:lvlText w:val="•"/>
      <w:numFmt w:val="bullet"/>
      <w:start w:val="1"/>
    </w:lvl>
  </w:abstractNum>
  <w:abstractNum w:abstractNumId="22">
    <w:nsid w:val="11B1CC33"/>
    <w:multiLevelType w:val="hybridMultilevel"/>
    <w:lvl w:ilvl="0">
      <w:lvlJc w:val="left"/>
      <w:lvlText w:val="•"/>
      <w:numFmt w:val="bullet"/>
      <w:start w:val="1"/>
    </w:lvl>
  </w:abstractNum>
  <w:abstractNum w:abstractNumId="23">
    <w:nsid w:val="2E22FBB7"/>
    <w:multiLevelType w:val="hybridMultilevel"/>
    <w:lvl w:ilvl="0">
      <w:lvlJc w:val="left"/>
      <w:lvlText w:val="•"/>
      <w:numFmt w:val="bullet"/>
      <w:start w:val="1"/>
    </w:lvl>
  </w:abstractNum>
  <w:abstractNum w:abstractNumId="24">
    <w:nsid w:val="29934699"/>
    <w:multiLevelType w:val="hybridMultilevel"/>
    <w:lvl w:ilvl="0">
      <w:lvlJc w:val="left"/>
      <w:lvlText w:val="•"/>
      <w:numFmt w:val="bullet"/>
      <w:start w:val="1"/>
    </w:lvl>
  </w:abstractNum>
  <w:abstractNum w:abstractNumId="25">
    <w:nsid w:val="77485850"/>
    <w:multiLevelType w:val="hybridMultilevel"/>
    <w:lvl w:ilvl="0">
      <w:lvlJc w:val="left"/>
      <w:lvlText w:val="•"/>
      <w:numFmt w:val="bullet"/>
      <w:start w:val="1"/>
    </w:lvl>
  </w:abstractNum>
  <w:abstractNum w:abstractNumId="26">
    <w:nsid w:val="744939A3"/>
    <w:multiLevelType w:val="hybridMultilevel"/>
    <w:lvl w:ilvl="0">
      <w:lvlJc w:val="left"/>
      <w:lvlText w:val="•"/>
      <w:numFmt w:val="bullet"/>
      <w:start w:val="1"/>
    </w:lvl>
  </w:abstractNum>
  <w:abstractNum w:abstractNumId="27">
    <w:nsid w:val="4FA0D2E3"/>
    <w:multiLevelType w:val="hybridMultilevel"/>
    <w:lvl w:ilvl="0">
      <w:lvlJc w:val="left"/>
      <w:lvlText w:val="•"/>
      <w:numFmt w:val="bullet"/>
      <w:start w:val="1"/>
    </w:lvl>
  </w:abstractNum>
  <w:abstractNum w:abstractNumId="28">
    <w:nsid w:val="6B1D2C14"/>
    <w:multiLevelType w:val="hybridMultilevel"/>
    <w:lvl w:ilvl="0">
      <w:lvlJc w:val="left"/>
      <w:lvlText w:val="•"/>
      <w:numFmt w:val="bullet"/>
      <w:start w:val="1"/>
    </w:lvl>
  </w:abstractNum>
  <w:abstractNum w:abstractNumId="29">
    <w:nsid w:val="68B867D3"/>
    <w:multiLevelType w:val="hybridMultilevel"/>
    <w:lvl w:ilvl="0">
      <w:lvlJc w:val="left"/>
      <w:lvlText w:val="•"/>
      <w:numFmt w:val="bullet"/>
      <w:start w:val="1"/>
    </w:lvl>
  </w:abstractNum>
  <w:abstractNum w:abstractNumId="30">
    <w:nsid w:val="3F7F5DD9"/>
    <w:multiLevelType w:val="hybridMultilevel"/>
    <w:lvl w:ilvl="0">
      <w:lvlJc w:val="left"/>
      <w:lvlText w:val="•"/>
      <w:numFmt w:val="bullet"/>
      <w:start w:val="1"/>
    </w:lvl>
  </w:abstractNum>
  <w:abstractNum w:abstractNumId="31">
    <w:nsid w:val="2AE05A34"/>
    <w:multiLevelType w:val="hybridMultilevel"/>
    <w:lvl w:ilvl="0">
      <w:lvlJc w:val="left"/>
      <w:lvlText w:val="(%1)"/>
      <w:numFmt w:val="lowerRoman"/>
      <w:start w:val="2"/>
    </w:lvl>
  </w:abstractNum>
  <w:abstractNum w:abstractNumId="32">
    <w:nsid w:val="32794FF7"/>
    <w:multiLevelType w:val="hybridMultilevel"/>
    <w:lvl w:ilvl="0">
      <w:lvlJc w:val="left"/>
      <w:lvlText w:val="(%1)"/>
      <w:numFmt w:val="lowerRoman"/>
      <w:start w:val="4"/>
    </w:lvl>
  </w:abstractNum>
  <w:abstractNum w:abstractNumId="33">
    <w:nsid w:val="5454945E"/>
    <w:multiLevelType w:val="hybridMultilevel"/>
    <w:lvl w:ilvl="0">
      <w:lvlJc w:val="left"/>
      <w:lvlText w:val="†"/>
      <w:numFmt w:val="bullet"/>
      <w:start w:val="1"/>
    </w:lvl>
  </w:abstractNum>
  <w:abstractNum w:abstractNumId="34">
    <w:nsid w:val="4DEFDFA0"/>
    <w:multiLevelType w:val="hybridMultilevel"/>
    <w:lvl w:ilvl="0">
      <w:lvlJc w:val="left"/>
      <w:lvlText w:val="*"/>
      <w:numFmt w:val="bullet"/>
      <w:start w:val="1"/>
    </w:lvl>
  </w:abstractNum>
  <w:abstractNum w:abstractNumId="35">
    <w:nsid w:val="2123D5F2"/>
    <w:multiLevelType w:val="hybridMultilevel"/>
    <w:lvl w:ilvl="0">
      <w:lvlJc w:val="left"/>
      <w:lvlText w:val="±"/>
      <w:numFmt w:val="bullet"/>
      <w:start w:val="1"/>
    </w:lvl>
  </w:abstractNum>
  <w:abstractNum w:abstractNumId="36">
    <w:nsid w:val="135B8110"/>
    <w:multiLevelType w:val="hybridMultilevel"/>
    <w:lvl w:ilvl="0">
      <w:lvlJc w:val="left"/>
      <w:lvlText w:val="#"/>
      <w:numFmt w:val="bullet"/>
      <w:start w:val="1"/>
    </w:lvl>
  </w:abstractNum>
  <w:abstractNum w:abstractNumId="37">
    <w:nsid w:val="94927A8"/>
    <w:multiLevelType w:val="hybridMultilevel"/>
    <w:lvl w:ilvl="0">
      <w:lvlJc w:val="left"/>
      <w:lvlText w:val="%1."/>
      <w:numFmt w:val="decimal"/>
      <w:start w:val="1"/>
    </w:lvl>
  </w:abstractNum>
  <w:abstractNum w:abstractNumId="38">
    <w:nsid w:val="DCDF8F6"/>
    <w:multiLevelType w:val="hybridMultilevel"/>
    <w:lvl w:ilvl="0">
      <w:lvlJc w:val="left"/>
      <w:lvlText w:val="%1."/>
      <w:numFmt w:val="decimal"/>
      <w:start w:val="1"/>
    </w:lvl>
  </w:abstractNum>
  <w:abstractNum w:abstractNumId="39">
    <w:nsid w:val="52D7B105"/>
    <w:multiLevelType w:val="hybridMultilevel"/>
    <w:lvl w:ilvl="0">
      <w:lvlJc w:val="left"/>
      <w:lvlText w:val="%1."/>
      <w:numFmt w:val="decimal"/>
      <w:start w:val="2"/>
    </w:lvl>
  </w:abstractNum>
  <w:abstractNum w:abstractNumId="40">
    <w:nsid w:val="2E8A6394"/>
    <w:multiLevelType w:val="hybridMultilevel"/>
    <w:lvl w:ilvl="0">
      <w:lvlJc w:val="left"/>
      <w:lvlText w:val="%1."/>
      <w:numFmt w:val="decimal"/>
      <w:start w:val="3"/>
    </w:lvl>
  </w:abstractNum>
  <w:abstractNum w:abstractNumId="41">
    <w:nsid w:val="24E60401"/>
    <w:multiLevelType w:val="hybridMultilevel"/>
    <w:lvl w:ilvl="0">
      <w:lvlJc w:val="left"/>
      <w:lvlText w:val="%1."/>
      <w:numFmt w:val="decimal"/>
      <w:start w:val="4"/>
    </w:lvl>
  </w:abstractNum>
  <w:abstractNum w:abstractNumId="42">
    <w:nsid w:val="2A6AD9BE"/>
    <w:multiLevelType w:val="hybridMultilevel"/>
    <w:lvl w:ilvl="0">
      <w:lvlJc w:val="left"/>
      <w:lvlText w:val="%1."/>
      <w:numFmt w:val="decimal"/>
      <w:start w:val="5"/>
    </w:lvl>
  </w:abstractNum>
  <w:abstractNum w:abstractNumId="43">
    <w:nsid w:val="BAAC1B4"/>
    <w:multiLevelType w:val="hybridMultilevel"/>
    <w:lvl w:ilvl="0">
      <w:lvlJc w:val="left"/>
      <w:lvlText w:val="%1."/>
      <w:numFmt w:val="decimal"/>
      <w:start w:val="6"/>
    </w:lvl>
  </w:abstractNum>
  <w:abstractNum w:abstractNumId="44">
    <w:nsid w:val="36B2ACBC"/>
    <w:multiLevelType w:val="hybridMultilevel"/>
    <w:lvl w:ilvl="0">
      <w:lvlJc w:val="left"/>
      <w:lvlText w:val="%1."/>
      <w:numFmt w:val="decimal"/>
      <w:start w:val="7"/>
    </w:lvl>
  </w:abstractNum>
  <w:abstractNum w:abstractNumId="45">
    <w:nsid w:val="779D8544"/>
    <w:multiLevelType w:val="hybridMultilevel"/>
    <w:lvl w:ilvl="0">
      <w:lvlJc w:val="left"/>
      <w:lvlText w:val="(%1)"/>
      <w:numFmt w:val="lowerLetter"/>
      <w:start w:val="1"/>
    </w:lvl>
  </w:abstractNum>
  <w:abstractNum w:abstractNumId="46">
    <w:nsid w:val="4AB26E78"/>
    <w:multiLevelType w:val="hybridMultilevel"/>
    <w:lvl w:ilvl="0">
      <w:lvlJc w:val="left"/>
      <w:lvlText w:val="(%1)"/>
      <w:numFmt w:val="lowerLetter"/>
      <w:start w:val="3"/>
    </w:lvl>
  </w:abstractNum>
  <w:abstractNum w:abstractNumId="47">
    <w:nsid w:val="21FAA2FA"/>
    <w:multiLevelType w:val="hybridMultilevel"/>
    <w:lvl w:ilvl="0">
      <w:lvlJc w:val="left"/>
      <w:lvlText w:val="(%1)"/>
      <w:numFmt w:val="lowerRoman"/>
      <w:start w:val="1"/>
    </w:lvl>
  </w:abstractNum>
  <w:abstractNum w:abstractNumId="48">
    <w:nsid w:val="5451CF49"/>
    <w:multiLevelType w:val="hybridMultilevel"/>
    <w:lvl w:ilvl="0">
      <w:lvlJc w:val="left"/>
      <w:lvlText w:val="(%1)"/>
      <w:numFmt w:val="upperLetter"/>
      <w:start w:val="1"/>
    </w:lvl>
  </w:abstractNum>
  <w:abstractNum w:abstractNumId="49">
    <w:nsid w:val="6181EF69"/>
    <w:multiLevelType w:val="hybridMultilevel"/>
    <w:lvl w:ilvl="0">
      <w:lvlJc w:val="left"/>
      <w:lvlText w:val="%1"/>
      <w:numFmt w:val="lowerLetter"/>
      <w:start w:val="1"/>
    </w:lvl>
    <w:lvl w:ilvl="1">
      <w:lvlJc w:val="left"/>
      <w:lvlText w:val="(%2)"/>
      <w:numFmt w:val="upperLetter"/>
      <w:start w:val="3"/>
    </w:lvl>
  </w:abstractNum>
  <w:abstractNum w:abstractNumId="50">
    <w:nsid w:val="3E6400E6"/>
    <w:multiLevelType w:val="hybridMultilevel"/>
    <w:lvl w:ilvl="0">
      <w:lvlJc w:val="left"/>
      <w:lvlText w:val="(%1)"/>
      <w:numFmt w:val="lowerLetter"/>
      <w:start w:val="6"/>
    </w:lvl>
    <w:lvl w:ilvl="1">
      <w:lvlJc w:val="left"/>
      <w:lvlText w:val="%2"/>
      <w:numFmt w:val="upperLetter"/>
      <w:start w:val="1"/>
    </w:lvl>
  </w:abstractNum>
  <w:abstractNum w:abstractNumId="51">
    <w:nsid w:val="14217E23"/>
    <w:multiLevelType w:val="hybridMultilevel"/>
    <w:lvl w:ilvl="0">
      <w:lvlJc w:val="left"/>
      <w:lvlText w:val="(%1)"/>
      <w:numFmt w:val="lowerRoman"/>
      <w:start w:val="2"/>
    </w:lvl>
  </w:abstractNum>
  <w:abstractNum w:abstractNumId="52">
    <w:nsid w:val="710757D0"/>
    <w:multiLevelType w:val="hybridMultilevel"/>
    <w:lvl w:ilvl="0">
      <w:lvlJc w:val="left"/>
      <w:lvlText w:val="(%1)"/>
      <w:numFmt w:val="lowerRoman"/>
      <w:start w:val="3"/>
    </w:lvl>
  </w:abstractNum>
  <w:abstractNum w:abstractNumId="53">
    <w:nsid w:val="5015CD1A"/>
    <w:multiLevelType w:val="hybridMultilevel"/>
    <w:lvl w:ilvl="0">
      <w:lvlJc w:val="left"/>
      <w:lvlText w:val="(%1)"/>
      <w:numFmt w:val="lowerLetter"/>
      <w:start w:val="7"/>
    </w:lvl>
  </w:abstractNum>
  <w:abstractNum w:abstractNumId="54">
    <w:nsid w:val="424479DA"/>
    <w:multiLevelType w:val="hybridMultilevel"/>
    <w:lvl w:ilvl="0">
      <w:lvlJc w:val="left"/>
      <w:lvlText w:val="%1."/>
      <w:numFmt w:val="decimal"/>
      <w:start w:val="8"/>
    </w:lvl>
  </w:abstractNum>
  <w:abstractNum w:abstractNumId="55">
    <w:nsid w:val="1A9A9E69"/>
    <w:multiLevelType w:val="hybridMultilevel"/>
    <w:lvl w:ilvl="0">
      <w:lvlJc w:val="left"/>
      <w:lvlText w:val="•"/>
      <w:numFmt w:val="bullet"/>
      <w:start w:val="1"/>
    </w:lvl>
  </w:abstractNum>
  <w:abstractNum w:abstractNumId="56">
    <w:nsid w:val="475E256A"/>
    <w:multiLevelType w:val="hybridMultilevel"/>
    <w:lvl w:ilvl="0">
      <w:lvlJc w:val="left"/>
      <w:lvlText w:val="•"/>
      <w:numFmt w:val="bullet"/>
      <w:start w:val="1"/>
    </w:lvl>
  </w:abstractNum>
  <w:abstractNum w:abstractNumId="57">
    <w:nsid w:val="368DB37E"/>
    <w:multiLevelType w:val="hybridMultilevel"/>
    <w:lvl w:ilvl="0">
      <w:lvlJc w:val="left"/>
      <w:lvlText w:val="%1."/>
      <w:numFmt w:val="decimal"/>
      <w:start w:val="9"/>
    </w:lvl>
  </w:abstractNum>
  <w:abstractNum w:abstractNumId="58">
    <w:nsid w:val="6A3B714C"/>
    <w:multiLevelType w:val="hybridMultilevel"/>
    <w:lvl w:ilvl="0">
      <w:lvlJc w:val="left"/>
      <w:lvlText w:val="%1."/>
      <w:numFmt w:val="decimal"/>
      <w:start w:val="10"/>
    </w:lvl>
  </w:abstractNum>
  <w:abstractNum w:abstractNumId="59">
    <w:nsid w:val="327B517E"/>
    <w:multiLevelType w:val="hybridMultilevel"/>
    <w:lvl w:ilvl="0">
      <w:lvlJc w:val="left"/>
      <w:lvlText w:val="%1."/>
      <w:numFmt w:val="decimal"/>
      <w:start w:val="11"/>
    </w:lvl>
  </w:abstractNum>
  <w:abstractNum w:abstractNumId="60">
    <w:nsid w:val="1F461B51"/>
    <w:multiLevelType w:val="hybridMultilevel"/>
    <w:lvl w:ilvl="0">
      <w:lvlJc w:val="left"/>
      <w:lvlText w:val="%1."/>
      <w:numFmt w:val="decimal"/>
      <w:start w:val="12"/>
    </w:lvl>
  </w:abstractNum>
  <w:abstractNum w:abstractNumId="61">
    <w:nsid w:val="29BACF25"/>
    <w:multiLevelType w:val="hybridMultilevel"/>
    <w:lvl w:ilvl="0">
      <w:lvlJc w:val="left"/>
      <w:lvlText w:val="%1."/>
      <w:numFmt w:val="decimal"/>
      <w:start w:val="13"/>
    </w:lvl>
  </w:abstractNum>
  <w:abstractNum w:abstractNumId="62">
    <w:nsid w:val="5D5BABB3"/>
    <w:multiLevelType w:val="hybridMultilevel"/>
    <w:lvl w:ilvl="0">
      <w:lvlJc w:val="left"/>
      <w:lvlText w:val="%1."/>
      <w:numFmt w:val="decimal"/>
      <w:start w:val="14"/>
    </w:lvl>
  </w:abstractNum>
  <w:abstractNum w:abstractNumId="63">
    <w:nsid w:val="51BF6B48"/>
    <w:multiLevelType w:val="hybridMultilevel"/>
    <w:lvl w:ilvl="0">
      <w:lvlJc w:val="left"/>
      <w:lvlText w:val="%1."/>
      <w:numFmt w:val="decimal"/>
      <w:start w:val="15"/>
    </w:lvl>
  </w:abstractNum>
  <w:abstractNum w:abstractNumId="64">
    <w:nsid w:val="7E0F6384"/>
    <w:multiLevelType w:val="hybridMultilevel"/>
    <w:lvl w:ilvl="0">
      <w:lvlJc w:val="left"/>
      <w:lvlText w:val="%1."/>
      <w:numFmt w:val="decimal"/>
      <w:start w:val="16"/>
    </w:lvl>
  </w:abstractNum>
  <w:abstractNum w:abstractNumId="65">
    <w:nsid w:val="2B4B8B53"/>
    <w:multiLevelType w:val="hybridMultilevel"/>
    <w:lvl w:ilvl="0">
      <w:lvlJc w:val="left"/>
      <w:lvlText w:val="%1."/>
      <w:numFmt w:val="decimal"/>
      <w:start w:val="17"/>
    </w:lvl>
  </w:abstractNum>
  <w:abstractNum w:abstractNumId="66">
    <w:nsid w:val="72E3413A"/>
    <w:multiLevelType w:val="hybridMultilevel"/>
    <w:lvl w:ilvl="0">
      <w:lvlJc w:val="left"/>
      <w:lvlText w:val="%1."/>
      <w:numFmt w:val="decimal"/>
      <w:start w:val="18"/>
    </w:lvl>
  </w:abstractNum>
  <w:abstractNum w:abstractNumId="67">
    <w:nsid w:val="116AE494"/>
    <w:multiLevelType w:val="hybridMultilevel"/>
    <w:lvl w:ilvl="0">
      <w:lvlJc w:val="left"/>
      <w:lvlText w:val="%1."/>
      <w:numFmt w:val="decimal"/>
      <w:start w:val="19"/>
    </w:lvl>
  </w:abstractNum>
  <w:abstractNum w:abstractNumId="68">
    <w:nsid w:val="3494B2FB"/>
    <w:multiLevelType w:val="hybridMultilevel"/>
    <w:lvl w:ilvl="0">
      <w:lvlJc w:val="left"/>
      <w:lvlText w:val="%1."/>
      <w:numFmt w:val="decimal"/>
      <w:start w:val="1"/>
    </w:lvl>
  </w:abstractNum>
  <w:abstractNum w:abstractNumId="69">
    <w:nsid w:val="B13A31"/>
    <w:multiLevelType w:val="hybridMultilevel"/>
    <w:lvl w:ilvl="0">
      <w:lvlJc w:val="left"/>
      <w:lvlText w:val="%1."/>
      <w:numFmt w:val="decimal"/>
      <w:start w:val="1"/>
    </w:lvl>
  </w:abstractNum>
  <w:abstractNum w:abstractNumId="70">
    <w:nsid w:val="64429599"/>
    <w:multiLevelType w:val="hybridMultilevel"/>
    <w:lvl w:ilvl="0">
      <w:lvlJc w:val="left"/>
      <w:lvlText w:val="%1."/>
      <w:numFmt w:val="decimal"/>
      <w:start w:val="2"/>
    </w:lvl>
  </w:abstractNum>
  <w:abstractNum w:abstractNumId="71">
    <w:nsid w:val="631F1690"/>
    <w:multiLevelType w:val="hybridMultilevel"/>
    <w:lvl w:ilvl="0">
      <w:lvlJc w:val="left"/>
      <w:lvlText w:val="%1."/>
      <w:numFmt w:val="decimal"/>
      <w:start w:val="3"/>
    </w:lvl>
  </w:abstractNum>
  <w:abstractNum w:abstractNumId="72">
    <w:nsid w:val="25973E32"/>
    <w:multiLevelType w:val="hybridMultilevel"/>
    <w:lvl w:ilvl="0">
      <w:lvlJc w:val="left"/>
      <w:lvlText w:val="%1."/>
      <w:numFmt w:val="decimal"/>
      <w:start w:val="4"/>
    </w:lvl>
  </w:abstractNum>
  <w:abstractNum w:abstractNumId="73">
    <w:nsid w:val="EAD6F57"/>
    <w:multiLevelType w:val="hybridMultilevel"/>
    <w:lvl w:ilvl="0">
      <w:lvlJc w:val="left"/>
      <w:lvlText w:val="%1."/>
      <w:numFmt w:val="decimal"/>
      <w:start w:val="5"/>
    </w:lvl>
  </w:abstractNum>
  <w:abstractNum w:abstractNumId="74">
    <w:nsid w:val="6EC9D844"/>
    <w:multiLevelType w:val="hybridMultilevel"/>
    <w:lvl w:ilvl="0">
      <w:lvlJc w:val="left"/>
      <w:lvlText w:val="%1."/>
      <w:numFmt w:val="decimal"/>
      <w:start w:val="6"/>
    </w:lvl>
  </w:abstractNum>
  <w:abstractNum w:abstractNumId="75">
    <w:nsid w:val="5C49EAEE"/>
    <w:multiLevelType w:val="hybridMultilevel"/>
    <w:lvl w:ilvl="0">
      <w:lvlJc w:val="left"/>
      <w:lvlText w:val="%1."/>
      <w:numFmt w:val="decimal"/>
      <w:start w:val="7"/>
    </w:lvl>
  </w:abstractNum>
  <w:abstractNum w:abstractNumId="76">
    <w:nsid w:val="64AF49B"/>
    <w:multiLevelType w:val="hybridMultilevel"/>
    <w:lvl w:ilvl="0">
      <w:lvlJc w:val="left"/>
      <w:lvlText w:val="(%1)"/>
      <w:numFmt w:val="lowerLetter"/>
      <w:start w:val="1"/>
    </w:lvl>
  </w:abstractNum>
  <w:abstractNum w:abstractNumId="77">
    <w:nsid w:val="397C46BC"/>
    <w:multiLevelType w:val="hybridMultilevel"/>
    <w:lvl w:ilvl="0">
      <w:lvlJc w:val="left"/>
      <w:lvlText w:val="(%1)"/>
      <w:numFmt w:val="lowerLetter"/>
      <w:start w:val="2"/>
    </w:lvl>
  </w:abstractNum>
  <w:abstractNum w:abstractNumId="78">
    <w:nsid w:val="7E448DE9"/>
    <w:multiLevelType w:val="hybridMultilevel"/>
    <w:lvl w:ilvl="0">
      <w:lvlJc w:val="left"/>
      <w:lvlText w:val="%1"/>
      <w:numFmt w:val="lowerLetter"/>
      <w:start w:val="1"/>
    </w:lvl>
    <w:lvl w:ilvl="1">
      <w:lvlJc w:val="left"/>
      <w:lvlText w:val="(%2)"/>
      <w:numFmt w:val="lowerRoman"/>
      <w:start w:val="1"/>
    </w:lvl>
  </w:abstractNum>
  <w:abstractNum w:abstractNumId="79">
    <w:nsid w:val="5A9CC3E5"/>
    <w:multiLevelType w:val="hybridMultilevel"/>
    <w:lvl w:ilvl="0">
      <w:lvlJc w:val="left"/>
      <w:lvlText w:val="(%1)"/>
      <w:numFmt w:val="lowerLetter"/>
      <w:start w:val="6"/>
    </w:lvl>
    <w:lvl w:ilvl="1">
      <w:lvlJc w:val="left"/>
      <w:lvlText w:val="%2"/>
      <w:numFmt w:val="lowerRoman"/>
      <w:start w:val="1"/>
    </w:lvl>
  </w:abstractNum>
  <w:abstractNum w:abstractNumId="80">
    <w:nsid w:val="1AFE3625"/>
    <w:multiLevelType w:val="hybridMultilevel"/>
    <w:lvl w:ilvl="0">
      <w:lvlJc w:val="left"/>
      <w:lvlText w:val="%1."/>
      <w:numFmt w:val="decimal"/>
      <w:start w:val="8"/>
    </w:lvl>
  </w:abstractNum>
  <w:abstractNum w:abstractNumId="81">
    <w:nsid w:val="3CA88ECF"/>
    <w:multiLevelType w:val="hybridMultilevel"/>
    <w:lvl w:ilvl="0">
      <w:lvlJc w:val="left"/>
      <w:lvlText w:val="•"/>
      <w:numFmt w:val="bullet"/>
      <w:start w:val="1"/>
    </w:lvl>
  </w:abstractNum>
  <w:abstractNum w:abstractNumId="82">
    <w:nsid w:val="6EBE4208"/>
    <w:multiLevelType w:val="hybridMultilevel"/>
    <w:lvl w:ilvl="0">
      <w:lvlJc w:val="left"/>
      <w:lvlText w:val="%1."/>
      <w:numFmt w:val="decimal"/>
      <w:start w:val="9"/>
    </w:lvl>
  </w:abstractNum>
  <w:abstractNum w:abstractNumId="83">
    <w:nsid w:val="C058DF5"/>
    <w:multiLevelType w:val="hybridMultilevel"/>
    <w:lvl w:ilvl="0">
      <w:lvlJc w:val="left"/>
      <w:lvlText w:val="%1."/>
      <w:numFmt w:val="decimal"/>
      <w:start w:val="10"/>
    </w:lvl>
  </w:abstractNum>
  <w:abstractNum w:abstractNumId="84">
    <w:nsid w:val="CBE5BE9"/>
    <w:multiLevelType w:val="hybridMultilevel"/>
    <w:lvl w:ilvl="0">
      <w:lvlJc w:val="left"/>
      <w:lvlText w:val="%1."/>
      <w:numFmt w:val="decimal"/>
      <w:start w:val="11"/>
    </w:lvl>
  </w:abstractNum>
  <w:abstractNum w:abstractNumId="85">
    <w:nsid w:val="3102BBE2"/>
    <w:multiLevelType w:val="hybridMultilevel"/>
    <w:lvl w:ilvl="0">
      <w:lvlJc w:val="left"/>
      <w:lvlText w:val="%1."/>
      <w:numFmt w:val="decimal"/>
      <w:start w:val="12"/>
    </w:lvl>
  </w:abstractNum>
  <w:abstractNum w:abstractNumId="86">
    <w:nsid w:val="26A02C5E"/>
    <w:multiLevelType w:val="hybridMultilevel"/>
    <w:lvl w:ilvl="0">
      <w:lvlJc w:val="left"/>
      <w:lvlText w:val="%1."/>
      <w:numFmt w:val="decimal"/>
      <w:start w:val="13"/>
    </w:lvl>
  </w:abstractNum>
  <w:abstractNum w:abstractNumId="87">
    <w:nsid w:val="541C8153"/>
    <w:multiLevelType w:val="hybridMultilevel"/>
    <w:lvl w:ilvl="0">
      <w:lvlJc w:val="left"/>
      <w:lvlText w:val="%1."/>
      <w:numFmt w:val="decimal"/>
      <w:start w:val="14"/>
    </w:lvl>
  </w:abstractNum>
  <w:abstractNum w:abstractNumId="88">
    <w:nsid w:val="67906F60"/>
    <w:multiLevelType w:val="hybridMultilevel"/>
    <w:lvl w:ilvl="0">
      <w:lvlJc w:val="left"/>
      <w:lvlText w:val="%1."/>
      <w:numFmt w:val="decimal"/>
      <w:start w:val="15"/>
    </w:lvl>
  </w:abstractNum>
  <w:abstractNum w:abstractNumId="89">
    <w:nsid w:val="10DB9DAA"/>
    <w:multiLevelType w:val="hybridMultilevel"/>
    <w:lvl w:ilvl="0">
      <w:lvlJc w:val="left"/>
      <w:lvlText w:val="%1."/>
      <w:numFmt w:val="decimal"/>
      <w:start w:val="16"/>
    </w:lvl>
  </w:abstractNum>
  <w:abstractNum w:abstractNumId="90">
    <w:nsid w:val="697D2D2"/>
    <w:multiLevelType w:val="hybridMultilevel"/>
    <w:lvl w:ilvl="0">
      <w:lvlJc w:val="left"/>
      <w:lvlText w:val="%1."/>
      <w:numFmt w:val="decimal"/>
      <w:start w:val="17"/>
    </w:lvl>
  </w:abstractNum>
  <w:abstractNum w:abstractNumId="91">
    <w:nsid w:val="6D68AB2"/>
    <w:multiLevelType w:val="hybridMultilevel"/>
    <w:lvl w:ilvl="0">
      <w:lvlJc w:val="left"/>
      <w:lvlText w:val="%1."/>
      <w:numFmt w:val="decimal"/>
      <w:start w:val="18"/>
    </w:lvl>
  </w:abstractNum>
  <w:abstractNum w:abstractNumId="92">
    <w:nsid w:val="3A966CD0"/>
    <w:multiLevelType w:val="hybridMultilevel"/>
    <w:lvl w:ilvl="0">
      <w:lvlJc w:val="left"/>
      <w:lvlText w:val="%1."/>
      <w:numFmt w:val="decimal"/>
      <w:start w:val="19"/>
    </w:lvl>
  </w:abstractNum>
  <w:abstractNum w:abstractNumId="93">
    <w:nsid w:val="63F37E85"/>
    <w:multiLevelType w:val="hybridMultilevel"/>
    <w:lvl w:ilvl="0">
      <w:lvlJc w:val="left"/>
      <w:lvlText w:val="%1."/>
      <w:numFmt w:val="decimal"/>
      <w:start w:val="20"/>
    </w:lvl>
  </w:abstractNum>
  <w:abstractNum w:abstractNumId="94">
    <w:nsid w:val="5895F5FA"/>
    <w:multiLevelType w:val="hybridMultilevel"/>
    <w:lvl w:ilvl="0">
      <w:lvlJc w:val="left"/>
      <w:lvlText w:val="%1."/>
      <w:numFmt w:val="decimal"/>
      <w:start w:val="21"/>
    </w:lvl>
  </w:abstractNum>
  <w:abstractNum w:abstractNumId="95">
    <w:nsid w:val="38A5D054"/>
    <w:multiLevelType w:val="hybridMultilevel"/>
    <w:lvl w:ilvl="0">
      <w:lvlJc w:val="left"/>
      <w:lvlText w:val="\endash "/>
      <w:numFmt w:val="bullet"/>
      <w:start w:val="1"/>
    </w:lvl>
  </w:abstractNum>
  <w:abstractNum w:abstractNumId="96">
    <w:nsid w:val="F3F09D8"/>
    <w:multiLevelType w:val="hybridMultilevel"/>
    <w:lvl w:ilvl="0">
      <w:lvlJc w:val="left"/>
      <w:lvlText w:val="1"/>
      <w:numFmt w:val="bullet"/>
      <w:start w:val="1"/>
    </w:lvl>
  </w:abstractNum>
  <w:abstractNum w:abstractNumId="97">
    <w:nsid w:val="4B793735"/>
    <w:multiLevelType w:val="hybridMultilevel"/>
    <w:lvl w:ilvl="0">
      <w:lvlJc w:val="left"/>
      <w:lvlText w:val="(%1)"/>
      <w:numFmt w:val="lowerRoman"/>
      <w:start w:val="2"/>
    </w:lvl>
  </w:abstractNum>
  <w:abstractNum w:abstractNumId="98">
    <w:nsid w:val="4A10B4E8"/>
    <w:multiLevelType w:val="hybridMultilevel"/>
    <w:lvl w:ilvl="0">
      <w:lvlJc w:val="left"/>
      <w:lvlText w:val="%1)"/>
      <w:numFmt w:val="decimal"/>
      <w:start w:val="5"/>
    </w:lvl>
  </w:abstractNum>
  <w:abstractNum w:abstractNumId="99">
    <w:nsid w:val="43D3BCD4"/>
    <w:multiLevelType w:val="hybridMultilevel"/>
    <w:lvl w:ilvl="0">
      <w:lvlJc w:val="left"/>
      <w:lvlText w:val="(%1)"/>
      <w:numFmt w:val="lowerLetter"/>
      <w:start w:val="1"/>
    </w:lvl>
  </w:abstractNum>
  <w:abstractNum w:abstractNumId="100">
    <w:nsid w:val="4C2A7166"/>
    <w:multiLevelType w:val="hybridMultilevel"/>
    <w:lvl w:ilvl="0">
      <w:lvlJc w:val="left"/>
      <w:lvlText w:val="(%1)"/>
      <w:numFmt w:val="lowerLetter"/>
      <w:start w:val="2"/>
    </w:lvl>
  </w:abstractNum>
  <w:abstractNum w:abstractNumId="101">
    <w:nsid w:val="2E534A82"/>
    <w:multiLevelType w:val="hybridMultilevel"/>
    <w:lvl w:ilvl="0">
      <w:lvlJc w:val="left"/>
      <w:lvlText w:val="(%1)"/>
      <w:numFmt w:val="upperLetter"/>
      <w:start w:val="1"/>
    </w:lvl>
  </w:abstractNum>
  <w:abstractNum w:abstractNumId="102">
    <w:nsid w:val="26F2D364"/>
    <w:multiLevelType w:val="hybridMultilevel"/>
    <w:lvl w:ilvl="0">
      <w:lvlJc w:val="left"/>
      <w:lvlText w:val="(%1)"/>
      <w:numFmt w:val="upperLetter"/>
      <w:start w:val="11"/>
    </w:lvl>
  </w:abstractNum>
  <w:abstractNum w:abstractNumId="103">
    <w:nsid w:val="71C1AF98"/>
    <w:multiLevelType w:val="hybridMultilevel"/>
    <w:lvl w:ilvl="0">
      <w:lvlJc w:val="left"/>
      <w:lvlText w:val="(%1)"/>
      <w:numFmt w:val="lowerRoman"/>
      <w:start w:val="2"/>
    </w:lvl>
  </w:abstractNum>
  <w:abstractNum w:abstractNumId="104">
    <w:nsid w:val="3D00B9D9"/>
    <w:multiLevelType w:val="hybridMultilevel"/>
    <w:lvl w:ilvl="0">
      <w:lvlJc w:val="left"/>
      <w:lvlText w:val="1"/>
      <w:numFmt w:val="bullet"/>
      <w:start w:val="1"/>
    </w:lvl>
  </w:abstractNum>
  <w:abstractNum w:abstractNumId="105">
    <w:nsid w:val="15BCABA8"/>
    <w:multiLevelType w:val="hybridMultilevel"/>
    <w:lvl w:ilvl="0">
      <w:lvlJc w:val="left"/>
      <w:lvlText w:val="(%1)"/>
      <w:numFmt w:val="lowerRoman"/>
      <w:start w:val="2"/>
    </w:lvl>
  </w:abstractNum>
  <w:abstractNum w:abstractNumId="106">
    <w:nsid w:val="4E0B9A87"/>
    <w:multiLevelType w:val="hybridMultilevel"/>
    <w:lvl w:ilvl="0">
      <w:lvlJc w:val="left"/>
      <w:lvlText w:val="%1)"/>
      <w:numFmt w:val="decimal"/>
      <w:start w:val="5"/>
    </w:lvl>
  </w:abstractNum>
  <w:abstractNum w:abstractNumId="107">
    <w:nsid w:val="434BAE75"/>
    <w:multiLevelType w:val="hybridMultilevel"/>
    <w:lvl w:ilvl="0">
      <w:lvlJc w:val="left"/>
      <w:lvlText w:val="1"/>
      <w:numFmt w:val="bullet"/>
      <w:start w:val="1"/>
    </w:lvl>
  </w:abstractNum>
  <w:abstractNum w:abstractNumId="108">
    <w:nsid w:val="4F38F265"/>
    <w:multiLevelType w:val="hybridMultilevel"/>
    <w:lvl w:ilvl="0">
      <w:lvlJc w:val="left"/>
      <w:lvlText w:val="(%1)"/>
      <w:numFmt w:val="lowerRoman"/>
      <w:start w:val="2"/>
    </w:lvl>
  </w:abstractNum>
  <w:abstractNum w:abstractNumId="109">
    <w:nsid w:val="4C502870"/>
    <w:multiLevelType w:val="hybridMultilevel"/>
    <w:lvl w:ilvl="0">
      <w:lvlJc w:val="left"/>
      <w:lvlText w:val="(%1)"/>
      <w:numFmt w:val="lowerLetter"/>
      <w:start w:val="1"/>
    </w:lvl>
  </w:abstractNum>
  <w:abstractNum w:abstractNumId="110">
    <w:nsid w:val="1DE8725A"/>
    <w:multiLevelType w:val="hybridMultilevel"/>
    <w:lvl w:ilvl="0">
      <w:lvlJc w:val="left"/>
      <w:lvlText w:val="(%1)"/>
      <w:numFmt w:val="lowerLetter"/>
      <w:start w:val="2"/>
    </w:lvl>
  </w:abstractNum>
  <w:abstractNum w:abstractNumId="111">
    <w:nsid w:val="6A37288A"/>
    <w:multiLevelType w:val="hybridMultilevel"/>
    <w:lvl w:ilvl="0">
      <w:lvlJc w:val="left"/>
      <w:lvlText w:val="%1."/>
      <w:numFmt w:val="decimal"/>
      <w:start w:val="1"/>
    </w:lvl>
  </w:abstractNum>
  <w:abstractNum w:abstractNumId="112">
    <w:nsid w:val="8F8B73F"/>
    <w:multiLevelType w:val="hybridMultilevel"/>
    <w:lvl w:ilvl="0">
      <w:lvlJc w:val="left"/>
      <w:lvlText w:val="1"/>
      <w:numFmt w:val="bullet"/>
      <w:start w:val="1"/>
    </w:lvl>
  </w:abstractNum>
  <w:abstractNum w:abstractNumId="113">
    <w:nsid w:val="CA6B462"/>
    <w:multiLevelType w:val="hybridMultilevel"/>
    <w:lvl w:ilvl="0">
      <w:lvlJc w:val="left"/>
      <w:lvlText w:val="%1."/>
      <w:numFmt w:val="decimal"/>
      <w:start w:val="4"/>
    </w:lvl>
  </w:abstractNum>
  <w:abstractNum w:abstractNumId="114">
    <w:nsid w:val="763CB680"/>
    <w:multiLevelType w:val="hybridMultilevel"/>
    <w:lvl w:ilvl="0">
      <w:lvlJc w:val="left"/>
      <w:lvlText w:val="%1."/>
      <w:numFmt w:val="decimal"/>
      <w:start w:val="5"/>
    </w:lvl>
  </w:abstractNum>
  <w:abstractNum w:abstractNumId="115">
    <w:nsid w:val="15B71329"/>
    <w:multiLevelType w:val="hybridMultilevel"/>
    <w:lvl w:ilvl="0">
      <w:lvlJc w:val="left"/>
      <w:lvlText w:val="%1."/>
      <w:numFmt w:val="decimal"/>
      <w:start w:val="6"/>
    </w:lvl>
    <w:lvl w:ilvl="1">
      <w:lvlJc w:val="left"/>
      <w:lvlText w:val="•"/>
      <w:numFmt w:val="bullet"/>
      <w:start w:val="1"/>
    </w:lvl>
  </w:abstractNum>
  <w:abstractNum w:abstractNumId="116">
    <w:nsid w:val="3DA97044"/>
    <w:multiLevelType w:val="hybridMultilevel"/>
    <w:lvl w:ilvl="0">
      <w:lvlJc w:val="left"/>
      <w:lvlText w:val="•"/>
      <w:numFmt w:val="bullet"/>
      <w:start w:val="1"/>
    </w:lvl>
  </w:abstractNum>
  <w:abstractNum w:abstractNumId="117">
    <w:nsid w:val="1CDCE2DE"/>
    <w:multiLevelType w:val="hybridMultilevel"/>
    <w:lvl w:ilvl="0">
      <w:lvlJc w:val="left"/>
      <w:lvlText w:val="%1."/>
      <w:numFmt w:val="decimal"/>
      <w:start w:val="9"/>
    </w:lvl>
  </w:abstractNum>
  <w:abstractNum w:abstractNumId="118">
    <w:nsid w:val="69D3947C"/>
    <w:multiLevelType w:val="hybridMultilevel"/>
    <w:lvl w:ilvl="0">
      <w:lvlJc w:val="left"/>
      <w:lvlText w:val="%1."/>
      <w:numFmt w:val="decimal"/>
      <w:start w:val="10"/>
    </w:lvl>
  </w:abstractNum>
  <w:abstractNum w:abstractNumId="119">
    <w:nsid w:val="2539DFA5"/>
    <w:multiLevelType w:val="hybridMultilevel"/>
    <w:lvl w:ilvl="0">
      <w:lvlJc w:val="left"/>
      <w:lvlText w:val="****"/>
      <w:numFmt w:val="bullet"/>
      <w:start w:val="1"/>
    </w:lvl>
  </w:abstractNum>
  <w:abstractNum w:abstractNumId="120">
    <w:nsid w:val="2DB88089"/>
    <w:multiLevelType w:val="hybridMultilevel"/>
    <w:lvl w:ilvl="0">
      <w:lvlJc w:val="left"/>
      <w:lvlText w:val="****"/>
      <w:numFmt w:val="bullet"/>
      <w:start w:val="1"/>
    </w:lvl>
  </w:abstractNum>
  <w:abstractNum w:abstractNumId="121">
    <w:nsid w:val="706B674E"/>
    <w:multiLevelType w:val="hybridMultilevel"/>
    <w:lvl w:ilvl="0">
      <w:lvlJc w:val="left"/>
      <w:lvlText w:val="(%1)"/>
      <w:numFmt w:val="lowerRoman"/>
      <w:start w:val="1"/>
    </w:lvl>
  </w:abstractNum>
  <w:abstractNum w:abstractNumId="122">
    <w:nsid w:val="2C106A57"/>
    <w:multiLevelType w:val="hybridMultilevel"/>
    <w:lvl w:ilvl="0">
      <w:lvlJc w:val="left"/>
      <w:lvlText w:val="%1"/>
      <w:numFmt w:val="upperLetter"/>
      <w:start w:val="1"/>
    </w:lvl>
    <w:lvl w:ilvl="1">
      <w:lvlJc w:val="left"/>
      <w:lvlText w:val="(%2)"/>
      <w:numFmt w:val="lowerRoman"/>
      <w:start w:val="1"/>
    </w:lvl>
  </w:abstractNum>
  <w:abstractNum w:abstractNumId="123">
    <w:nsid w:val="684EED59"/>
    <w:multiLevelType w:val="hybridMultilevel"/>
    <w:lvl w:ilvl="0">
      <w:lvlJc w:val="left"/>
      <w:lvlText w:val="(%1)"/>
      <w:numFmt w:val="upperLetter"/>
      <w:start w:val="1"/>
    </w:lvl>
    <w:lvl w:ilvl="1">
      <w:lvlJc w:val="left"/>
      <w:lvlText w:val="(%2)"/>
      <w:numFmt w:val="lowerRoman"/>
      <w:start w:val="3"/>
    </w:lvl>
  </w:abstractNum>
  <w:abstractNum w:abstractNumId="124">
    <w:nsid w:val="545EE5D3"/>
    <w:multiLevelType w:val="hybridMultilevel"/>
    <w:lvl w:ilvl="0">
      <w:lvlJc w:val="left"/>
      <w:lvlText w:val="****"/>
      <w:numFmt w:val="bullet"/>
      <w:start w:val="1"/>
    </w:lvl>
  </w:abstractNum>
  <w:abstractNum w:abstractNumId="125">
    <w:nsid w:val="4A66051"/>
    <w:multiLevelType w:val="hybridMultilevel"/>
    <w:lvl w:ilvl="0">
      <w:lvlJc w:val="left"/>
      <w:lvlText w:val="(%1)"/>
      <w:numFmt w:val="lowerRoman"/>
      <w:start w:val="4"/>
    </w:lvl>
  </w:abstractNum>
  <w:abstractNum w:abstractNumId="126">
    <w:nsid w:val="20F4BDAD"/>
    <w:multiLevelType w:val="hybridMultilevel"/>
    <w:lvl w:ilvl="0">
      <w:lvlJc w:val="left"/>
      <w:lvlText w:val="%1."/>
      <w:numFmt w:val="decimal"/>
      <w:start w:val="4"/>
    </w:lvl>
    <w:lvl w:ilvl="1">
      <w:lvlJc w:val="left"/>
      <w:lvlText w:val="\ldblquote"/>
      <w:numFmt w:val="bullet"/>
      <w:start w:val="1"/>
    </w:lvl>
  </w:abstractNum>
  <w:abstractNum w:abstractNumId="127">
    <w:nsid w:val="639DEFAC"/>
    <w:multiLevelType w:val="hybridMultilevel"/>
    <w:lvl w:ilvl="0">
      <w:lvlJc w:val="left"/>
      <w:lvlText w:val="****"/>
      <w:numFmt w:val="bullet"/>
      <w:start w:val="1"/>
    </w:lvl>
  </w:abstractNum>
  <w:abstractNum w:abstractNumId="128">
    <w:nsid w:val="501F9786"/>
    <w:multiLevelType w:val="hybridMultilevel"/>
    <w:lvl w:ilvl="0">
      <w:lvlJc w:val="left"/>
      <w:lvlText w:val="****"/>
      <w:numFmt w:val="bullet"/>
      <w:start w:val="1"/>
    </w:lvl>
  </w:abstractNum>
  <w:abstractNum w:abstractNumId="129">
    <w:nsid w:val="6B057295"/>
    <w:multiLevelType w:val="hybridMultilevel"/>
    <w:lvl w:ilvl="0">
      <w:lvlJc w:val="left"/>
      <w:lvlText w:val="****"/>
      <w:numFmt w:val="bullet"/>
      <w:start w:val="1"/>
    </w:lvl>
    <w:lvl w:ilvl="1">
      <w:lvlJc w:val="left"/>
      <w:lvlText w:val="(%2)"/>
      <w:numFmt w:val="lowerLetter"/>
      <w:start w:val="1"/>
    </w:lvl>
  </w:abstractNum>
  <w:abstractNum w:abstractNumId="130">
    <w:nsid w:val="2771AC80"/>
    <w:multiLevelType w:val="hybridMultilevel"/>
    <w:lvl w:ilvl="0">
      <w:lvlJc w:val="left"/>
      <w:lvlText w:val="(%1)"/>
      <w:numFmt w:val="lowerLetter"/>
      <w:start w:val="2"/>
    </w:lvl>
  </w:abstractNum>
  <w:abstractNum w:abstractNumId="131">
    <w:nsid w:val="1C4A08EC"/>
    <w:multiLevelType w:val="hybridMultilevel"/>
    <w:lvl w:ilvl="0">
      <w:lvlJc w:val="left"/>
      <w:lvlText w:val="(%1)"/>
      <w:numFmt w:val="lowerLetter"/>
      <w:start w:val="1"/>
    </w:lvl>
  </w:abstractNum>
  <w:abstractNum w:abstractNumId="132">
    <w:nsid w:val="1958BD17"/>
    <w:multiLevelType w:val="hybridMultilevel"/>
    <w:lvl w:ilvl="0">
      <w:lvlJc w:val="left"/>
      <w:lvlText w:val="%1."/>
      <w:numFmt w:val="decimal"/>
      <w:start w:val="3"/>
    </w:lvl>
    <w:lvl w:ilvl="1">
      <w:lvlJc w:val="left"/>
      <w:lvlText w:val="(%2)"/>
      <w:numFmt w:val="lowerLetter"/>
      <w:start w:val="1"/>
    </w:lvl>
  </w:abstractNum>
  <w:abstractNum w:abstractNumId="133">
    <w:nsid w:val="4E647FE4"/>
    <w:multiLevelType w:val="hybridMultilevel"/>
    <w:lvl w:ilvl="0">
      <w:lvlJc w:val="left"/>
      <w:lvlText w:val="****"/>
      <w:numFmt w:val="bullet"/>
      <w:start w:val="1"/>
    </w:lvl>
    <w:lvl w:ilvl="1">
      <w:lvlJc w:val="left"/>
      <w:lvlText w:val="(%2)"/>
      <w:numFmt w:val="lowerLetter"/>
      <w:start w:val="1"/>
    </w:lvl>
  </w:abstractNum>
  <w:abstractNum w:abstractNumId="134">
    <w:nsid w:val="E0BB885"/>
    <w:multiLevelType w:val="hybridMultilevel"/>
    <w:lvl w:ilvl="0">
      <w:lvlJc w:val="left"/>
      <w:lvlText w:val="(%1)"/>
      <w:numFmt w:val="lowerLetter"/>
      <w:start w:val="2"/>
    </w:lvl>
    <w:lvl w:ilvl="1">
      <w:lvlJc w:val="left"/>
      <w:lvlText w:val="(%2)"/>
      <w:numFmt w:val="lowerRoman"/>
      <w:start w:val="1"/>
    </w:lvl>
  </w:abstractNum>
  <w:abstractNum w:abstractNumId="135">
    <w:nsid w:val="565976F1"/>
    <w:multiLevelType w:val="hybridMultilevel"/>
    <w:lvl w:ilvl="0">
      <w:lvlJc w:val="left"/>
      <w:lvlText w:val="(%1)"/>
      <w:numFmt w:val="lowerLetter"/>
      <w:start w:val="1"/>
    </w:lvl>
  </w:abstractNum>
  <w:abstractNum w:abstractNumId="136">
    <w:nsid w:val="64212B8C"/>
    <w:multiLevelType w:val="hybridMultilevel"/>
    <w:lvl w:ilvl="0">
      <w:lvlJc w:val="left"/>
      <w:lvlText w:val="(%1)"/>
      <w:numFmt w:val="lowerLetter"/>
      <w:start w:val="9"/>
    </w:lvl>
    <w:lvl w:ilvl="1">
      <w:lvlJc w:val="left"/>
      <w:lvlText w:val="(%2)"/>
      <w:numFmt w:val="lowerLetter"/>
      <w:start w:val="1"/>
    </w:lvl>
  </w:abstractNum>
  <w:abstractNum w:abstractNumId="137">
    <w:nsid w:val="5C17530C"/>
    <w:multiLevelType w:val="hybridMultilevel"/>
    <w:lvl w:ilvl="0">
      <w:lvlJc w:val="left"/>
      <w:lvlText w:val="****"/>
      <w:numFmt w:val="bullet"/>
      <w:start w:val="1"/>
    </w:lvl>
  </w:abstractNum>
  <w:abstractNum w:abstractNumId="138">
    <w:nsid w:val="19A52566"/>
    <w:multiLevelType w:val="hybridMultilevel"/>
    <w:lvl w:ilvl="0">
      <w:lvlJc w:val="left"/>
      <w:lvlText w:val="(%1)"/>
      <w:numFmt w:val="lowerLetter"/>
      <w:start w:val="1"/>
    </w:lvl>
  </w:abstractNum>
  <w:abstractNum w:abstractNumId="139">
    <w:nsid w:val="335A1DF1"/>
    <w:multiLevelType w:val="hybridMultilevel"/>
    <w:lvl w:ilvl="0">
      <w:lvlJc w:val="left"/>
      <w:lvlText w:val="****"/>
      <w:numFmt w:val="bullet"/>
      <w:start w:val="1"/>
    </w:lvl>
  </w:abstractNum>
  <w:abstractNum w:abstractNumId="140">
    <w:nsid w:val="28677B7C"/>
    <w:multiLevelType w:val="hybridMultilevel"/>
    <w:lvl w:ilvl="0">
      <w:lvlJc w:val="left"/>
      <w:lvlText w:val="%1."/>
      <w:numFmt w:val="decimal"/>
      <w:start w:val="5"/>
    </w:lvl>
  </w:abstractNum>
  <w:abstractNum w:abstractNumId="141">
    <w:nsid w:val="378D97C0"/>
    <w:multiLevelType w:val="hybridMultilevel"/>
    <w:lvl w:ilvl="0">
      <w:lvlJc w:val="left"/>
      <w:lvlText w:val="(%1)"/>
      <w:numFmt w:val="lowerLetter"/>
      <w:start w:val="1"/>
    </w:lvl>
  </w:abstractNum>
  <w:abstractNum w:abstractNumId="142">
    <w:nsid w:val="1D91467C"/>
    <w:multiLevelType w:val="hybridMultilevel"/>
    <w:lvl w:ilvl="0">
      <w:lvlJc w:val="left"/>
      <w:lvlText w:val="****"/>
      <w:numFmt w:val="bullet"/>
      <w:start w:val="1"/>
    </w:lvl>
  </w:abstractNum>
  <w:abstractNum w:abstractNumId="143">
    <w:nsid w:val="316032BB"/>
    <w:multiLevelType w:val="hybridMultilevel"/>
    <w:lvl w:ilvl="0">
      <w:lvlJc w:val="left"/>
      <w:lvlText w:val="(%1)"/>
      <w:numFmt w:val="lowerLetter"/>
      <w:start w:val="1"/>
    </w:lvl>
  </w:abstractNum>
  <w:abstractNum w:abstractNumId="144">
    <w:nsid w:val="44344C22"/>
    <w:multiLevelType w:val="hybridMultilevel"/>
    <w:lvl w:ilvl="0">
      <w:lvlJc w:val="left"/>
      <w:lvlText w:val="****"/>
      <w:numFmt w:val="bullet"/>
      <w:start w:val="1"/>
    </w:lvl>
  </w:abstractNum>
  <w:abstractNum w:abstractNumId="145">
    <w:nsid w:val="13CDFCFC"/>
    <w:multiLevelType w:val="hybridMultilevel"/>
    <w:lvl w:ilvl="0">
      <w:lvlJc w:val="left"/>
      <w:lvlText w:val="(%1)"/>
      <w:numFmt w:val="lowerLetter"/>
      <w:start w:val="1"/>
    </w:lvl>
  </w:abstractNum>
  <w:abstractNum w:abstractNumId="146">
    <w:nsid w:val="471745E4"/>
    <w:multiLevelType w:val="hybridMultilevel"/>
    <w:lvl w:ilvl="0">
      <w:lvlJc w:val="left"/>
      <w:lvlText w:val="****"/>
      <w:numFmt w:val="bullet"/>
      <w:start w:val="1"/>
    </w:lvl>
    <w:lvl w:ilvl="1">
      <w:lvlJc w:val="left"/>
      <w:lvlText w:val="(%2)"/>
      <w:numFmt w:val="lowerLetter"/>
      <w:start w:val="1"/>
    </w:lvl>
  </w:abstractNum>
  <w:abstractNum w:abstractNumId="147">
    <w:nsid w:val="1DDBC66"/>
    <w:multiLevelType w:val="hybridMultilevel"/>
    <w:lvl w:ilvl="0">
      <w:lvlJc w:val="left"/>
      <w:lvlText w:val="(%1)"/>
      <w:numFmt w:val="lowerLetter"/>
      <w:start w:val="1"/>
    </w:lvl>
  </w:abstractNum>
  <w:abstractNum w:abstractNumId="148">
    <w:nsid w:val="30AADFD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49">
    <w:nsid w:val="30EADA61"/>
    <w:multiLevelType w:val="hybridMultilevel"/>
    <w:lvl w:ilvl="0">
      <w:lvlJc w:val="left"/>
      <w:lvlText w:val="%1."/>
      <w:numFmt w:val="decimal"/>
      <w:start w:val="9"/>
    </w:lvl>
    <w:lvl w:ilvl="1">
      <w:lvlJc w:val="left"/>
      <w:lvlText w:val="(%2)"/>
      <w:numFmt w:val="lowerLetter"/>
      <w:start w:val="1"/>
    </w:lvl>
  </w:abstractNum>
  <w:abstractNum w:abstractNumId="150">
    <w:nsid w:val="27179C0B"/>
    <w:multiLevelType w:val="hybridMultilevel"/>
    <w:lvl w:ilvl="0">
      <w:lvlJc w:val="left"/>
      <w:lvlText w:val="****"/>
      <w:numFmt w:val="bullet"/>
      <w:start w:val="1"/>
    </w:lvl>
  </w:abstractNum>
  <w:abstractNum w:abstractNumId="151">
    <w:nsid w:val="5E636063"/>
    <w:multiLevelType w:val="hybridMultilevel"/>
    <w:lvl w:ilvl="0">
      <w:lvlJc w:val="left"/>
      <w:lvlText w:val="%1."/>
      <w:numFmt w:val="decimal"/>
      <w:start w:val="10"/>
    </w:lvl>
  </w:abstractNum>
  <w:abstractNum w:abstractNumId="152">
    <w:nsid w:val="215641AF"/>
    <w:multiLevelType w:val="hybridMultilevel"/>
    <w:lvl w:ilvl="0">
      <w:lvlJc w:val="left"/>
      <w:lvlText w:val="****"/>
      <w:numFmt w:val="bullet"/>
      <w:start w:val="1"/>
    </w:lvl>
  </w:abstractNum>
  <w:abstractNum w:abstractNumId="153">
    <w:nsid w:val="53280662"/>
    <w:multiLevelType w:val="hybridMultilevel"/>
    <w:lvl w:ilvl="0">
      <w:lvlJc w:val="left"/>
      <w:lvlText w:val="%1"/>
      <w:numFmt w:val="lowerLetter"/>
      <w:start w:val="1"/>
    </w:lvl>
    <w:lvl w:ilvl="1">
      <w:lvlJc w:val="left"/>
      <w:lvlText w:val="(%2)"/>
      <w:numFmt w:val="lowerLetter"/>
      <w:start w:val="1"/>
    </w:lvl>
  </w:abstractNum>
  <w:abstractNum w:abstractNumId="154">
    <w:nsid w:val="46B24DBC"/>
    <w:multiLevelType w:val="hybridMultilevel"/>
    <w:lvl w:ilvl="0">
      <w:lvlJc w:val="left"/>
      <w:lvlText w:val="(%1)"/>
      <w:numFmt w:val="lowerLetter"/>
      <w:start w:val="9"/>
    </w:lvl>
    <w:lvl w:ilvl="1">
      <w:lvlJc w:val="left"/>
      <w:lvlText w:val="%2"/>
      <w:numFmt w:val="lowerLetter"/>
      <w:start w:val="1"/>
    </w:lvl>
  </w:abstractNum>
  <w:abstractNum w:abstractNumId="155">
    <w:nsid w:val="75B52783"/>
    <w:multiLevelType w:val="hybridMultilevel"/>
    <w:lvl w:ilvl="0">
      <w:lvlJc w:val="left"/>
      <w:lvlText w:val="(%1)"/>
      <w:numFmt w:val="lowerLetter"/>
      <w:start w:val="1"/>
    </w:lvl>
    <w:lvl w:ilvl="1">
      <w:lvlJc w:val="left"/>
      <w:lvlText w:val="(%2)"/>
      <w:numFmt w:val="lowerRoman"/>
      <w:start w:val="1"/>
    </w:lvl>
  </w:abstractNum>
  <w:abstractNum w:abstractNumId="156">
    <w:nsid w:val="57CE66B4"/>
    <w:multiLevelType w:val="hybridMultilevel"/>
    <w:lvl w:ilvl="0">
      <w:lvlJc w:val="left"/>
      <w:lvlText w:val="%1"/>
      <w:numFmt w:val="lowerLetter"/>
      <w:start w:val="1"/>
    </w:lvl>
    <w:lvl w:ilvl="1">
      <w:lvlJc w:val="left"/>
      <w:lvlText w:val="(%2)"/>
      <w:numFmt w:val="lowerLetter"/>
      <w:start w:val="61"/>
    </w:lvl>
  </w:abstractNum>
  <w:abstractNum w:abstractNumId="157">
    <w:nsid w:val="67A70B69"/>
    <w:multiLevelType w:val="hybridMultilevel"/>
    <w:lvl w:ilvl="0">
      <w:lvlJc w:val="left"/>
      <w:lvlText w:val="(%1)"/>
      <w:numFmt w:val="lowerLetter"/>
      <w:start w:val="3"/>
    </w:lvl>
    <w:lvl w:ilvl="1">
      <w:lvlJc w:val="left"/>
      <w:lvlText w:val="%2"/>
      <w:numFmt w:val="lowerLetter"/>
      <w:start w:val="1"/>
    </w:lvl>
  </w:abstractNum>
  <w:abstractNum w:abstractNumId="158">
    <w:nsid w:val="5953172F"/>
    <w:multiLevelType w:val="hybridMultilevel"/>
    <w:lvl w:ilvl="0">
      <w:lvlJc w:val="left"/>
      <w:lvlText w:val="(%1)"/>
      <w:numFmt w:val="lowerLetter"/>
      <w:start w:val="1"/>
    </w:lvl>
    <w:lvl w:ilvl="1">
      <w:lvlJc w:val="left"/>
      <w:lvlText w:val="(%2)"/>
      <w:numFmt w:val="lowerLetter"/>
      <w:start w:val="9"/>
    </w:lvl>
  </w:abstractNum>
  <w:abstractNum w:abstractNumId="159">
    <w:nsid w:val="27EDFE3A"/>
    <w:multiLevelType w:val="hybridMultilevel"/>
    <w:lvl w:ilvl="0">
      <w:lvlJc w:val="left"/>
      <w:lvlText w:val="****"/>
      <w:numFmt w:val="bullet"/>
      <w:start w:val="1"/>
    </w:lvl>
  </w:abstractNum>
  <w:abstractNum w:abstractNumId="160">
    <w:nsid w:val="52AC7DFF"/>
    <w:multiLevelType w:val="hybridMultilevel"/>
    <w:lvl w:ilvl="0">
      <w:lvlJc w:val="left"/>
      <w:lvlText w:val="%1"/>
      <w:numFmt w:val="lowerLetter"/>
      <w:start w:val="1"/>
    </w:lvl>
    <w:lvl w:ilvl="1">
      <w:lvlJc w:val="left"/>
      <w:lvlText w:val="(%2)"/>
      <w:numFmt w:val="lowerRoman"/>
      <w:start w:val="2"/>
    </w:lvl>
  </w:abstractNum>
  <w:abstractNum w:abstractNumId="161">
    <w:nsid w:val="C4C3AF"/>
    <w:multiLevelType w:val="hybridMultilevel"/>
    <w:lvl w:ilvl="0">
      <w:lvlJc w:val="left"/>
      <w:lvlText w:val="(%1)"/>
      <w:numFmt w:val="lowerLetter"/>
      <w:start w:val="3"/>
    </w:lvl>
    <w:lvl w:ilvl="1">
      <w:lvlJc w:val="left"/>
      <w:lvlText w:val="%2"/>
      <w:numFmt w:val="lowerRoman"/>
      <w:start w:val="1"/>
    </w:lvl>
  </w:abstractNum>
  <w:abstractNum w:abstractNumId="162">
    <w:nsid w:val="44380727"/>
    <w:multiLevelType w:val="hybridMultilevel"/>
    <w:lvl w:ilvl="0">
      <w:lvlJc w:val="left"/>
      <w:lvlText w:val="****"/>
      <w:numFmt w:val="bullet"/>
      <w:start w:val="1"/>
    </w:lvl>
  </w:abstractNum>
  <w:abstractNum w:abstractNumId="163">
    <w:nsid w:val="6C053B16"/>
    <w:multiLevelType w:val="hybridMultilevel"/>
    <w:lvl w:ilvl="0">
      <w:lvlJc w:val="left"/>
      <w:lvlText w:val="%1"/>
      <w:numFmt w:val="decimal"/>
      <w:start w:val="1"/>
    </w:lvl>
    <w:lvl w:ilvl="1">
      <w:lvlJc w:val="left"/>
      <w:lvlText w:val="(%2)"/>
      <w:numFmt w:val="lowerLetter"/>
      <w:start w:val="2"/>
    </w:lvl>
  </w:abstractNum>
  <w:abstractNum w:abstractNumId="164">
    <w:nsid w:val="4F294393"/>
    <w:multiLevelType w:val="hybridMultilevel"/>
    <w:lvl w:ilvl="0">
      <w:lvlJc w:val="left"/>
      <w:lvlText w:val="%1."/>
      <w:numFmt w:val="decimal"/>
      <w:start w:val="14"/>
    </w:lvl>
    <w:lvl w:ilvl="1">
      <w:lvlJc w:val="left"/>
      <w:lvlText w:val="%2"/>
      <w:numFmt w:val="lowerLetter"/>
      <w:start w:val="1"/>
    </w:lvl>
  </w:abstractNum>
  <w:abstractNum w:abstractNumId="165">
    <w:nsid w:val="5243BFAC"/>
    <w:multiLevelType w:val="hybridMultilevel"/>
    <w:lvl w:ilvl="0">
      <w:lvlJc w:val="left"/>
      <w:lvlText w:val="(%1)"/>
      <w:numFmt w:val="lowerLetter"/>
      <w:start w:val="1"/>
    </w:lvl>
  </w:abstractNum>
  <w:abstractNum w:abstractNumId="166">
    <w:nsid w:val="425EB207"/>
    <w:multiLevelType w:val="hybridMultilevel"/>
    <w:lvl w:ilvl="0">
      <w:lvlJc w:val="left"/>
      <w:lvlText w:val="****"/>
      <w:numFmt w:val="bullet"/>
      <w:start w:val="1"/>
    </w:lvl>
    <w:lvl w:ilvl="1">
      <w:lvlJc w:val="left"/>
      <w:lvlText w:val="(%2)"/>
      <w:numFmt w:val="lowerLetter"/>
      <w:start w:val="1"/>
    </w:lvl>
  </w:abstractNum>
  <w:abstractNum w:abstractNumId="167">
    <w:nsid w:val="334A6F1F"/>
    <w:multiLevelType w:val="hybridMultilevel"/>
    <w:lvl w:ilvl="0">
      <w:lvlJc w:val="left"/>
      <w:lvlText w:val="(%1)"/>
      <w:numFmt w:val="lowerLetter"/>
      <w:start w:val="2"/>
    </w:lvl>
  </w:abstractNum>
  <w:abstractNum w:abstractNumId="168">
    <w:nsid w:val="2E5B12B8"/>
    <w:multiLevelType w:val="hybridMultilevel"/>
    <w:lvl w:ilvl="0">
      <w:lvlJc w:val="left"/>
      <w:lvlText w:val="****"/>
      <w:numFmt w:val="bullet"/>
      <w:start w:val="1"/>
    </w:lvl>
  </w:abstractNum>
  <w:abstractNum w:abstractNumId="169">
    <w:nsid w:val="5C03D76D"/>
    <w:multiLevelType w:val="hybridMultilevel"/>
    <w:lvl w:ilvl="0">
      <w:lvlJc w:val="left"/>
      <w:lvlText w:val="(%1)"/>
      <w:numFmt w:val="lowerLetter"/>
      <w:start w:val="5"/>
    </w:lvl>
  </w:abstractNum>
  <w:abstractNum w:abstractNumId="170">
    <w:nsid w:val="66A48D11"/>
    <w:multiLevelType w:val="hybridMultilevel"/>
    <w:lvl w:ilvl="0">
      <w:lvlJc w:val="left"/>
      <w:lvlText w:val="(%1)"/>
      <w:numFmt w:val="lowerLetter"/>
      <w:start w:val="1"/>
    </w:lvl>
  </w:abstractNum>
  <w:abstractNum w:abstractNumId="171">
    <w:nsid w:val="56C28E34"/>
    <w:multiLevelType w:val="hybridMultilevel"/>
    <w:lvl w:ilvl="0">
      <w:lvlJc w:val="left"/>
      <w:lvlText w:val="****"/>
      <w:numFmt w:val="bullet"/>
      <w:start w:val="1"/>
    </w:lvl>
  </w:abstractNum>
  <w:abstractNum w:abstractNumId="172">
    <w:nsid w:val="13916F2D"/>
    <w:multiLevelType w:val="hybridMultilevel"/>
    <w:lvl w:ilvl="0">
      <w:lvlJc w:val="left"/>
      <w:lvlText w:val="(%1)"/>
      <w:numFmt w:val="lowerLetter"/>
      <w:start w:val="1"/>
    </w:lvl>
  </w:abstractNum>
  <w:abstractNum w:abstractNumId="173">
    <w:nsid w:val="435D38D"/>
    <w:multiLevelType w:val="hybridMultilevel"/>
    <w:lvl w:ilvl="0">
      <w:lvlJc w:val="left"/>
      <w:lvlText w:val="****"/>
      <w:numFmt w:val="bullet"/>
      <w:start w:val="1"/>
    </w:lvl>
  </w:abstractNum>
  <w:abstractNum w:abstractNumId="174">
    <w:nsid w:val="822C0EF"/>
    <w:multiLevelType w:val="hybridMultilevel"/>
    <w:lvl w:ilvl="0">
      <w:lvlJc w:val="left"/>
      <w:lvlText w:val="(%1)"/>
      <w:numFmt w:val="lowerLetter"/>
      <w:start w:val="1"/>
    </w:lvl>
  </w:abstractNum>
  <w:abstractNum w:abstractNumId="175">
    <w:nsid w:val="57C5BB4F"/>
    <w:multiLevelType w:val="hybridMultilevel"/>
    <w:lvl w:ilvl="0">
      <w:lvlJc w:val="left"/>
      <w:lvlText w:val="****"/>
      <w:numFmt w:val="bullet"/>
      <w:start w:val="1"/>
    </w:lvl>
  </w:abstractNum>
  <w:abstractNum w:abstractNumId="176">
    <w:nsid w:val="1803D089"/>
    <w:multiLevelType w:val="hybridMultilevel"/>
    <w:lvl w:ilvl="0">
      <w:lvlJc w:val="left"/>
      <w:lvlText w:val="(%1)"/>
      <w:numFmt w:val="lowerLetter"/>
      <w:start w:val="3"/>
    </w:lvl>
  </w:abstractNum>
  <w:abstractNum w:abstractNumId="177">
    <w:nsid w:val="4F3A06D4"/>
    <w:multiLevelType w:val="hybridMultilevel"/>
    <w:lvl w:ilvl="0">
      <w:lvlJc w:val="left"/>
      <w:lvlText w:val="(%1)"/>
      <w:numFmt w:val="lowerLetter"/>
      <w:start w:val="1"/>
    </w:lvl>
  </w:abstractNum>
  <w:abstractNum w:abstractNumId="178">
    <w:nsid w:val="59A377B6"/>
    <w:multiLevelType w:val="hybridMultilevel"/>
    <w:lvl w:ilvl="0">
      <w:lvlJc w:val="left"/>
      <w:lvlText w:val="****"/>
      <w:numFmt w:val="bullet"/>
      <w:start w:val="1"/>
    </w:lvl>
    <w:lvl w:ilvl="1">
      <w:lvlJc w:val="left"/>
      <w:lvlText w:val="(%2)"/>
      <w:numFmt w:val="lowerLetter"/>
      <w:start w:val="3"/>
    </w:lvl>
  </w:abstractNum>
  <w:abstractNum w:abstractNumId="179">
    <w:nsid w:val="48AEB063"/>
    <w:multiLevelType w:val="hybridMultilevel"/>
    <w:lvl w:ilvl="0">
      <w:lvlJc w:val="left"/>
      <w:lvlText w:val="****"/>
      <w:numFmt w:val="bullet"/>
      <w:start w:val="1"/>
    </w:lvl>
  </w:abstractNum>
  <w:abstractNum w:abstractNumId="180">
    <w:nsid w:val="24E135"/>
    <w:multiLevelType w:val="hybridMultilevel"/>
    <w:lvl w:ilvl="0">
      <w:lvlJc w:val="left"/>
      <w:lvlText w:val="****"/>
      <w:numFmt w:val="bullet"/>
      <w:start w:val="1"/>
    </w:lvl>
  </w:abstractNum>
  <w:abstractNum w:abstractNumId="181">
    <w:nsid w:val="BB13C1"/>
    <w:multiLevelType w:val="hybridMultilevel"/>
    <w:lvl w:ilvl="0">
      <w:lvlJc w:val="left"/>
      <w:lvlText w:val="(%1)"/>
      <w:numFmt w:val="lowerLetter"/>
      <w:start w:val="1"/>
    </w:lvl>
  </w:abstractNum>
  <w:abstractNum w:abstractNumId="182">
    <w:nsid w:val="271210C7"/>
    <w:multiLevelType w:val="hybridMultilevel"/>
    <w:lvl w:ilvl="0">
      <w:lvlJc w:val="left"/>
      <w:lvlText w:val="****"/>
      <w:numFmt w:val="bullet"/>
      <w:start w:val="1"/>
    </w:lvl>
  </w:abstractNum>
  <w:abstractNum w:abstractNumId="183">
    <w:nsid w:val="217B22E4"/>
    <w:multiLevelType w:val="hybridMultilevel"/>
    <w:lvl w:ilvl="0">
      <w:lvlJc w:val="left"/>
      <w:lvlText w:val="(%1)"/>
      <w:numFmt w:val="lowerLetter"/>
      <w:start w:val="4"/>
    </w:lvl>
  </w:abstractNum>
  <w:abstractNum w:abstractNumId="184">
    <w:nsid w:val="53E31A24"/>
    <w:multiLevelType w:val="hybridMultilevel"/>
    <w:lvl w:ilvl="0">
      <w:lvlJc w:val="left"/>
      <w:lvlText w:val="****"/>
      <w:numFmt w:val="bullet"/>
      <w:start w:val="1"/>
    </w:lvl>
    <w:lvl w:ilvl="1">
      <w:lvlJc w:val="left"/>
      <w:lvlText w:val="(%2)"/>
      <w:numFmt w:val="lowerLetter"/>
      <w:start w:val="1"/>
    </w:lvl>
  </w:abstractNum>
  <w:abstractNum w:abstractNumId="185">
    <w:nsid w:val="6DC45E83"/>
    <w:multiLevelType w:val="hybridMultilevel"/>
    <w:lvl w:ilvl="0">
      <w:lvlJc w:val="left"/>
      <w:lvlText w:val="(%1)"/>
      <w:numFmt w:val="lowerLetter"/>
      <w:start w:val="2"/>
    </w:lvl>
  </w:abstractNum>
  <w:abstractNum w:abstractNumId="186">
    <w:nsid w:val="17304A67"/>
    <w:multiLevelType w:val="hybridMultilevel"/>
    <w:lvl w:ilvl="0">
      <w:lvlJc w:val="left"/>
      <w:lvlText w:val="****"/>
      <w:numFmt w:val="bullet"/>
      <w:start w:val="1"/>
    </w:lvl>
  </w:abstractNum>
  <w:abstractNum w:abstractNumId="187">
    <w:nsid w:val="2BB180D8"/>
    <w:multiLevelType w:val="hybridMultilevel"/>
    <w:lvl w:ilvl="0">
      <w:lvlJc w:val="left"/>
      <w:lvlText w:val="****"/>
      <w:numFmt w:val="bullet"/>
      <w:start w:val="1"/>
    </w:lvl>
  </w:abstractNum>
  <w:abstractNum w:abstractNumId="188">
    <w:nsid w:val="556B69ED"/>
    <w:multiLevelType w:val="hybridMultilevel"/>
    <w:lvl w:ilvl="0">
      <w:lvlJc w:val="left"/>
      <w:lvlText w:val="****"/>
      <w:numFmt w:val="bullet"/>
      <w:start w:val="1"/>
    </w:lvl>
  </w:abstractNum>
  <w:abstractNum w:abstractNumId="189">
    <w:nsid w:val="70836196"/>
    <w:multiLevelType w:val="hybridMultilevel"/>
    <w:lvl w:ilvl="0">
      <w:lvlJc w:val="left"/>
      <w:lvlText w:val="****"/>
      <w:numFmt w:val="bullet"/>
      <w:start w:val="1"/>
    </w:lvl>
  </w:abstractNum>
  <w:abstractNum w:abstractNumId="190">
    <w:nsid w:val="539F7F12"/>
    <w:multiLevelType w:val="hybridMultilevel"/>
    <w:lvl w:ilvl="0">
      <w:lvlJc w:val="left"/>
      <w:lvlText w:val="****"/>
      <w:numFmt w:val="bullet"/>
      <w:start w:val="1"/>
    </w:lvl>
  </w:abstractNum>
  <w:abstractNum w:abstractNumId="191">
    <w:nsid w:val="2817E7EC"/>
    <w:multiLevelType w:val="hybridMultilevel"/>
    <w:lvl w:ilvl="0">
      <w:lvlJc w:val="left"/>
      <w:lvlText w:val="****"/>
      <w:numFmt w:val="bullet"/>
      <w:start w:val="1"/>
    </w:lvl>
  </w:abstractNum>
  <w:abstractNum w:abstractNumId="192">
    <w:nsid w:val="71482545"/>
    <w:multiLevelType w:val="hybridMultilevel"/>
    <w:lvl w:ilvl="0">
      <w:lvlJc w:val="left"/>
      <w:lvlText w:val="****"/>
      <w:numFmt w:val="bullet"/>
      <w:start w:val="1"/>
    </w:lvl>
  </w:abstractNum>
  <w:abstractNum w:abstractNumId="193">
    <w:nsid w:val="17D78639"/>
    <w:multiLevelType w:val="hybridMultilevel"/>
    <w:lvl w:ilvl="0">
      <w:lvlJc w:val="left"/>
      <w:lvlText w:val="****"/>
      <w:numFmt w:val="bullet"/>
      <w:start w:val="1"/>
    </w:lvl>
  </w:abstractNum>
  <w:abstractNum w:abstractNumId="194">
    <w:nsid w:val="141D2302"/>
    <w:multiLevelType w:val="hybridMultilevel"/>
    <w:lvl w:ilvl="0">
      <w:lvlJc w:val="left"/>
      <w:lvlText w:val="****"/>
      <w:numFmt w:val="bullet"/>
      <w:start w:val="1"/>
    </w:lvl>
  </w:abstractNum>
  <w:abstractNum w:abstractNumId="195">
    <w:nsid w:val="407168D8"/>
    <w:multiLevelType w:val="hybridMultilevel"/>
    <w:lvl w:ilvl="0">
      <w:lvlJc w:val="left"/>
      <w:lvlText w:val="****"/>
      <w:numFmt w:val="bullet"/>
      <w:start w:val="1"/>
    </w:lvl>
  </w:abstractNum>
  <w:abstractNum w:abstractNumId="196">
    <w:nsid w:val="6A1B45E5"/>
    <w:multiLevelType w:val="hybridMultilevel"/>
    <w:lvl w:ilvl="0">
      <w:lvlJc w:val="left"/>
      <w:lvlText w:val="****"/>
      <w:numFmt w:val="bullet"/>
      <w:start w:val="1"/>
    </w:lvl>
  </w:abstractNum>
  <w:abstractNum w:abstractNumId="197">
    <w:nsid w:val="567BD50A"/>
    <w:multiLevelType w:val="hybridMultilevel"/>
    <w:lvl w:ilvl="0">
      <w:lvlJc w:val="left"/>
      <w:lvlText w:val="%1."/>
      <w:numFmt w:val="lowerRoman"/>
      <w:start w:val="1"/>
    </w:lvl>
  </w:abstractNum>
  <w:abstractNum w:abstractNumId="198">
    <w:nsid w:val="73BBD7F8"/>
    <w:multiLevelType w:val="hybridMultilevel"/>
    <w:lvl w:ilvl="0">
      <w:lvlJc w:val="left"/>
      <w:lvlText w:val="****"/>
      <w:numFmt w:val="bullet"/>
      <w:start w:val="1"/>
    </w:lvl>
  </w:abstractNum>
  <w:abstractNum w:abstractNumId="199">
    <w:nsid w:val="1876589D"/>
    <w:multiLevelType w:val="hybridMultilevel"/>
    <w:lvl w:ilvl="0">
      <w:lvlJc w:val="left"/>
      <w:lvlText w:val="****"/>
      <w:numFmt w:val="bullet"/>
      <w:start w:val="1"/>
    </w:lvl>
  </w:abstractNum>
  <w:abstractNum w:abstractNumId="200">
    <w:nsid w:val="327FAC77"/>
    <w:multiLevelType w:val="hybridMultilevel"/>
    <w:lvl w:ilvl="0">
      <w:lvlJc w:val="left"/>
      <w:lvlText w:val="****"/>
      <w:numFmt w:val="bullet"/>
      <w:start w:val="1"/>
    </w:lvl>
  </w:abstractNum>
  <w:abstractNum w:abstractNumId="201">
    <w:nsid w:val="5A606509"/>
    <w:multiLevelType w:val="hybridMultilevel"/>
    <w:lvl w:ilvl="0">
      <w:lvlJc w:val="left"/>
      <w:lvlText w:val="****"/>
      <w:numFmt w:val="bullet"/>
      <w:start w:val="1"/>
    </w:lvl>
  </w:abstractNum>
  <w:abstractNum w:abstractNumId="202">
    <w:nsid w:val="6F38E6D1"/>
    <w:multiLevelType w:val="hybridMultilevel"/>
    <w:lvl w:ilvl="0">
      <w:lvlJc w:val="left"/>
      <w:lvlText w:val="****"/>
      <w:numFmt w:val="bullet"/>
      <w:start w:val="1"/>
    </w:lvl>
  </w:abstractNum>
  <w:abstractNum w:abstractNumId="203">
    <w:nsid w:val="46111BA5"/>
    <w:multiLevelType w:val="hybridMultilevel"/>
    <w:lvl w:ilvl="0">
      <w:lvlJc w:val="left"/>
      <w:lvlText w:val="****"/>
      <w:numFmt w:val="bullet"/>
      <w:start w:val="1"/>
    </w:lvl>
  </w:abstractNum>
  <w:abstractNum w:abstractNumId="204">
    <w:nsid w:val="5E963896"/>
    <w:multiLevelType w:val="hybridMultilevel"/>
    <w:lvl w:ilvl="0">
      <w:lvlJc w:val="left"/>
      <w:lvlText w:val="****"/>
      <w:numFmt w:val="bullet"/>
      <w:start w:val="1"/>
    </w:lvl>
  </w:abstractNum>
  <w:abstractNum w:abstractNumId="205">
    <w:nsid w:val="775BA7C1"/>
    <w:multiLevelType w:val="hybridMultilevel"/>
    <w:lvl w:ilvl="0">
      <w:lvlJc w:val="left"/>
      <w:lvlText w:val="****"/>
      <w:numFmt w:val="bullet"/>
      <w:start w:val="1"/>
    </w:lvl>
  </w:abstractNum>
  <w:abstractNum w:abstractNumId="206">
    <w:nsid w:val="1DD6D6F4"/>
    <w:multiLevelType w:val="hybridMultilevel"/>
    <w:lvl w:ilvl="0">
      <w:lvlJc w:val="left"/>
      <w:lvlText w:val="****"/>
      <w:numFmt w:val="bullet"/>
      <w:start w:val="1"/>
    </w:lvl>
  </w:abstractNum>
  <w:abstractNum w:abstractNumId="207">
    <w:nsid w:val="769A091F"/>
    <w:multiLevelType w:val="hybridMultilevel"/>
    <w:lvl w:ilvl="0">
      <w:lvlJc w:val="left"/>
      <w:lvlText w:val="****"/>
      <w:numFmt w:val="bullet"/>
      <w:start w:val="1"/>
    </w:lvl>
  </w:abstractNum>
  <w:abstractNum w:abstractNumId="208">
    <w:nsid w:val="4695AE95"/>
    <w:multiLevelType w:val="hybridMultilevel"/>
    <w:lvl w:ilvl="0">
      <w:lvlJc w:val="left"/>
      <w:lvlText w:val="****"/>
      <w:numFmt w:val="bullet"/>
      <w:start w:val="1"/>
    </w:lvl>
  </w:abstractNum>
  <w:abstractNum w:abstractNumId="209">
    <w:nsid w:val="777A4EAA"/>
    <w:multiLevelType w:val="hybridMultilevel"/>
    <w:lvl w:ilvl="0">
      <w:lvlJc w:val="left"/>
      <w:lvlText w:val="****"/>
      <w:numFmt w:val="bullet"/>
      <w:start w:val="1"/>
    </w:lvl>
  </w:abstractNum>
  <w:abstractNum w:abstractNumId="210">
    <w:nsid w:val="3F48B982"/>
    <w:multiLevelType w:val="hybridMultilevel"/>
    <w:lvl w:ilvl="0">
      <w:lvlJc w:val="left"/>
      <w:lvlText w:val="%1."/>
      <w:numFmt w:val="decimal"/>
      <w:start w:val="1"/>
    </w:lvl>
  </w:abstractNum>
  <w:abstractNum w:abstractNumId="211">
    <w:nsid w:val="46BA8FCA"/>
    <w:multiLevelType w:val="hybridMultilevel"/>
    <w:lvl w:ilvl="0">
      <w:lvlJc w:val="left"/>
      <w:lvlText w:val="****"/>
      <w:numFmt w:val="bullet"/>
      <w:start w:val="1"/>
    </w:lvl>
  </w:abstractNum>
  <w:abstractNum w:abstractNumId="212">
    <w:nsid w:val="7835626C"/>
    <w:multiLevelType w:val="hybridMultilevel"/>
    <w:lvl w:ilvl="0">
      <w:lvlJc w:val="left"/>
      <w:lvlText w:val="(%1)"/>
      <w:numFmt w:val="lowerLetter"/>
      <w:start w:val="1"/>
    </w:lvl>
  </w:abstractNum>
  <w:abstractNum w:abstractNumId="213">
    <w:nsid w:val="665ACA49"/>
    <w:multiLevelType w:val="hybridMultilevel"/>
    <w:lvl w:ilvl="0">
      <w:lvlJc w:val="left"/>
      <w:lvlText w:val="****"/>
      <w:numFmt w:val="bullet"/>
      <w:start w:val="1"/>
    </w:lvl>
  </w:abstractNum>
  <w:abstractNum w:abstractNumId="214">
    <w:nsid w:val="6835B2AE"/>
    <w:multiLevelType w:val="hybridMultilevel"/>
    <w:lvl w:ilvl="0">
      <w:lvlJc w:val="left"/>
      <w:lvlText w:val="(%1)"/>
      <w:numFmt w:val="lowerLetter"/>
      <w:start w:val="4"/>
    </w:lvl>
  </w:abstractNum>
  <w:abstractNum w:abstractNumId="215">
    <w:nsid w:val="4C187C90"/>
    <w:multiLevelType w:val="hybridMultilevel"/>
    <w:lvl w:ilvl="0">
      <w:lvlJc w:val="left"/>
      <w:lvlText w:val="****"/>
      <w:numFmt w:val="bullet"/>
      <w:start w:val="1"/>
    </w:lvl>
  </w:abstractNum>
  <w:abstractNum w:abstractNumId="216">
    <w:nsid w:val="541F28CD"/>
    <w:multiLevelType w:val="hybridMultilevel"/>
    <w:lvl w:ilvl="0">
      <w:lvlJc w:val="left"/>
      <w:lvlText w:val="****"/>
      <w:numFmt w:val="bullet"/>
      <w:start w:val="1"/>
    </w:lvl>
  </w:abstractNum>
  <w:abstractNum w:abstractNumId="217">
    <w:nsid w:val="7F65FD16"/>
    <w:multiLevelType w:val="hybridMultilevel"/>
    <w:lvl w:ilvl="0">
      <w:lvlJc w:val="left"/>
      <w:lvlText w:val="%1."/>
      <w:numFmt w:val="decimal"/>
      <w:start w:val="3"/>
    </w:lvl>
  </w:abstractNum>
  <w:abstractNum w:abstractNumId="218">
    <w:nsid w:val="77C9FD6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19">
    <w:nsid w:val="298A92BA"/>
    <w:multiLevelType w:val="hybridMultilevel"/>
    <w:lvl w:ilvl="0">
      <w:lvlJc w:val="left"/>
      <w:lvlText w:val="%1"/>
      <w:numFmt w:val="lowerLetter"/>
      <w:start w:val="1"/>
    </w:lvl>
    <w:lvl w:ilvl="1">
      <w:lvlJc w:val="left"/>
      <w:lvlText w:val="(%2)"/>
      <w:numFmt w:val="lowerLetter"/>
      <w:start w:val="24"/>
    </w:lvl>
  </w:abstractNum>
  <w:abstractNum w:abstractNumId="220">
    <w:nsid w:val="6FE95EAC"/>
    <w:multiLevelType w:val="hybridMultilevel"/>
    <w:lvl w:ilvl="0">
      <w:lvlJc w:val="left"/>
      <w:lvlText w:val="(%1)"/>
      <w:numFmt w:val="lowerLetter"/>
      <w:start w:val="2"/>
    </w:lvl>
    <w:lvl w:ilvl="1">
      <w:lvlJc w:val="left"/>
      <w:lvlText w:val="%2"/>
      <w:numFmt w:val="lowerLetter"/>
      <w:start w:val="1"/>
    </w:lvl>
  </w:abstractNum>
  <w:abstractNum w:abstractNumId="221">
    <w:nsid w:val="4B697C7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22">
    <w:nsid w:val="51A27AA6"/>
    <w:multiLevelType w:val="hybridMultilevel"/>
    <w:lvl w:ilvl="0">
      <w:lvlJc w:val="left"/>
      <w:lvlText w:val="****"/>
      <w:numFmt w:val="bullet"/>
      <w:start w:val="1"/>
    </w:lvl>
    <w:lvl w:ilvl="1">
      <w:lvlJc w:val="left"/>
      <w:lvlText w:val="(%2)"/>
      <w:numFmt w:val="lowerRoman"/>
      <w:start w:val="2"/>
    </w:lvl>
  </w:abstractNum>
  <w:abstractNum w:abstractNumId="223">
    <w:nsid w:val="613183F2"/>
    <w:multiLevelType w:val="hybridMultilevel"/>
    <w:lvl w:ilvl="0">
      <w:lvlJc w:val="left"/>
      <w:lvlText w:val="%1"/>
      <w:numFmt w:val="lowerLetter"/>
      <w:start w:val="1"/>
    </w:lvl>
    <w:lvl w:ilvl="1">
      <w:lvlJc w:val="left"/>
      <w:lvlText w:val="(%2)"/>
      <w:numFmt w:val="lowerRoman"/>
      <w:start w:val="4"/>
    </w:lvl>
  </w:abstractNum>
  <w:abstractNum w:abstractNumId="224">
    <w:nsid w:val="634102B4"/>
    <w:multiLevelType w:val="hybridMultilevel"/>
    <w:lvl w:ilvl="0">
      <w:lvlJc w:val="left"/>
      <w:lvlText w:val="(%1)"/>
      <w:numFmt w:val="lowerLetter"/>
      <w:start w:val="2"/>
    </w:lvl>
    <w:lvl w:ilvl="1">
      <w:lvlJc w:val="left"/>
      <w:lvlText w:val="(%2)"/>
      <w:numFmt w:val="lowerRoman"/>
      <w:start w:val="2"/>
    </w:lvl>
  </w:abstractNum>
  <w:abstractNum w:abstractNumId="225">
    <w:nsid w:val="65BF9DA8"/>
    <w:multiLevelType w:val="hybridMultilevel"/>
    <w:lvl w:ilvl="0">
      <w:lvlJc w:val="left"/>
      <w:lvlText w:val="****"/>
      <w:numFmt w:val="bullet"/>
      <w:start w:val="1"/>
    </w:lvl>
  </w:abstractNum>
  <w:abstractNum w:abstractNumId="226">
    <w:nsid w:val="21A2ECCA"/>
    <w:multiLevelType w:val="hybridMultilevel"/>
    <w:lvl w:ilvl="0">
      <w:lvlJc w:val="left"/>
      <w:lvlText w:val="(%1)"/>
      <w:numFmt w:val="lowerLetter"/>
      <w:start w:val="3"/>
    </w:lvl>
  </w:abstractNum>
  <w:abstractNum w:abstractNumId="227">
    <w:nsid w:val="4D5C4899"/>
    <w:multiLevelType w:val="hybridMultilevel"/>
    <w:lvl w:ilvl="0">
      <w:lvlJc w:val="left"/>
      <w:lvlText w:val="(%1)"/>
      <w:numFmt w:val="lowerLetter"/>
      <w:start w:val="1"/>
    </w:lvl>
  </w:abstractNum>
  <w:abstractNum w:abstractNumId="228">
    <w:nsid w:val="3C3B72B2"/>
    <w:multiLevelType w:val="hybridMultilevel"/>
    <w:lvl w:ilvl="0">
      <w:lvlJc w:val="left"/>
      <w:lvlText w:val="****"/>
      <w:numFmt w:val="bullet"/>
      <w:start w:val="1"/>
    </w:lvl>
  </w:abstractNum>
  <w:abstractNum w:abstractNumId="229">
    <w:nsid w:val="155EC4C2"/>
    <w:multiLevelType w:val="hybridMultilevel"/>
    <w:lvl w:ilvl="0">
      <w:lvlJc w:val="left"/>
      <w:lvlText w:val="(%1)"/>
      <w:numFmt w:val="lowerLetter"/>
      <w:start w:val="1"/>
    </w:lvl>
  </w:abstractNum>
  <w:abstractNum w:abstractNumId="230">
    <w:nsid w:val="65D2A137"/>
    <w:multiLevelType w:val="hybridMultilevel"/>
    <w:lvl w:ilvl="0">
      <w:lvlJc w:val="left"/>
      <w:lvlText w:val="****"/>
      <w:numFmt w:val="bullet"/>
      <w:start w:val="1"/>
    </w:lvl>
  </w:abstractNum>
  <w:abstractNum w:abstractNumId="231">
    <w:nsid w:val="6EBB1F2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32">
    <w:nsid w:val="6FBF29CB"/>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3"/>
    </w:lvl>
  </w:abstractNum>
  <w:abstractNum w:abstractNumId="233">
    <w:nsid w:val="550B8808"/>
    <w:multiLevelType w:val="hybridMultilevel"/>
    <w:lvl w:ilvl="0">
      <w:lvlJc w:val="left"/>
      <w:lvlText w:val="****"/>
      <w:numFmt w:val="bullet"/>
      <w:start w:val="1"/>
    </w:lvl>
  </w:abstractNum>
  <w:abstractNum w:abstractNumId="234">
    <w:nsid w:val="34CC3ACF"/>
    <w:multiLevelType w:val="hybridMultilevel"/>
    <w:lvl w:ilvl="0">
      <w:lvlJc w:val="left"/>
      <w:lvlText w:val="(%1)"/>
      <w:numFmt w:val="lowerLetter"/>
      <w:start w:val="8"/>
    </w:lvl>
  </w:abstractNum>
  <w:abstractNum w:abstractNumId="235">
    <w:nsid w:val="4E556261"/>
    <w:multiLevelType w:val="hybridMultilevel"/>
    <w:lvl w:ilvl="0">
      <w:lvlJc w:val="left"/>
      <w:lvlText w:val="%1"/>
      <w:numFmt w:val="lowerLetter"/>
      <w:start w:val="1"/>
    </w:lvl>
    <w:lvl w:ilvl="1">
      <w:lvlJc w:val="left"/>
      <w:lvlText w:val="(%2)"/>
      <w:numFmt w:val="lowerLetter"/>
      <w:start w:val="10"/>
    </w:lvl>
  </w:abstractNum>
  <w:abstractNum w:abstractNumId="236">
    <w:nsid w:val="4C672FC9"/>
    <w:multiLevelType w:val="hybridMultilevel"/>
    <w:lvl w:ilvl="0">
      <w:lvlJc w:val="left"/>
      <w:lvlText w:val="(%1)"/>
      <w:numFmt w:val="lowerLetter"/>
      <w:start w:val="24"/>
    </w:lvl>
    <w:lvl w:ilvl="1">
      <w:lvlJc w:val="left"/>
      <w:lvlText w:val="%2"/>
      <w:numFmt w:val="lowerLetter"/>
      <w:start w:val="1"/>
    </w:lvl>
  </w:abstractNum>
  <w:abstractNum w:abstractNumId="237">
    <w:nsid w:val="52A311C3"/>
    <w:multiLevelType w:val="hybridMultilevel"/>
    <w:lvl w:ilvl="0">
      <w:lvlJc w:val="left"/>
      <w:lvlText w:val="%1."/>
      <w:numFmt w:val="decimal"/>
      <w:start w:val="4"/>
    </w:lvl>
  </w:abstractNum>
  <w:abstractNum w:abstractNumId="238">
    <w:nsid w:val="44EF6B80"/>
    <w:multiLevelType w:val="hybridMultilevel"/>
    <w:lvl w:ilvl="0">
      <w:lvlJc w:val="left"/>
      <w:lvlText w:val="(%1)"/>
      <w:numFmt w:val="lowerLetter"/>
      <w:start w:val="1"/>
    </w:lvl>
  </w:abstractNum>
  <w:abstractNum w:abstractNumId="239">
    <w:nsid w:val="12FCDE5E"/>
    <w:multiLevelType w:val="hybridMultilevel"/>
    <w:lvl w:ilvl="0">
      <w:lvlJc w:val="left"/>
      <w:lvlText w:val="****"/>
      <w:numFmt w:val="bullet"/>
      <w:start w:val="1"/>
    </w:lvl>
  </w:abstractNum>
  <w:abstractNum w:abstractNumId="240">
    <w:nsid w:val="4A1D606E"/>
    <w:multiLevelType w:val="hybridMultilevel"/>
    <w:lvl w:ilvl="0">
      <w:lvlJc w:val="left"/>
      <w:lvlText w:val="(%1)"/>
      <w:numFmt w:val="lowerLetter"/>
      <w:start w:val="1"/>
    </w:lvl>
  </w:abstractNum>
  <w:abstractNum w:abstractNumId="241">
    <w:nsid w:val="4382503"/>
    <w:multiLevelType w:val="hybridMultilevel"/>
    <w:lvl w:ilvl="0">
      <w:lvlJc w:val="left"/>
      <w:lvlText w:val="****"/>
      <w:numFmt w:val="bullet"/>
      <w:start w:val="1"/>
    </w:lvl>
  </w:abstractNum>
  <w:abstractNum w:abstractNumId="242">
    <w:nsid w:val="59B76E28"/>
    <w:multiLevelType w:val="hybridMultilevel"/>
    <w:lvl w:ilvl="0">
      <w:lvlJc w:val="left"/>
      <w:lvlText w:val="%1."/>
      <w:numFmt w:val="decimal"/>
      <w:start w:val="5"/>
    </w:lvl>
  </w:abstractNum>
  <w:abstractNum w:abstractNumId="243">
    <w:nsid w:val="4252C2DA"/>
    <w:multiLevelType w:val="hybridMultilevel"/>
    <w:lvl w:ilvl="0">
      <w:lvlJc w:val="left"/>
      <w:lvlText w:val="%1."/>
      <w:numFmt w:val="decimal"/>
      <w:start w:val="7"/>
    </w:lvl>
  </w:abstractNum>
  <w:abstractNum w:abstractNumId="244">
    <w:nsid w:val="6A92EF4C"/>
    <w:multiLevelType w:val="hybridMultilevel"/>
    <w:lvl w:ilvl="0">
      <w:lvlJc w:val="left"/>
      <w:lvlText w:val="****"/>
      <w:numFmt w:val="bullet"/>
      <w:start w:val="1"/>
    </w:lvl>
  </w:abstractNum>
  <w:abstractNum w:abstractNumId="245">
    <w:nsid w:val="41ED20D7"/>
    <w:multiLevelType w:val="hybridMultilevel"/>
    <w:lvl w:ilvl="0">
      <w:lvlJc w:val="left"/>
      <w:lvlText w:val="%1."/>
      <w:numFmt w:val="decimal"/>
      <w:start w:val="8"/>
    </w:lvl>
  </w:abstractNum>
  <w:abstractNum w:abstractNumId="246">
    <w:nsid w:val="E6B3F6A"/>
    <w:multiLevelType w:val="hybridMultilevel"/>
    <w:lvl w:ilvl="0">
      <w:lvlJc w:val="left"/>
      <w:lvlText w:val="%1."/>
      <w:numFmt w:val="decimal"/>
      <w:start w:val="9"/>
    </w:lvl>
  </w:abstractNum>
  <w:abstractNum w:abstractNumId="247">
    <w:nsid w:val="3EB21819"/>
    <w:multiLevelType w:val="hybridMultilevel"/>
    <w:lvl w:ilvl="0">
      <w:lvlJc w:val="left"/>
      <w:lvlText w:val="****"/>
      <w:numFmt w:val="bullet"/>
      <w:start w:val="1"/>
    </w:lvl>
  </w:abstractNum>
  <w:abstractNum w:abstractNumId="248">
    <w:nsid w:val="41531DED"/>
    <w:multiLevelType w:val="hybridMultilevel"/>
    <w:lvl w:ilvl="0">
      <w:lvlJc w:val="left"/>
      <w:lvlText w:val="%1."/>
      <w:numFmt w:val="decimal"/>
      <w:start w:val="10"/>
    </w:lvl>
  </w:abstractNum>
  <w:abstractNum w:abstractNumId="249">
    <w:nsid w:val="6353CD2"/>
    <w:multiLevelType w:val="hybridMultilevel"/>
    <w:lvl w:ilvl="0">
      <w:lvlJc w:val="left"/>
      <w:lvlText w:val="****"/>
      <w:numFmt w:val="bullet"/>
      <w:start w:val="1"/>
    </w:lvl>
  </w:abstractNum>
  <w:abstractNum w:abstractNumId="250">
    <w:nsid w:val="683CAAD3"/>
    <w:multiLevelType w:val="hybridMultilevel"/>
    <w:lvl w:ilvl="0">
      <w:lvlJc w:val="left"/>
      <w:lvlText w:val="(%1)"/>
      <w:numFmt w:val="lowerLetter"/>
      <w:start w:val="1"/>
    </w:lvl>
  </w:abstractNum>
  <w:abstractNum w:abstractNumId="251">
    <w:nsid w:val="313C7C99"/>
    <w:multiLevelType w:val="hybridMultilevel"/>
    <w:lvl w:ilvl="0">
      <w:lvlJc w:val="left"/>
      <w:lvlText w:val="****"/>
      <w:numFmt w:val="bullet"/>
      <w:start w:val="1"/>
    </w:lvl>
  </w:abstractNum>
  <w:abstractNum w:abstractNumId="252">
    <w:nsid w:val="519EB94C"/>
    <w:multiLevelType w:val="hybridMultilevel"/>
    <w:lvl w:ilvl="0">
      <w:lvlJc w:val="left"/>
      <w:lvlText w:val="****"/>
      <w:numFmt w:val="bullet"/>
      <w:start w:val="1"/>
    </w:lvl>
  </w:abstractNum>
  <w:abstractNum w:abstractNumId="253">
    <w:nsid w:val="39DF2579"/>
    <w:multiLevelType w:val="hybridMultilevel"/>
    <w:lvl w:ilvl="0">
      <w:lvlJc w:val="left"/>
      <w:lvlText w:val="****"/>
      <w:numFmt w:val="bullet"/>
      <w:start w:val="1"/>
    </w:lvl>
  </w:abstractNum>
  <w:abstractNum w:abstractNumId="254">
    <w:nsid w:val="126E008B"/>
    <w:multiLevelType w:val="hybridMultilevel"/>
    <w:lvl w:ilvl="0">
      <w:lvlJc w:val="left"/>
      <w:lvlText w:val="****"/>
      <w:numFmt w:val="bullet"/>
      <w:start w:val="1"/>
    </w:lvl>
  </w:abstractNum>
  <w:abstractNum w:abstractNumId="255">
    <w:nsid w:val="34DFBC00"/>
    <w:multiLevelType w:val="hybridMultilevel"/>
    <w:lvl w:ilvl="0">
      <w:lvlJc w:val="left"/>
      <w:lvlText w:val="****"/>
      <w:numFmt w:val="bullet"/>
      <w:start w:val="1"/>
    </w:lvl>
  </w:abstractNum>
  <w:abstractNum w:abstractNumId="256">
    <w:nsid w:val="1F9EC322"/>
    <w:multiLevelType w:val="hybridMultilevel"/>
    <w:lvl w:ilvl="0">
      <w:lvlJc w:val="left"/>
      <w:lvlText w:val="****"/>
      <w:numFmt w:val="bullet"/>
      <w:start w:val="1"/>
    </w:lvl>
  </w:abstractNum>
  <w:abstractNum w:abstractNumId="257">
    <w:nsid w:val="3410ED56"/>
    <w:multiLevelType w:val="hybridMultilevel"/>
    <w:lvl w:ilvl="0">
      <w:lvlJc w:val="left"/>
      <w:lvlText w:val="(%1)"/>
      <w:numFmt w:val="lowerRoman"/>
      <w:start w:val="3"/>
    </w:lvl>
  </w:abstractNum>
  <w:abstractNum w:abstractNumId="258">
    <w:nsid w:val="23C049A"/>
    <w:multiLevelType w:val="hybridMultilevel"/>
    <w:lvl w:ilvl="0">
      <w:lvlJc w:val="left"/>
      <w:lvlText w:val="****"/>
      <w:numFmt w:val="bullet"/>
      <w:start w:val="1"/>
    </w:lvl>
  </w:abstractNum>
  <w:abstractNum w:abstractNumId="259">
    <w:nsid w:val="5BDA35D4"/>
    <w:multiLevelType w:val="hybridMultilevel"/>
    <w:lvl w:ilvl="0">
      <w:lvlJc w:val="left"/>
      <w:lvlText w:val="****"/>
      <w:numFmt w:val="bullet"/>
      <w:start w:val="1"/>
    </w:lvl>
  </w:abstractNum>
  <w:abstractNum w:abstractNumId="260">
    <w:nsid w:val="496FB218"/>
    <w:multiLevelType w:val="hybridMultilevel"/>
    <w:lvl w:ilvl="0">
      <w:lvlJc w:val="left"/>
      <w:lvlText w:val="(%1)"/>
      <w:numFmt w:val="lowerRoman"/>
      <w:start w:val="1"/>
    </w:lvl>
  </w:abstractNum>
  <w:abstractNum w:abstractNumId="261">
    <w:nsid w:val="680EA5D1"/>
    <w:multiLevelType w:val="hybridMultilevel"/>
    <w:lvl w:ilvl="0">
      <w:lvlJc w:val="left"/>
      <w:lvlText w:val="****"/>
      <w:numFmt w:val="bullet"/>
      <w:start w:val="1"/>
    </w:lvl>
  </w:abstractNum>
  <w:abstractNum w:abstractNumId="262">
    <w:nsid w:val="4A9554FE"/>
    <w:multiLevelType w:val="hybridMultilevel"/>
    <w:lvl w:ilvl="0">
      <w:lvlJc w:val="left"/>
      <w:lvlText w:val="****"/>
      <w:numFmt w:val="bullet"/>
      <w:start w:val="1"/>
    </w:lvl>
  </w:abstractNum>
  <w:abstractNum w:abstractNumId="263">
    <w:nsid w:val="392EDBE4"/>
    <w:multiLevelType w:val="hybridMultilevel"/>
    <w:lvl w:ilvl="0">
      <w:lvlJc w:val="left"/>
      <w:lvlText w:val="****"/>
      <w:numFmt w:val="bullet"/>
      <w:start w:val="1"/>
    </w:lvl>
  </w:abstractNum>
  <w:abstractNum w:abstractNumId="264">
    <w:nsid w:val="3D1A2DD9"/>
    <w:multiLevelType w:val="hybridMultilevel"/>
    <w:lvl w:ilvl="0">
      <w:lvlJc w:val="left"/>
      <w:lvlText w:val="****"/>
      <w:numFmt w:val="bullet"/>
      <w:start w:val="1"/>
    </w:lvl>
  </w:abstractNum>
  <w:abstractNum w:abstractNumId="265">
    <w:nsid w:val="7F618FCD"/>
    <w:multiLevelType w:val="hybridMultilevel"/>
    <w:lvl w:ilvl="0">
      <w:lvlJc w:val="left"/>
      <w:lvlText w:val="%1."/>
      <w:numFmt w:val="decimal"/>
      <w:start w:val="1"/>
    </w:lvl>
  </w:abstractNum>
  <w:abstractNum w:abstractNumId="266">
    <w:nsid w:val="7843E45"/>
    <w:multiLevelType w:val="hybridMultilevel"/>
    <w:lvl w:ilvl="0">
      <w:lvlJc w:val="left"/>
      <w:lvlText w:val="(%1)"/>
      <w:numFmt w:val="lowerLetter"/>
      <w:start w:val="1"/>
    </w:lvl>
  </w:abstractNum>
  <w:abstractNum w:abstractNumId="267">
    <w:nsid w:val="9815DA3"/>
    <w:multiLevelType w:val="hybridMultilevel"/>
    <w:lvl w:ilvl="0">
      <w:lvlJc w:val="left"/>
      <w:lvlText w:val="****"/>
      <w:numFmt w:val="bullet"/>
      <w:start w:val="1"/>
    </w:lvl>
  </w:abstractNum>
  <w:abstractNum w:abstractNumId="268">
    <w:nsid w:val="5204A191"/>
    <w:multiLevelType w:val="hybridMultilevel"/>
    <w:lvl w:ilvl="0">
      <w:lvlJc w:val="left"/>
      <w:lvlText w:val="****"/>
      <w:numFmt w:val="bullet"/>
      <w:start w:val="1"/>
    </w:lvl>
  </w:abstractNum>
  <w:abstractNum w:abstractNumId="269">
    <w:nsid w:val="4C73A9C6"/>
    <w:multiLevelType w:val="hybridMultilevel"/>
    <w:lvl w:ilvl="0">
      <w:lvlJc w:val="left"/>
      <w:lvlText w:val="%1."/>
      <w:numFmt w:val="decimal"/>
      <w:start w:val="2"/>
    </w:lvl>
  </w:abstractNum>
  <w:abstractNum w:abstractNumId="270">
    <w:nsid w:val="1C7E3C01"/>
    <w:multiLevelType w:val="hybridMultilevel"/>
    <w:lvl w:ilvl="0">
      <w:lvlJc w:val="left"/>
      <w:lvlText w:val="%1"/>
      <w:numFmt w:val="lowerLetter"/>
      <w:start w:val="1"/>
    </w:lvl>
    <w:lvl w:ilvl="1">
      <w:lvlJc w:val="left"/>
      <w:lvlText w:val="(%2)"/>
      <w:numFmt w:val="lowerLetter"/>
      <w:start w:val="1"/>
    </w:lvl>
  </w:abstractNum>
  <w:abstractNum w:abstractNumId="271">
    <w:nsid w:val="1C2201FF"/>
    <w:multiLevelType w:val="hybridMultilevel"/>
    <w:lvl w:ilvl="0">
      <w:lvlJc w:val="left"/>
      <w:lvlText w:val="(%1)"/>
      <w:numFmt w:val="lowerLetter"/>
      <w:start w:val="2"/>
    </w:lvl>
    <w:lvl w:ilvl="1">
      <w:lvlJc w:val="left"/>
      <w:lvlText w:val="%2"/>
      <w:numFmt w:val="lowerLetter"/>
      <w:start w:val="1"/>
    </w:lvl>
  </w:abstractNum>
  <w:abstractNum w:abstractNumId="272">
    <w:nsid w:val="50ABCEC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73">
    <w:nsid w:val="7635AA2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74">
    <w:nsid w:val="5E74C4D9"/>
    <w:multiLevelType w:val="hybridMultilevel"/>
    <w:lvl w:ilvl="0">
      <w:lvlJc w:val="left"/>
      <w:lvlText w:val="****"/>
      <w:numFmt w:val="bullet"/>
      <w:start w:val="1"/>
    </w:lvl>
  </w:abstractNum>
  <w:abstractNum w:abstractNumId="275">
    <w:nsid w:val="3B3EBE15"/>
    <w:multiLevelType w:val="hybridMultilevel"/>
    <w:lvl w:ilvl="0">
      <w:lvlJc w:val="left"/>
      <w:lvlText w:val="(%1)"/>
      <w:numFmt w:val="lowerRoman"/>
      <w:start w:val="2"/>
    </w:lvl>
  </w:abstractNum>
  <w:abstractNum w:abstractNumId="276">
    <w:nsid w:val="3822CB01"/>
    <w:multiLevelType w:val="hybridMultilevel"/>
    <w:lvl w:ilvl="0">
      <w:lvlJc w:val="left"/>
      <w:lvlText w:val="****"/>
      <w:numFmt w:val="bullet"/>
      <w:start w:val="1"/>
    </w:lvl>
  </w:abstractNum>
  <w:abstractNum w:abstractNumId="277">
    <w:nsid w:val="6CE00443"/>
    <w:multiLevelType w:val="hybridMultilevel"/>
    <w:lvl w:ilvl="0">
      <w:lvlJc w:val="left"/>
      <w:lvlText w:val="%1"/>
      <w:numFmt w:val="lowerLetter"/>
      <w:start w:val="1"/>
    </w:lvl>
    <w:lvl w:ilvl="1">
      <w:lvlJc w:val="left"/>
      <w:lvlText w:val="(%2)"/>
      <w:numFmt w:val="lowerRoman"/>
      <w:start w:val="4"/>
    </w:lvl>
  </w:abstractNum>
  <w:abstractNum w:abstractNumId="278">
    <w:nsid w:val="79F0D62F"/>
    <w:multiLevelType w:val="hybridMultilevel"/>
    <w:lvl w:ilvl="0">
      <w:lvlJc w:val="left"/>
      <w:lvlText w:val="(%1)"/>
      <w:numFmt w:val="lowerLetter"/>
      <w:start w:val="2"/>
    </w:lvl>
    <w:lvl w:ilvl="1">
      <w:lvlJc w:val="left"/>
      <w:lvlText w:val="(%2)"/>
      <w:numFmt w:val="lowerRoman"/>
      <w:start w:val="2"/>
    </w:lvl>
  </w:abstractNum>
  <w:abstractNum w:abstractNumId="279">
    <w:nsid w:val="7975E8EE"/>
    <w:multiLevelType w:val="hybridMultilevel"/>
    <w:lvl w:ilvl="0">
      <w:lvlJc w:val="left"/>
      <w:lvlText w:val="****"/>
      <w:numFmt w:val="bullet"/>
      <w:start w:val="1"/>
    </w:lvl>
  </w:abstractNum>
  <w:abstractNum w:abstractNumId="280">
    <w:nsid w:val="73154115"/>
    <w:multiLevelType w:val="hybridMultilevel"/>
    <w:lvl w:ilvl="0">
      <w:lvlJc w:val="left"/>
      <w:lvlText w:val="%1."/>
      <w:numFmt w:val="decimal"/>
      <w:start w:val="4"/>
    </w:lvl>
  </w:abstractNum>
  <w:abstractNum w:abstractNumId="281">
    <w:nsid w:val="622D8102"/>
    <w:multiLevelType w:val="hybridMultilevel"/>
    <w:lvl w:ilvl="0">
      <w:lvlJc w:val="left"/>
      <w:lvlText w:val="****"/>
      <w:numFmt w:val="bullet"/>
      <w:start w:val="1"/>
    </w:lvl>
  </w:abstractNum>
  <w:abstractNum w:abstractNumId="282">
    <w:nsid w:val="2AB26587"/>
    <w:multiLevelType w:val="hybridMultilevel"/>
    <w:lvl w:ilvl="0">
      <w:lvlJc w:val="left"/>
      <w:lvlText w:val="%1."/>
      <w:numFmt w:val="decimal"/>
      <w:start w:val="5"/>
    </w:lvl>
  </w:abstractNum>
  <w:abstractNum w:abstractNumId="283">
    <w:nsid w:val="44B3FA61"/>
    <w:multiLevelType w:val="hybridMultilevel"/>
    <w:lvl w:ilvl="0">
      <w:lvlJc w:val="left"/>
      <w:lvlText w:val="****"/>
      <w:numFmt w:val="bullet"/>
      <w:start w:val="1"/>
    </w:lvl>
  </w:abstractNum>
  <w:abstractNum w:abstractNumId="284">
    <w:nsid w:val="1C0CA67C"/>
    <w:multiLevelType w:val="hybridMultilevel"/>
    <w:lvl w:ilvl="0">
      <w:lvlJc w:val="left"/>
      <w:lvlText w:val="%1."/>
      <w:numFmt w:val="decimal"/>
      <w:start w:val="6"/>
    </w:lvl>
  </w:abstractNum>
  <w:abstractNum w:abstractNumId="285">
    <w:nsid w:val="3D206613"/>
    <w:multiLevelType w:val="hybridMultilevel"/>
    <w:lvl w:ilvl="0">
      <w:lvlJc w:val="left"/>
      <w:lvlText w:val="****"/>
      <w:numFmt w:val="bullet"/>
      <w:start w:val="1"/>
    </w:lvl>
  </w:abstractNum>
  <w:abstractNum w:abstractNumId="286">
    <w:nsid w:val="7993B662"/>
    <w:multiLevelType w:val="hybridMultilevel"/>
    <w:lvl w:ilvl="0">
      <w:lvlJc w:val="left"/>
      <w:lvlText w:val="%1."/>
      <w:numFmt w:val="decimal"/>
      <w:start w:val="7"/>
    </w:lvl>
  </w:abstractNum>
  <w:abstractNum w:abstractNumId="287">
    <w:nsid w:val="3BAB699E"/>
    <w:multiLevelType w:val="hybridMultilevel"/>
    <w:lvl w:ilvl="0">
      <w:lvlJc w:val="left"/>
      <w:lvlText w:val="****"/>
      <w:numFmt w:val="bullet"/>
      <w:start w:val="1"/>
    </w:lvl>
  </w:abstractNum>
  <w:abstractNum w:abstractNumId="288">
    <w:nsid w:val="71315369"/>
    <w:multiLevelType w:val="hybridMultilevel"/>
    <w:lvl w:ilvl="0">
      <w:lvlJc w:val="left"/>
      <w:lvlText w:val="(%1)"/>
      <w:numFmt w:val="lowerLetter"/>
      <w:start w:val="1"/>
    </w:lvl>
  </w:abstractNum>
  <w:abstractNum w:abstractNumId="289">
    <w:nsid w:val="7BCFBAFC"/>
    <w:multiLevelType w:val="hybridMultilevel"/>
    <w:lvl w:ilvl="0">
      <w:lvlJc w:val="left"/>
      <w:lvlText w:val="****"/>
      <w:numFmt w:val="bullet"/>
      <w:start w:val="1"/>
    </w:lvl>
  </w:abstractNum>
  <w:abstractNum w:abstractNumId="290">
    <w:nsid w:val="17859F72"/>
    <w:multiLevelType w:val="hybridMultilevel"/>
    <w:lvl w:ilvl="0">
      <w:lvlJc w:val="left"/>
      <w:lvlText w:val="****"/>
      <w:numFmt w:val="bullet"/>
      <w:start w:val="1"/>
    </w:lvl>
  </w:abstractNum>
  <w:abstractNum w:abstractNumId="291">
    <w:nsid w:val="3AA10581"/>
    <w:multiLevelType w:val="hybridMultilevel"/>
    <w:lvl w:ilvl="0">
      <w:lvlJc w:val="left"/>
      <w:lvlText w:val="****"/>
      <w:numFmt w:val="bullet"/>
      <w:start w:val="1"/>
    </w:lvl>
  </w:abstractNum>
  <w:abstractNum w:abstractNumId="292">
    <w:nsid w:val="63DE60CD"/>
    <w:multiLevelType w:val="hybridMultilevel"/>
    <w:lvl w:ilvl="0">
      <w:lvlJc w:val="left"/>
      <w:lvlText w:val="****"/>
      <w:numFmt w:val="bullet"/>
      <w:start w:val="1"/>
    </w:lvl>
  </w:abstractNum>
  <w:abstractNum w:abstractNumId="293">
    <w:nsid w:val="621AF471"/>
    <w:multiLevelType w:val="hybridMultilevel"/>
    <w:lvl w:ilvl="0">
      <w:lvlJc w:val="left"/>
      <w:lvlText w:val="****"/>
      <w:numFmt w:val="bullet"/>
      <w:start w:val="1"/>
    </w:lvl>
  </w:abstractNum>
  <w:abstractNum w:abstractNumId="294">
    <w:nsid w:val="73CFE165"/>
    <w:multiLevelType w:val="hybridMultilevel"/>
    <w:lvl w:ilvl="0">
      <w:lvlJc w:val="left"/>
      <w:lvlText w:val="****"/>
      <w:numFmt w:val="bullet"/>
      <w:start w:val="1"/>
    </w:lvl>
  </w:abstractNum>
  <w:abstractNum w:abstractNumId="295">
    <w:nsid w:val="20F88EA6"/>
    <w:multiLevelType w:val="hybridMultilevel"/>
    <w:lvl w:ilvl="0">
      <w:lvlJc w:val="left"/>
      <w:lvlText w:val="****"/>
      <w:numFmt w:val="bullet"/>
      <w:start w:val="1"/>
    </w:lvl>
    <w:lvl w:ilvl="1">
      <w:lvlJc w:val="left"/>
      <w:lvlText w:val="(%2)"/>
      <w:numFmt w:val="lowerRoman"/>
      <w:start w:val="1"/>
    </w:lvl>
  </w:abstractNum>
  <w:abstractNum w:abstractNumId="296">
    <w:nsid w:val="617C843E"/>
    <w:multiLevelType w:val="hybridMultilevel"/>
    <w:lvl w:ilvl="0">
      <w:lvlJc w:val="left"/>
      <w:lvlText w:val="(%1)"/>
      <w:numFmt w:val="lowerRoman"/>
      <w:start w:val="2"/>
    </w:lvl>
  </w:abstractNum>
  <w:abstractNum w:abstractNumId="297">
    <w:nsid w:val="7B541FAB"/>
    <w:multiLevelType w:val="hybridMultilevel"/>
    <w:lvl w:ilvl="0">
      <w:lvlJc w:val="left"/>
      <w:lvlText w:val="****"/>
      <w:numFmt w:val="bullet"/>
      <w:start w:val="1"/>
    </w:lvl>
  </w:abstractNum>
  <w:abstractNum w:abstractNumId="298">
    <w:nsid w:val="2A79EC49"/>
    <w:multiLevelType w:val="hybridMultilevel"/>
    <w:lvl w:ilvl="0">
      <w:lvlJc w:val="left"/>
      <w:lvlText w:val="****"/>
      <w:numFmt w:val="bullet"/>
      <w:start w:val="1"/>
    </w:lvl>
  </w:abstractNum>
  <w:abstractNum w:abstractNumId="299">
    <w:nsid w:val="338125CF"/>
    <w:multiLevelType w:val="hybridMultilevel"/>
    <w:lvl w:ilvl="0">
      <w:lvlJc w:val="left"/>
      <w:lvlText w:val="(%1)"/>
      <w:numFmt w:val="decimal"/>
      <w:start w:val="1"/>
    </w:lvl>
  </w:abstractNum>
  <w:abstractNum w:abstractNumId="300">
    <w:nsid w:val="47C7C971"/>
    <w:multiLevelType w:val="hybridMultilevel"/>
    <w:lvl w:ilvl="0">
      <w:lvlJc w:val="left"/>
      <w:lvlText w:val="%1."/>
      <w:numFmt w:val="decimal"/>
      <w:start w:val="1"/>
    </w:lvl>
    <w:lvl w:ilvl="1">
      <w:lvlJc w:val="left"/>
      <w:lvlText w:val="%2."/>
      <w:numFmt w:val="lowerLetter"/>
      <w:start w:val="1"/>
    </w:lvl>
  </w:abstractNum>
  <w:abstractNum w:abstractNumId="301">
    <w:nsid w:val="46F8284B"/>
    <w:multiLevelType w:val="hybridMultilevel"/>
    <w:lvl w:ilvl="0">
      <w:lvlJc w:val="left"/>
      <w:lvlText w:val="%1."/>
      <w:numFmt w:val="decimal"/>
      <w:start w:val="1"/>
    </w:lvl>
    <w:lvl w:ilvl="1">
      <w:lvlJc w:val="left"/>
      <w:lvlText w:val="%2."/>
      <w:numFmt w:val="lowerLetter"/>
      <w:start w:val="1"/>
    </w:lvl>
  </w:abstractNum>
  <w:abstractNum w:abstractNumId="302">
    <w:nsid w:val="4FA327CE"/>
    <w:multiLevelType w:val="hybridMultilevel"/>
    <w:lvl w:ilvl="0">
      <w:lvlJc w:val="left"/>
      <w:lvlText w:val="(%1)"/>
      <w:numFmt w:val="lowerRoman"/>
      <w:start w:val="1"/>
    </w:lvl>
  </w:abstractNum>
  <w:abstractNum w:abstractNumId="303">
    <w:nsid w:val="187398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jpeg"/><Relationship Id="rId52" Type="http://schemas.openxmlformats.org/officeDocument/2006/relationships/image" Target="media/image39.png"/><Relationship Id="rId53" Type="http://schemas.openxmlformats.org/officeDocument/2006/relationships/image" Target="media/image40.jpeg"/><Relationship Id="rId54" Type="http://schemas.openxmlformats.org/officeDocument/2006/relationships/image" Target="media/image41.png"/><Relationship Id="rId55" Type="http://schemas.openxmlformats.org/officeDocument/2006/relationships/image" Target="media/image42.jpeg"/><Relationship Id="rId56" Type="http://schemas.openxmlformats.org/officeDocument/2006/relationships/image" Target="media/image43.jpeg"/><Relationship Id="rId57" Type="http://schemas.openxmlformats.org/officeDocument/2006/relationships/image" Target="media/image44.jpeg"/><Relationship Id="rId58" Type="http://schemas.openxmlformats.org/officeDocument/2006/relationships/image" Target="media/image45.jpeg"/><Relationship Id="rId59" Type="http://schemas.openxmlformats.org/officeDocument/2006/relationships/image" Target="media/image46.jpeg"/><Relationship Id="rId60" Type="http://schemas.openxmlformats.org/officeDocument/2006/relationships/image" Target="media/image47.jpe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42" Type="http://schemas.openxmlformats.org/officeDocument/2006/relationships/hyperlink" Target="http://www.sec.gov/Archives/edgar/data/106040/000119312515352265/d36533dex21.htm" TargetMode="External"/><Relationship Id="rId43" Type="http://schemas.openxmlformats.org/officeDocument/2006/relationships/hyperlink" Target="http://www.sec.gov/Archives/edgar/data/106040/000095013706001502/a17011exv3w1.htm" TargetMode="External"/><Relationship Id="rId45" Type="http://schemas.openxmlformats.org/officeDocument/2006/relationships/hyperlink" Target="http://www.sec.gov/Archives/edgar/data/106040/000010604017000007/wdc-2017q2ex32amendedandre.htm" TargetMode="External"/><Relationship Id="rId46" Type="http://schemas.openxmlformats.org/officeDocument/2006/relationships/hyperlink" Target="http://www.sec.gov/Archives/edgar/data/106040/000119312517331827/d471621dex101.htm" TargetMode="External"/><Relationship Id="rId47" Type="http://schemas.openxmlformats.org/officeDocument/2006/relationships/hyperlink" Target="http://www.sec.gov/Archives/edgar/data/106040/000119312517337353/d490541dex101.htm" TargetMode="External"/><Relationship Id="rId48" Type="http://schemas.openxmlformats.org/officeDocument/2006/relationships/hyperlink" Target="http://www.sec.gov/Archives/edgar/data/106040/000119312517355698/d4984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2019-12-29T01:38:51Z</dcterms:created>
  <dcterms:modified xsi:type="dcterms:W3CDTF">2019-12-29T01:38:51Z</dcterms:modified>
</cp:coreProperties>
</file>