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22,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WESTERN DIGITAL CORPORATION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45" w:type="dxa"/>
        <w:jc w:val="left"/>
        <w:tblInd w:w="0" w:type="dxa"/>
        <w:tblLayout w:type="fixed"/>
        <w:tblCellMar>
          <w:top w:w="28" w:type="dxa"/>
          <w:left w:w="28" w:type="dxa"/>
          <w:bottom w:w="28" w:type="dxa"/>
          <w:right w:w="28" w:type="dxa"/>
        </w:tblCellMar>
      </w:tblPr>
      <w:tblGrid>
        <w:gridCol w:w="1092"/>
        <w:gridCol w:w="956"/>
        <w:gridCol w:w="967"/>
        <w:gridCol w:w="109"/>
        <w:gridCol w:w="109"/>
        <w:gridCol w:w="109"/>
        <w:gridCol w:w="353"/>
        <w:gridCol w:w="353"/>
        <w:gridCol w:w="358"/>
        <w:gridCol w:w="109"/>
        <w:gridCol w:w="109"/>
        <w:gridCol w:w="109"/>
        <w:gridCol w:w="479"/>
        <w:gridCol w:w="479"/>
        <w:gridCol w:w="482"/>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33-0956711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5601 Great Oaks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(408) 717-6000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6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42"/>
        <w:gridCol w:w="1208"/>
        <w:gridCol w:w="1188"/>
        <w:gridCol w:w="821"/>
        <w:gridCol w:w="626"/>
        <w:gridCol w:w="606"/>
        <w:gridCol w:w="1126"/>
        <w:gridCol w:w="1040"/>
        <w:gridCol w:w="1040"/>
        <w:gridCol w:w="293"/>
        <w:gridCol w:w="293"/>
        <w:gridCol w:w="422"/>
      </w:tblGrid>
      <w:tr>
        <w:trPr/>
        <w:tc>
          <w:tcPr>
            <w:tcW w:w="154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9197" w:type="dxa"/>
            <w:gridSpan w:val="9"/>
            <w:tcBorders/>
            <w:tcMar>
              <w:top w:w="0" w:type="dxa"/>
              <w:left w:w="0" w:type="dxa"/>
              <w:bottom w:w="0" w:type="dxa"/>
              <w:right w:w="0" w:type="dxa"/>
            </w:tcMar>
            <w:vAlign w:val="center"/>
          </w:tcPr>
          <w:p>
            <w:pPr>
              <w:pStyle w:val="TableContents"/>
              <w:bidi w:val="0"/>
              <w:spacing w:lineRule="auto" w:line="417" w:before="0" w:after="14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42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WDC</w:t>
            </w:r>
          </w:p>
        </w:tc>
        <w:tc>
          <w:tcPr>
            <w:tcW w:w="4214"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22, 2026, Western Digital Corporation (the “Company”) announced financial results for the first quarter of fiscal 2027, ended October 2, 2026. A copy of the press release making this announcement is attached hereto as Exhibit 99.1 and is incorporated herein by reference.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99. 1    </w:t>
      </w:r>
      <w:hyperlink w:anchor="a4ex991-pressreleaseq127.htm">
        <w:r>
          <w:rPr>
            <w:rStyle w:val="InternetLink"/>
          </w:rPr>
          <w:t xml:space="preserve">Press Release issued by Western Digital Corporation on </w:t>
        </w:r>
      </w:hyperlink>
      <w:hyperlink w:anchor="a4ex991-pressreleaseq127.htm">
        <w:r>
          <w:rPr>
            <w:rStyle w:val="InternetLink"/>
          </w:rPr>
          <w:t>October</w:t>
        </w:r>
      </w:hyperlink>
      <w:hyperlink w:anchor="a4ex991-pressreleaseq127.htm">
        <w:r>
          <w:rPr>
            <w:rStyle w:val="InternetLink"/>
          </w:rPr>
          <w:t xml:space="preserve"> </w:t>
        </w:r>
      </w:hyperlink>
      <w:hyperlink w:anchor="a4ex991-pressreleaseq127.htm">
        <w:r>
          <w:rPr>
            <w:rStyle w:val="InternetLink"/>
          </w:rPr>
          <w:t>22</w:t>
        </w:r>
      </w:hyperlink>
      <w:hyperlink w:anchor="a4ex991-pressreleaseq127.htm">
        <w:r>
          <w:rPr>
            <w:rStyle w:val="InternetLink"/>
          </w:rPr>
          <w:t xml:space="preserve">, 2026 announcing financial results for the fiscal </w:t>
        </w:r>
      </w:hyperlink>
      <w:hyperlink w:anchor="a4ex991-pressreleaseq127.htm">
        <w:r>
          <w:rPr>
            <w:rStyle w:val="InternetLink"/>
          </w:rPr>
          <w:t>first</w:t>
        </w:r>
      </w:hyperlink>
      <w:hyperlink w:anchor="a4ex991-pressreleaseq127.htm">
        <w:r>
          <w:rPr>
            <w:rStyle w:val="InternetLink"/>
          </w:rPr>
          <w:t xml:space="preserve"> quarter</w:t>
        </w:r>
      </w:hyperlink>
      <w:hyperlink w:anchor="a4ex991-pressreleaseq127.htm">
        <w:r>
          <w:rPr>
            <w:rStyle w:val="InternetLink"/>
          </w:rPr>
          <w:t xml:space="preserve"> ended </w:t>
        </w:r>
      </w:hyperlink>
      <w:hyperlink w:anchor="a4ex991-pressreleaseq127.htm">
        <w:r>
          <w:rPr>
            <w:rStyle w:val="InternetLink"/>
          </w:rPr>
          <w:t>October</w:t>
        </w:r>
      </w:hyperlink>
      <w:hyperlink w:anchor="a4ex991-pressreleaseq127.htm">
        <w:r>
          <w:rPr>
            <w:rStyle w:val="InternetLink"/>
          </w:rPr>
          <w:t xml:space="preserve"> </w:t>
        </w:r>
      </w:hyperlink>
      <w:hyperlink w:anchor="a4ex991-pressreleaseq127.htm">
        <w:r>
          <w:rPr>
            <w:rStyle w:val="InternetLink"/>
          </w:rPr>
          <w:t>2</w:t>
        </w:r>
      </w:hyperlink>
      <w:hyperlink w:anchor="a4ex991-pressreleaseq127.htm">
        <w:r>
          <w:rPr>
            <w:rStyle w:val="InternetLink"/>
          </w:rPr>
          <w:t>, 2026.</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34"/>
        <w:gridCol w:w="134"/>
        <w:gridCol w:w="136"/>
        <w:gridCol w:w="1279"/>
        <w:gridCol w:w="1279"/>
        <w:gridCol w:w="12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Western Digital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Cynthia Tregillis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Cynthia Tregillis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w:t>
              <w:br/>
              <w:t>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504950" cy="4667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504950" cy="466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463" w:before="0" w:after="0"/>
        <w:jc w:val="center"/>
        <w:rPr>
          <w:rFonts w:ascii="Times New Roman;serif" w:hAnsi="Times New Roman;serif"/>
          <w:b/>
          <w:color w:val="000000"/>
          <w:sz w:val="20"/>
        </w:rPr>
      </w:pPr>
      <w:r>
        <w:rPr>
          <w:rFonts w:ascii="Times New Roman;serif" w:hAnsi="Times New Roman;serif"/>
          <w:b/>
          <w:color w:val="000000"/>
          <w:sz w:val="20"/>
        </w:rPr>
        <w:t>WD Reports Fiscal First Quarter 2027 Financial Results</w:t>
      </w:r>
    </w:p>
    <w:p>
      <w:pPr>
        <w:pStyle w:val="TextBody"/>
        <w:bidi w:val="0"/>
        <w:spacing w:before="0" w:after="0"/>
        <w:jc w:val="center"/>
        <w:rPr/>
      </w:pPr>
      <w:r>
        <w:rPr/>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Q1FY27 Highlights:</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Revenue of $4.38 billion, up 55% year-over-year</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GAAP gross margin of 57.8%; non-GAAP gross margin of 58.1%</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GAAP diluted EPS of $4.63; non-GAAP diluted EPS of $4.64</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Cash flow from operations of $1.60 billion; free cash flow of $1.38 billion</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Q2FY27 revenue expected to be up 66% to 72% year-over-year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3" w:before="0" w:after="0"/>
        <w:jc w:val="both"/>
        <w:rPr/>
      </w:pPr>
      <w:r>
        <w:rPr>
          <w:rFonts w:ascii="Times New Roman;serif" w:hAnsi="Times New Roman;serif"/>
          <w:b/>
          <w:color w:val="000000"/>
          <w:sz w:val="20"/>
        </w:rPr>
        <w:t>SAN JOSE, Calif.</w:t>
      </w:r>
      <w:r>
        <w:rPr>
          <w:color w:val="000000"/>
        </w:rPr>
        <w:t xml:space="preserve"> — </w:t>
      </w:r>
      <w:r>
        <w:rPr>
          <w:rFonts w:ascii="Times New Roman;serif" w:hAnsi="Times New Roman;serif"/>
          <w:b/>
          <w:color w:val="000000"/>
          <w:sz w:val="20"/>
        </w:rPr>
        <w:t>October 22, 2026</w:t>
      </w:r>
      <w:r>
        <w:rPr>
          <w:color w:val="000000"/>
        </w:rPr>
        <w:t xml:space="preserve"> — </w:t>
      </w:r>
      <w:r>
        <w:rPr>
          <w:rFonts w:ascii="Times New Roman;serif" w:hAnsi="Times New Roman;serif"/>
          <w:b w:val="false"/>
          <w:color w:val="000000"/>
          <w:sz w:val="20"/>
        </w:rPr>
        <w:t>Western Digital Corporation (Nasdaq: WDC) today reported fiscal first quarter 2027 financial results for the period ended October 2, 2026.</w:t>
      </w:r>
    </w:p>
    <w:p>
      <w:pPr>
        <w:pStyle w:val="TextBody"/>
        <w:bidi w:val="0"/>
        <w:spacing w:before="0" w:after="0"/>
        <w:jc w:val="both"/>
        <w:rPr/>
      </w:pPr>
      <w:r>
        <w:rPr/>
      </w:r>
    </w:p>
    <w:p>
      <w:pPr>
        <w:pStyle w:val="TextBody"/>
        <w:bidi w:val="0"/>
        <w:spacing w:lineRule="auto" w:line="463" w:before="0" w:after="0"/>
        <w:jc w:val="both"/>
        <w:rPr>
          <w:color w:val="000000"/>
        </w:rPr>
      </w:pPr>
      <w:r>
        <w:rPr>
          <w:color w:val="000000"/>
        </w:rPr>
        <w:t>“</w:t>
      </w:r>
      <w:r>
        <w:rPr>
          <w:rFonts w:ascii="Times New Roman;serif" w:hAnsi="Times New Roman;serif"/>
          <w:b w:val="false"/>
          <w:color w:val="000000"/>
          <w:sz w:val="20"/>
        </w:rPr>
        <w:t>Fiscal 2027 is off to a strong start, with results exceeding expectations, driven by robust customer demand and disciplined execution. In our fiscal first quarter, revenue grew 55% year over year, non-GAAP gross and operating margins expanded to 58.1% and 49.1%, respectively, resulting in a 161% year-over-year increase in non-GAAP EPS. Reflecting our confidence in the business and our commitment to return capital to shareholders, we are raising our quarterly cash dividend by 17% to $0.175 per share,” said Irving Tan, CEO of WD. “We are executing well through our technology transitions to meet the growing demand for storage. As we deepen our customer relationships, broaden the customer base to new areas of the market, and extend our visibility into future demand, we are building an increasingly durable foundation for long-term value creation.”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First Quarter 2027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left"/>
        <w:rPr>
          <w:rFonts w:ascii="Times New Roman;serif" w:hAnsi="Times New Roman;serif"/>
          <w:b/>
          <w:color w:val="000000"/>
          <w:sz w:val="20"/>
        </w:rPr>
      </w:pPr>
      <w:r>
        <w:rPr>
          <w:rFonts w:ascii="Times New Roman;serif" w:hAnsi="Times New Roman;serif"/>
          <w:b/>
          <w:color w:val="000000"/>
          <w:sz w:val="20"/>
        </w:rPr>
        <w:t>Q1FY27 Financial Highlights</w:t>
      </w:r>
    </w:p>
    <w:tbl>
      <w:tblPr>
        <w:tblW w:w="9079"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250"/>
        <w:gridCol w:w="250"/>
        <w:gridCol w:w="251"/>
        <w:gridCol w:w="250"/>
        <w:gridCol w:w="250"/>
        <w:gridCol w:w="251"/>
        <w:gridCol w:w="250"/>
        <w:gridCol w:w="250"/>
        <w:gridCol w:w="251"/>
        <w:gridCol w:w="260"/>
        <w:gridCol w:w="260"/>
        <w:gridCol w:w="260"/>
        <w:gridCol w:w="302"/>
        <w:gridCol w:w="302"/>
        <w:gridCol w:w="266"/>
        <w:gridCol w:w="109"/>
        <w:gridCol w:w="109"/>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Q1FY27</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Q1FY26</w:t>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$4,381</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$3,747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$2,818</w:t>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57.8%</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43.5%</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+370 bps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+1430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$2,046</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$1,563</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$792</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28.1%</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 bps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$1,779</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$3,195</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$1,154</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$4.63</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$8.21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$3.07</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34" w:type="dxa"/>
        <w:jc w:val="left"/>
        <w:tblInd w:w="0" w:type="dxa"/>
        <w:tblLayout w:type="fixed"/>
        <w:tblCellMar>
          <w:top w:w="28" w:type="dxa"/>
          <w:left w:w="28" w:type="dxa"/>
          <w:bottom w:w="28" w:type="dxa"/>
          <w:right w:w="28" w:type="dxa"/>
        </w:tblCellMar>
      </w:tblPr>
      <w:tblGrid>
        <w:gridCol w:w="1539"/>
        <w:gridCol w:w="1353"/>
        <w:gridCol w:w="1368"/>
        <w:gridCol w:w="109"/>
        <w:gridCol w:w="109"/>
        <w:gridCol w:w="109"/>
        <w:gridCol w:w="250"/>
        <w:gridCol w:w="250"/>
        <w:gridCol w:w="251"/>
        <w:gridCol w:w="250"/>
        <w:gridCol w:w="250"/>
        <w:gridCol w:w="251"/>
        <w:gridCol w:w="250"/>
        <w:gridCol w:w="250"/>
        <w:gridCol w:w="251"/>
        <w:gridCol w:w="260"/>
        <w:gridCol w:w="260"/>
        <w:gridCol w:w="260"/>
        <w:gridCol w:w="280"/>
        <w:gridCol w:w="280"/>
        <w:gridCol w:w="354"/>
      </w:tblGrid>
      <w:tr>
        <w:trPr/>
        <w:tc>
          <w:tcPr>
            <w:tcW w:w="15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Q1FY27</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Q1FY26</w:t>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4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$4,381</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$3,747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$2,818</w:t>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54.4%</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43.9%</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+370 bps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+1420 bps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$2,153</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$1,655</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$856</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+152%</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30.4%</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+490 bps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+1870 bps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$1,779</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$1,382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$655</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+172%</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$4.64</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$1.78</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First Quarter 2027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Business Outlook for Fiscal Second Quarter of 2027</w:t>
      </w:r>
    </w:p>
    <w:p>
      <w:pPr>
        <w:pStyle w:val="TextBody"/>
        <w:bidi w:val="0"/>
        <w:spacing w:lineRule="auto" w:line="463" w:before="0" w:after="0"/>
        <w:jc w:val="both"/>
        <w:rPr>
          <w:color w:val="000000"/>
        </w:rPr>
      </w:pPr>
      <w:r>
        <w:rPr>
          <w:color w:val="000000"/>
        </w:rPr>
        <w:t>“</w:t>
      </w:r>
      <w:r>
        <w:rPr>
          <w:rFonts w:ascii="Times New Roman;serif" w:hAnsi="Times New Roman;serif"/>
          <w:b w:val="false"/>
          <w:color w:val="000000"/>
          <w:sz w:val="20"/>
        </w:rPr>
        <w:t>Our first quarter results demonstrate the continued momentum in our business, with robust exabyte growth and improved pricing driving another quarter of strong financial performance,” said Kris Sennesael, CFO of WD. “Looking ahead, for our fiscal second quarter of 2027, at the midpoint of the ranges, we expect revenue of $5.1 billion, non-GAAP gross margin of 60.5%, and non-GAAP EPS of $5.80.”</w:t>
      </w:r>
    </w:p>
    <w:tbl>
      <w:tblPr>
        <w:tblW w:w="4492" w:type="dxa"/>
        <w:jc w:val="left"/>
        <w:tblInd w:w="0" w:type="dxa"/>
        <w:tblLayout w:type="fixed"/>
        <w:tblCellMar>
          <w:top w:w="28" w:type="dxa"/>
          <w:left w:w="28" w:type="dxa"/>
          <w:bottom w:w="28" w:type="dxa"/>
          <w:right w:w="28" w:type="dxa"/>
        </w:tblCellMar>
      </w:tblPr>
      <w:tblGrid>
        <w:gridCol w:w="1016"/>
        <w:gridCol w:w="891"/>
        <w:gridCol w:w="898"/>
        <w:gridCol w:w="109"/>
        <w:gridCol w:w="109"/>
        <w:gridCol w:w="430"/>
        <w:gridCol w:w="430"/>
        <w:gridCol w:w="609"/>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Non-GAAP</w:t>
            </w:r>
            <w:r>
              <w:rPr>
                <w:rFonts w:ascii="Times New Roman;serif" w:hAnsi="Times New Roman;serif"/>
                <w:b/>
                <w:color w:val="000000"/>
                <w:sz w:val="12"/>
              </w:rPr>
              <w:t>(1)</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$5.1B +/- $100M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 - 61%</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$400M - $410M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$15M</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17%</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$5.80 +/- $0.20</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380M</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We provide earnings guidance only on a non-GAAP basis because certain information necessary to reconcile such guidance to GAAP is difficult to estimate or cannot be allocated or quantified with certainty and is dependent on future events outside of our control. Please refer to the section titled “Non-GAAP Guidance” under “Discussion Regarding the Use of Non-GAAP Financial Measures” in this press release for additional information regarding the non-GAAP measures, including quantification of known expected adjustment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Dividend</w:t>
      </w:r>
    </w:p>
    <w:p>
      <w:pPr>
        <w:pStyle w:val="TextBody"/>
        <w:bidi w:val="0"/>
        <w:spacing w:lineRule="auto" w:line="463" w:before="0" w:after="0"/>
        <w:jc w:val="both"/>
        <w:rPr>
          <w:rFonts w:ascii="Times New Roman;serif" w:hAnsi="Times New Roman;serif"/>
          <w:b w:val="false"/>
          <w:color w:val="000000"/>
          <w:sz w:val="20"/>
        </w:rPr>
      </w:pPr>
      <w:r>
        <w:rPr>
          <w:rFonts w:ascii="Times New Roman;serif" w:hAnsi="Times New Roman;serif"/>
          <w:b w:val="false"/>
          <w:color w:val="000000"/>
          <w:sz w:val="20"/>
        </w:rPr>
        <w:t>WD’s Board of Directors declared a cash dividend of $0.175 per share of the company’s common stock, which will be paid on December 17, 2026 to stockholders of record as of the close of business on December 4, 2026.</w:t>
      </w:r>
    </w:p>
    <w:p>
      <w:pPr>
        <w:pStyle w:val="TextBody"/>
        <w:bidi w:val="0"/>
        <w:spacing w:before="0" w:after="0"/>
        <w:jc w:val="both"/>
        <w:rPr/>
      </w:pPr>
      <w:r>
        <w:rPr/>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WD’s Fiscal First Quarter 2027 Conference Call</w:t>
      </w:r>
    </w:p>
    <w:p>
      <w:pPr>
        <w:pStyle w:val="TextBody"/>
        <w:bidi w:val="0"/>
        <w:spacing w:lineRule="auto" w:line="463" w:before="0" w:after="0"/>
        <w:jc w:val="both"/>
        <w:rPr/>
      </w:pPr>
      <w:r>
        <w:rPr>
          <w:rFonts w:ascii="Times New Roman;serif" w:hAnsi="Times New Roman;serif"/>
          <w:b w:val="false"/>
          <w:color w:val="000000"/>
          <w:sz w:val="20"/>
        </w:rPr>
        <w:t xml:space="preserve">WD will host a conference call to discuss its fiscal first quarter 2027 results and business outlook for the fiscal second quarter of 2027 today at 1:30 p.m. Pacific / 4:30 p.m. Eastern. The live and archived conference call and the earnings presentation can be accessed online at </w:t>
      </w:r>
      <w:r>
        <w:rPr>
          <w:rFonts w:ascii="Times New Roman;serif" w:hAnsi="Times New Roman;serif"/>
          <w:b w:val="false"/>
          <w:color w:val="000000"/>
          <w:sz w:val="20"/>
          <w:u w:val="single"/>
        </w:rPr>
        <w:t>investor.wdc.com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WD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WD, also known as Western Digital, builds the storage infrastructure that powers certainty in the AI-driven data economy. At the forefront of innovation, WD partners with the world’s leading hyperscalers, cloud service providers, and enterprises to enable reliable storage solutions that are proven and trusted at scale. Driven by a culture of innovation and execution, WD helps customers store, protect, and use the world’s data with confidence. Follow WD on LinkedIn and learn more at www.wd.com.</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First Quarter 2027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federal securities laws, including statements regarding expectations for: the company’s business outlook, operational and financial performance for the fiscal second quarter of 2027 and beyond, demand and market conditions for the company’s products as well as growth opportunities. These forward-looking statements are based on management’s current expectations and are subject to risks and uncertainties that could cause actual results to differ materially from those expressed or implied in the forward-looking statements. Key risks and uncertainties that could cause actual results to differ materially from those expressed or implied in the forward-looking statements include: concentration of revenue in the company’s Cloud end market and among the company’s top customers; the company’s development and introduction of products based on new technologies and expansion into new data storage markets; the company’s dependence on a limited number of qualified suppliers; difficulties or delays in manufacturing or other supply chain disruptions; the impact of long-term agreements; product defects; hiring and retention of key employees; risks associated with strategic initiatives, restructurings, acquisitions, divestitures, mergers and the company’s strategic relationships; adverse global or regional conditions, including changes in U.S. trade policy, new or additional tariffs or trade restrictions, inflation, increases in interest rates and an economic recession; volatility in demand for the company’s products; the competitive environment, including actions by the company’s competitors and the impact of competitive products and pricing; risks associated with the company’s use of artificial intelligence; compromise, damage or interruption from cybersecurity incidents or other data or system security risks; the company’s debt and other financial obligations; changes in tax laws or unanticipated tax liabilities; any decisions to reduce or discontinue paying cash dividends or repurchasing shares of the company’s common stock; fluctuations in currency exchange rates in connection with the company’s international operations; risks associated with compliance with changing legal and regulatory requirements and the outcome of legal proceedings; risks associated with the company’s goals relating to sustainability matters, including the company’s ability to meet its greenhouse gas emissions reduction and other sustainability goals; the company’s reliance on intellectual property and other proprietary information; and other risks and uncertainties listed in the company’s filings with the Securities and Exchange Commission (the “SEC”), including the company’s Annual Report on Form 10-K filed with the SEC on August 14, 2026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w:t>
      </w:r>
    </w:p>
    <w:p>
      <w:pPr>
        <w:pStyle w:val="TextBody"/>
        <w:bidi w:val="0"/>
        <w:spacing w:before="0" w:after="0"/>
        <w:jc w:val="left"/>
        <w:rPr/>
      </w:pPr>
      <w:r>
        <w:rPr/>
      </w:r>
    </w:p>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463"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Western Digital, the Western Digital logo, and WD are registered trademarks or trademarks of Western Digital Corporation or its affiliates in the US and/or other countries.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7543" w:type="dxa"/>
        <w:jc w:val="center"/>
        <w:tblInd w:w="0" w:type="dxa"/>
        <w:tblLayout w:type="fixed"/>
        <w:tblCellMar>
          <w:top w:w="28" w:type="dxa"/>
          <w:left w:w="28" w:type="dxa"/>
          <w:bottom w:w="28" w:type="dxa"/>
          <w:right w:w="28" w:type="dxa"/>
        </w:tblCellMar>
      </w:tblPr>
      <w:tblGrid>
        <w:gridCol w:w="1798"/>
        <w:gridCol w:w="1582"/>
        <w:gridCol w:w="1585"/>
        <w:gridCol w:w="201"/>
        <w:gridCol w:w="572"/>
        <w:gridCol w:w="112"/>
        <w:gridCol w:w="109"/>
        <w:gridCol w:w="109"/>
        <w:gridCol w:w="109"/>
        <w:gridCol w:w="201"/>
        <w:gridCol w:w="572"/>
        <w:gridCol w:w="112"/>
        <w:gridCol w:w="109"/>
        <w:gridCol w:w="109"/>
        <w:gridCol w:w="109"/>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 net</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realignment charges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and other income (expense),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Dividends and income attributable to participating securities</w:t>
            </w:r>
            <w:r>
              <w:rPr>
                <w:rFonts w:ascii="Times New Roman;serif" w:hAnsi="Times New Roman;serif"/>
                <w:b w:val="false"/>
                <w:color w:val="000000"/>
                <w:sz w:val="10"/>
              </w:rPr>
              <w:t>(1)</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attributable to common shareholders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of participating securities considered potentially dilutive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attributable to common shareholders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63" w:before="0" w:after="0"/>
        <w:ind w:left="0" w:right="0" w:hanging="3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Participating securities in the prior year period consisted of preferred stock prior to its conversion in February 2026, because it participated on a pro rata basis in any dividends declared on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5169" w:type="dxa"/>
        <w:jc w:val="center"/>
        <w:tblInd w:w="0" w:type="dxa"/>
        <w:tblLayout w:type="fixed"/>
        <w:tblCellMar>
          <w:top w:w="28" w:type="dxa"/>
          <w:left w:w="28" w:type="dxa"/>
          <w:bottom w:w="28" w:type="dxa"/>
          <w:right w:w="28" w:type="dxa"/>
        </w:tblCellMar>
      </w:tblPr>
      <w:tblGrid>
        <w:gridCol w:w="1048"/>
        <w:gridCol w:w="918"/>
        <w:gridCol w:w="929"/>
        <w:gridCol w:w="196"/>
        <w:gridCol w:w="646"/>
        <w:gridCol w:w="109"/>
        <w:gridCol w:w="109"/>
        <w:gridCol w:w="109"/>
        <w:gridCol w:w="109"/>
        <w:gridCol w:w="196"/>
        <w:gridCol w:w="64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5169"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7708" w:type="dxa"/>
        <w:jc w:val="center"/>
        <w:tblInd w:w="0" w:type="dxa"/>
        <w:tblLayout w:type="fixed"/>
        <w:tblCellMar>
          <w:top w:w="28" w:type="dxa"/>
          <w:left w:w="28" w:type="dxa"/>
          <w:bottom w:w="28" w:type="dxa"/>
          <w:right w:w="28" w:type="dxa"/>
        </w:tblCellMar>
      </w:tblPr>
      <w:tblGrid>
        <w:gridCol w:w="1858"/>
        <w:gridCol w:w="1633"/>
        <w:gridCol w:w="1639"/>
        <w:gridCol w:w="201"/>
        <w:gridCol w:w="572"/>
        <w:gridCol w:w="112"/>
        <w:gridCol w:w="109"/>
        <w:gridCol w:w="109"/>
        <w:gridCol w:w="109"/>
        <w:gridCol w:w="201"/>
        <w:gridCol w:w="572"/>
        <w:gridCol w:w="112"/>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operations: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retained interest in Sandisk</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 net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Strategic investments and other, net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shareholders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convertible notes transactions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(repayments of) debt,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463" w:before="0" w:after="0"/>
        <w:jc w:val="center"/>
        <w:rPr>
          <w:rFonts w:ascii="Times New Roman;serif" w:hAnsi="Times New Roman;serif"/>
          <w:b/>
          <w:color w:val="000000"/>
          <w:sz w:val="20"/>
        </w:rPr>
      </w:pPr>
      <w:r>
        <w:rPr>
          <w:rFonts w:ascii="Times New Roman;serif" w:hAnsi="Times New Roman;serif"/>
          <w:b/>
          <w:color w:val="000000"/>
          <w:sz w:val="20"/>
        </w:rPr>
        <w:t>(in millions, except percentages; unaudited)</w:t>
      </w:r>
    </w:p>
    <w:tbl>
      <w:tblPr>
        <w:tblW w:w="7998" w:type="dxa"/>
        <w:jc w:val="center"/>
        <w:tblInd w:w="0" w:type="dxa"/>
        <w:tblLayout w:type="fixed"/>
        <w:tblCellMar>
          <w:top w:w="28" w:type="dxa"/>
          <w:left w:w="28" w:type="dxa"/>
          <w:bottom w:w="28" w:type="dxa"/>
          <w:right w:w="28" w:type="dxa"/>
        </w:tblCellMar>
      </w:tblPr>
      <w:tblGrid>
        <w:gridCol w:w="1402"/>
        <w:gridCol w:w="1234"/>
        <w:gridCol w:w="1248"/>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gross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gross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realignment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GAAP interest and 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retained interest in Sandisk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debt and equity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interest and other income (expense),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income tax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before="0" w:after="0"/>
        <w:jc w:val="left"/>
        <w:rPr/>
      </w:pPr>
      <w:r>
        <w:rPr/>
      </w:r>
    </w:p>
    <w:tbl>
      <w:tblPr>
        <w:tblW w:w="8821" w:type="dxa"/>
        <w:jc w:val="center"/>
        <w:tblInd w:w="0" w:type="dxa"/>
        <w:tblLayout w:type="fixed"/>
        <w:tblCellMar>
          <w:top w:w="28" w:type="dxa"/>
          <w:left w:w="28" w:type="dxa"/>
          <w:bottom w:w="28" w:type="dxa"/>
          <w:right w:w="28" w:type="dxa"/>
        </w:tblCellMar>
      </w:tblPr>
      <w:tblGrid>
        <w:gridCol w:w="1827"/>
        <w:gridCol w:w="1611"/>
        <w:gridCol w:w="1617"/>
        <w:gridCol w:w="201"/>
        <w:gridCol w:w="572"/>
        <w:gridCol w:w="112"/>
        <w:gridCol w:w="109"/>
        <w:gridCol w:w="109"/>
        <w:gridCol w:w="109"/>
        <w:gridCol w:w="196"/>
        <w:gridCol w:w="556"/>
        <w:gridCol w:w="109"/>
        <w:gridCol w:w="109"/>
        <w:gridCol w:w="109"/>
        <w:gridCol w:w="109"/>
        <w:gridCol w:w="201"/>
        <w:gridCol w:w="572"/>
        <w:gridCol w:w="112"/>
        <w:gridCol w:w="109"/>
        <w:gridCol w:w="109"/>
        <w:gridCol w:w="109"/>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net income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 allocated to preferred shareholders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diluted net income attributable to common shareholders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net income</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Gross profit adjustments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expense adjustments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income (expense) adjustments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net income</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 allocated to preferred shareholders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diluted net income attributable to common shareholders</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Diluted weighted average shares: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GAAP</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Benefit of shares related to capped call transactions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Diluted net income per common share: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GAAP</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flows provided by operating activities</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net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Free cash flow</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Discussion Regarding the Use of Non-GAAP Financial Measures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the condensed consolidated financial statements presented in accordance with U.S. generally accepted accounting principles (“GAAP”), this press release sets forth certain financial measures that are not calculated in accordance with GAAP (“non-GAAP measures”). These non-GAAP measures, which are detailed in the reconciliation tables above, are not alternatives for measures prepared in accordance with GAAP and may be different from similarly titled non-GAAP measures used by other companies. The company believes the presentation of these non-GAAP measures, when shown in conjunction with the corresponding GAAP measures, provides useful information to investors for measuring the company’s earnings performance and comparing it against prior periods. Specifically, the company believes these non-GAAP measures provide useful information to both management and investors as they exclude certain expenses, gains and losses that the company believes are not indicative of its core operating results or because they are consistent with the financial models and estimates published by many analysts who follow the company and its peers. As discussed further below, these non-GAAP measures exclude, as applicable, stock-based compensation expense; business realignment charges; gain on retained interest in Sandisk; costs in connection with debt and equity transactions; income tax adjustments; and other adjustments. The company believes these measures, along with the related reconciliations to the GAAP measures, provide additional detail and comparability for assessing the company’s results. These non-GAAP measures are some of the primary indicators management uses for assessing the company’s performance and planning and forecasting future periods. These measures should be considered in addition to results prepared in accordance with GAAP, but should not be considered a substitute for, or superior to, GAAP results.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the company excludes the following items from its non-GAAP measures: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Stock-based compensation expense.</w:t>
      </w:r>
      <w:r>
        <w:rPr>
          <w:color w:val="000000"/>
        </w:rPr>
        <w:t xml:space="preserve"> </w:t>
      </w:r>
      <w:r>
        <w:rPr>
          <w:rFonts w:ascii="Times New Roman;serif" w:hAnsi="Times New Roman;serif"/>
          <w:b w:val="false"/>
          <w:color w:val="000000"/>
          <w:sz w:val="20"/>
        </w:rPr>
        <w:t>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its business over time and compare it against the company’s peers, a majority of whom also exclude stock-based compensation expense from their non-GAAP results.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Business realignment charges.</w:t>
      </w:r>
      <w:r>
        <w:rPr>
          <w:color w:val="000000"/>
        </w:rPr>
        <w:t xml:space="preserve"> </w:t>
      </w:r>
      <w:r>
        <w:rPr>
          <w:rFonts w:ascii="Times New Roman;serif" w:hAnsi="Times New Roman;serif"/>
          <w:b w:val="false"/>
          <w:color w:val="000000"/>
          <w:sz w:val="20"/>
        </w:rPr>
        <w:t>From time to time, in order to realign the company’s operations with anticipated business needs or to achieve cost synergies from the integration of acquisitions, the company may incur charges in connection with actions to terminate employees, impair assets or otherwise restructure its operations and may recognize credits related to charges previously incurred. These charges or credits are inconsistent in amount and frequency, and the company believes they are not indicative of the underlying performance of its business.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Gain on retained interest in Sandisk.</w:t>
      </w:r>
      <w:r>
        <w:rPr>
          <w:color w:val="000000"/>
        </w:rPr>
        <w:t xml:space="preserve"> </w:t>
      </w:r>
      <w:r>
        <w:rPr>
          <w:rFonts w:ascii="Times New Roman;serif" w:hAnsi="Times New Roman;serif"/>
          <w:b w:val="false"/>
          <w:color w:val="000000"/>
          <w:sz w:val="20"/>
        </w:rPr>
        <w:t>The company retained an ownership interest in Sandisk at the time of the separation of its flash business and has recognized gains on the mark-to-market adjustment of such interest. The company believes these adjustments do not reflect the company’s operating results and are not indicative of the underlying performance of its business.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Costs in connection with debt and equity transactions.</w:t>
      </w:r>
      <w:r>
        <w:rPr>
          <w:color w:val="000000"/>
        </w:rPr>
        <w:t xml:space="preserve"> </w:t>
      </w:r>
      <w:r>
        <w:rPr>
          <w:rFonts w:ascii="Times New Roman;serif" w:hAnsi="Times New Roman;serif"/>
          <w:b w:val="false"/>
          <w:color w:val="000000"/>
          <w:sz w:val="20"/>
        </w:rPr>
        <w:t>In connection with the company’s actions to monetize its retained interest in Sandisk and reduce its debt, it completed a number of transactions, including a debt-for-equity exchange, equity-for-equity exchanges, and the private settlement of a portion of the company’s convertible note obligations. In connection with these transactions, the company recognized costs primarily related to discounts given to the counterparties of the transaction. The company believes these costs do not reflect the company’s operating results and are not indicative of the underlying performance of its business.</w:t>
      </w:r>
    </w:p>
    <w:p>
      <w:pPr>
        <w:pStyle w:val="TextBody"/>
        <w:bidi w:val="0"/>
        <w:spacing w:before="0" w:after="0"/>
        <w:jc w:val="both"/>
        <w:rPr/>
      </w:pPr>
      <w:r>
        <w:rPr/>
      </w:r>
    </w:p>
    <w:p>
      <w:pPr>
        <w:pStyle w:val="TextBody"/>
        <w:bidi w:val="0"/>
        <w:spacing w:lineRule="auto" w:line="312"/>
        <w:jc w:val="both"/>
        <w:rPr/>
      </w:pPr>
      <w:r>
        <w:rPr>
          <w:rFonts w:ascii="Times New Roman;serif" w:hAnsi="Times New Roman;serif"/>
          <w:b w:val="false"/>
          <w:color w:val="000000"/>
          <w:sz w:val="20"/>
          <w:u w:val="single"/>
        </w:rPr>
        <w:t>Income tax adjustments.</w:t>
      </w:r>
      <w:r>
        <w:rPr>
          <w:color w:val="000000"/>
        </w:rPr>
        <w:t xml:space="preserve"> </w:t>
      </w:r>
      <w:r>
        <w:rPr>
          <w:rFonts w:ascii="Times New Roman;serif" w:hAnsi="Times New Roman;serif"/>
          <w:b w:val="false"/>
          <w:color w:val="000000"/>
          <w:sz w:val="20"/>
        </w:rPr>
        <w:t>Income tax adjustments represent the difference between income taxes based on a forecasted annual GAAP tax rate and a forecasted annual non-GAAP tax rate, which have been adjusted to account for the tax effects of items excluded from non-GAAP pre-tax income as well as the tax effects of non-recurring and period-specific tax items. These adjustments are excluded because the company believes that they are not indicative of the underlying performance of its ongoing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Other adjustments.</w:t>
      </w:r>
      <w:r>
        <w:rPr>
          <w:color w:val="000000"/>
        </w:rPr>
        <w:t xml:space="preserve"> </w:t>
      </w:r>
      <w:r>
        <w:rPr>
          <w:rFonts w:ascii="Times New Roman;serif" w:hAnsi="Times New Roman;serif"/>
          <w:b w:val="false"/>
          <w:color w:val="000000"/>
          <w:sz w:val="20"/>
        </w:rPr>
        <w:t>From time to time, the company records costs, charges, and benefits that the company believes are not a part of the ongoing operation of its business. The resulting expense or benefit is inconsistent in amount and frequency.</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the company also presents the following non-GAAP financial measures: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Non-GAAP diluted weighted average shares.</w:t>
      </w:r>
      <w:r>
        <w:rPr>
          <w:color w:val="000000"/>
        </w:rPr>
        <w:t xml:space="preserve"> </w:t>
      </w:r>
      <w:r>
        <w:rPr>
          <w:rFonts w:ascii="Times New Roman;serif" w:hAnsi="Times New Roman;serif"/>
          <w:b w:val="false"/>
          <w:color w:val="000000"/>
          <w:sz w:val="20"/>
        </w:rPr>
        <w:t>The company calculates non-GAAP diluted net income per common share based on non-GAAP diluted weighted average shares. Management uses non-GAAP diluted weighted average shares to evaluate — in addition to the potential dilution due to the outstanding restricted stock units and the dilution from the 2028 convertible notes that are included in GAAP diluted weighted average shares — the benefit expected to be provided by existing capped call transactions entered into in connection with the 2028 convertible notes to offset the dilutive impact of the convertible notes, up to their capped limit. In periods where the quarterly average stock price per share exceeds the conversion price of the 2028 convertible notes, non-GAAP diluted weighted average shares includes the anti-dilutive impact of the company’s capped call transactions, up to the then-applicable capped call price per share.</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Free cash flow is defined as cash flows provided by operating activities less purchases of property, plant and equipment, net. The company considers free cash flow generated in any period to be a key indicator of the underlying health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Non-GAAP Guidance</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estimates of certain non-GAAP financial measures for the fiscal second quarter of 2027 (“Q2FY27”). We provide these non-GAAP measures to investors on a prospective basis because certain information necessary to reconcile such guidance to GAAP is difficult to predict and estimate or cannot be allocated or quantified with certainty and is often dependent on future events that may be uncertain or outside of our control. Accordingly, reconciliations of these non-GAAP financial measures to the most directly comparable GAAP financial measures are not available without unreasonable effort. </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known adjustments to our non-GAAP guidance for Q2FY27 and details on how our non-GAAP tax rate guidance is determined are provided below:</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gross margin guidance excludes stock-based compensation expense, totaling approximately $15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operating expenses guidance excludes stock-based compensation and other expenses, totaling approximately $80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diluted net income per common share guidance excludes the items described above, totaling approximately $95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tax rate guidance is determined based on a percentage of non-GAAP pre-tax income or loss. Our estimated non-GAAP tax rate may differ from our GAAP tax rate due to: (i) the tax effects of items excluded from our non-GAAP pre-tax income or loss; (ii) the tax effects of non-recurring and period-specific items; and (iii) our accrual of GAAP income taxes and non-GAAP income taxes, which are calculated in each interim period using our best estimates of income taxes for the full year.</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diluted weighted average shares guidance reflects no material benefit expected to be provided by existing capped call transactions entered into in connection with our convertible senior notes due 2028.</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adjustments to our forward-looking non-GAAP financial measures described above, reconciliations to comparable forward-looking GAAP financial measures may include additional adjustments that are not available without unreasonable effort. These additional adjustments may include unanticipated changes in our GAAP effective tax rate, unanticipated charges related to business realignment, unanticipated litigation matters, and other unanticipated gains, losses, and impairments, and other unanticipated items not reflective of ongoing operations. Our forward-looking estimates of non-GAAP measures of our financial performance may differ materially from our actual results and should not be relied upon as statements of fact.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463"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463" w:before="0" w:after="0"/>
        <w:jc w:val="left"/>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left"/>
        <w:rPr/>
      </w:pPr>
      <w:r>
        <w:rPr/>
      </w:r>
    </w:p>
    <w:tbl>
      <w:tblPr>
        <w:tblW w:w="5517" w:type="dxa"/>
        <w:jc w:val="center"/>
        <w:tblInd w:w="0" w:type="dxa"/>
        <w:tblLayout w:type="fixed"/>
        <w:tblCellMar>
          <w:top w:w="28" w:type="dxa"/>
          <w:left w:w="28" w:type="dxa"/>
          <w:bottom w:w="28" w:type="dxa"/>
          <w:right w:w="28" w:type="dxa"/>
        </w:tblCellMar>
      </w:tblPr>
      <w:tblGrid>
        <w:gridCol w:w="1225"/>
        <w:gridCol w:w="767"/>
        <w:gridCol w:w="542"/>
        <w:gridCol w:w="109"/>
        <w:gridCol w:w="109"/>
        <w:gridCol w:w="109"/>
        <w:gridCol w:w="901"/>
        <w:gridCol w:w="901"/>
        <w:gridCol w:w="854"/>
      </w:tblGrid>
      <w:tr>
        <w:trPr/>
        <w:tc>
          <w:tcPr>
            <w:tcW w:w="12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Media Contact:</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Ambrish Srivastava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408.717.9765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408.801.0021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ambrish.srivastava@wdc.com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WD.Mediainquiries@wdc.com</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investor@wdc.com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4020</Words>
  <Characters>22738</Characters>
  <CharactersWithSpaces>26279</CharactersWithSpaces>
  <Paragraphs>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