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55245</wp:posOffset>
            </wp:positionV>
            <wp:extent cx="27724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127"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50165</wp:posOffset>
            </wp:positionV>
            <wp:extent cx="2772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(Mark One)</w:t>
      </w:r>
    </w:p>
    <w:p>
      <w:pPr>
        <w:spacing w:after="0" w:line="37" w:lineRule="exact"/>
        <w:rPr>
          <w:sz w:val="24"/>
          <w:szCs w:val="24"/>
          <w:color w:val="auto"/>
        </w:rPr>
      </w:pPr>
    </w:p>
    <w:p>
      <w:pPr>
        <w:ind w:left="400" w:hanging="377"/>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September 29, 2023</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36" w:lineRule="exact"/>
        <w:rPr>
          <w:sz w:val="24"/>
          <w:szCs w:val="24"/>
          <w:color w:val="auto"/>
        </w:rPr>
      </w:pPr>
    </w:p>
    <w:p>
      <w:pPr>
        <w:ind w:left="400" w:hanging="377"/>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2" w:lineRule="exact"/>
        <w:rPr>
          <w:sz w:val="24"/>
          <w:szCs w:val="24"/>
          <w:color w:val="auto"/>
        </w:rPr>
      </w:pPr>
    </w:p>
    <w:p>
      <w:pPr>
        <w:ind w:left="36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-6985</wp:posOffset>
            </wp:positionV>
            <wp:extent cx="1138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3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160020</wp:posOffset>
            </wp:positionV>
            <wp:extent cx="2772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241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377825</wp:posOffset>
            </wp:positionV>
            <wp:extent cx="2897505" cy="963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7505" cy="9632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WESTERN DIGITAL CORPORATION</w:t>
      </w:r>
    </w:p>
    <w:p>
      <w:pPr>
        <w:sectPr>
          <w:pgSz w:w="11900" w:h="16838" w:orient="portrait"/>
          <w:cols w:equalWidth="0" w:num="1">
            <w:col w:w="11200"/>
          </w:cols>
          <w:pgMar w:left="320" w:top="1022" w:right="379" w:bottom="1440" w:gutter="0" w:footer="0" w:header="0"/>
        </w:sectPr>
      </w:pPr>
    </w:p>
    <w:p>
      <w:pPr>
        <w:spacing w:after="0" w:line="200" w:lineRule="exact"/>
        <w:rPr>
          <w:sz w:val="24"/>
          <w:szCs w:val="24"/>
          <w:color w:val="auto"/>
        </w:rPr>
      </w:pPr>
    </w:p>
    <w:p>
      <w:pPr>
        <w:spacing w:after="0" w:line="202" w:lineRule="exact"/>
        <w:rPr>
          <w:sz w:val="24"/>
          <w:szCs w:val="24"/>
          <w:color w:val="auto"/>
        </w:rPr>
      </w:pPr>
    </w:p>
    <w:p>
      <w:pPr>
        <w:jc w:val="center"/>
        <w:ind w:left="1440"/>
        <w:spacing w:after="0"/>
        <w:rPr>
          <w:sz w:val="20"/>
          <w:szCs w:val="20"/>
          <w:color w:val="auto"/>
        </w:rPr>
      </w:pPr>
      <w:r>
        <w:rPr>
          <w:rFonts w:ascii="Arial" w:cs="Arial" w:eastAsia="Arial" w:hAnsi="Arial"/>
          <w:sz w:val="16"/>
          <w:szCs w:val="16"/>
          <w:b w:val="1"/>
          <w:bCs w:val="1"/>
          <w:color w:val="auto"/>
        </w:rPr>
        <w:t>Delaware</w:t>
      </w:r>
    </w:p>
    <w:p>
      <w:pPr>
        <w:spacing w:after="0" w:line="27" w:lineRule="exact"/>
        <w:rPr>
          <w:sz w:val="24"/>
          <w:szCs w:val="24"/>
          <w:color w:val="auto"/>
        </w:rPr>
      </w:pPr>
    </w:p>
    <w:p>
      <w:pPr>
        <w:ind w:left="1780"/>
        <w:spacing w:after="0"/>
        <w:rPr>
          <w:sz w:val="20"/>
          <w:szCs w:val="20"/>
          <w:color w:val="auto"/>
        </w:rPr>
      </w:pPr>
      <w:r>
        <w:rPr>
          <w:rFonts w:ascii="Arial" w:cs="Arial" w:eastAsia="Arial" w:hAnsi="Arial"/>
          <w:sz w:val="11"/>
          <w:szCs w:val="11"/>
          <w:i w:val="1"/>
          <w:iCs w:val="1"/>
          <w:color w:val="auto"/>
        </w:rPr>
        <w:t>(State or other jurisdiction of</w:t>
      </w:r>
    </w:p>
    <w:p>
      <w:pPr>
        <w:spacing w:after="0" w:line="2" w:lineRule="exact"/>
        <w:rPr>
          <w:sz w:val="24"/>
          <w:szCs w:val="24"/>
          <w:color w:val="auto"/>
        </w:rPr>
      </w:pPr>
    </w:p>
    <w:p>
      <w:pPr>
        <w:ind w:left="1740"/>
        <w:spacing w:after="0"/>
        <w:rPr>
          <w:sz w:val="20"/>
          <w:szCs w:val="20"/>
          <w:color w:val="auto"/>
        </w:rPr>
      </w:pPr>
      <w:r>
        <w:rPr>
          <w:rFonts w:ascii="Arial" w:cs="Arial" w:eastAsia="Arial" w:hAnsi="Arial"/>
          <w:sz w:val="11"/>
          <w:szCs w:val="1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57150</wp:posOffset>
            </wp:positionV>
            <wp:extent cx="2772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201" w:lineRule="exact"/>
        <w:rPr>
          <w:sz w:val="24"/>
          <w:szCs w:val="24"/>
          <w:color w:val="auto"/>
        </w:rPr>
      </w:pPr>
    </w:p>
    <w:p>
      <w:pPr>
        <w:jc w:val="center"/>
        <w:ind w:left="-1619"/>
        <w:spacing w:after="0"/>
        <w:rPr>
          <w:sz w:val="20"/>
          <w:szCs w:val="20"/>
          <w:color w:val="auto"/>
        </w:rPr>
      </w:pPr>
      <w:r>
        <w:rPr>
          <w:rFonts w:ascii="Arial" w:cs="Arial" w:eastAsia="Arial" w:hAnsi="Arial"/>
          <w:sz w:val="16"/>
          <w:szCs w:val="16"/>
          <w:b w:val="1"/>
          <w:bCs w:val="1"/>
          <w:color w:val="auto"/>
        </w:rPr>
        <w:t>33-0956711</w:t>
      </w:r>
    </w:p>
    <w:p>
      <w:pPr>
        <w:spacing w:after="0" w:line="159" w:lineRule="exact"/>
        <w:rPr>
          <w:sz w:val="24"/>
          <w:szCs w:val="24"/>
          <w:color w:val="auto"/>
        </w:rPr>
      </w:pPr>
    </w:p>
    <w:p>
      <w:pPr>
        <w:jc w:val="right"/>
        <w:ind w:right="1580"/>
        <w:spacing w:after="0"/>
        <w:rPr>
          <w:sz w:val="20"/>
          <w:szCs w:val="20"/>
          <w:color w:val="auto"/>
        </w:rPr>
      </w:pPr>
      <w:r>
        <w:rPr>
          <w:rFonts w:ascii="Arial" w:cs="Arial" w:eastAsia="Arial" w:hAnsi="Arial"/>
          <w:sz w:val="12"/>
          <w:szCs w:val="12"/>
          <w:i w:val="1"/>
          <w:iCs w:val="1"/>
          <w:color w:val="auto"/>
        </w:rPr>
        <w:t>(I.R.S. Employer Identification No.)</w:t>
      </w:r>
    </w:p>
    <w:p>
      <w:pPr>
        <w:spacing w:after="0" w:line="78" w:lineRule="exact"/>
        <w:rPr>
          <w:sz w:val="24"/>
          <w:szCs w:val="24"/>
          <w:color w:val="auto"/>
        </w:rPr>
      </w:pPr>
    </w:p>
    <w:p>
      <w:pPr>
        <w:sectPr>
          <w:pgSz w:w="11900" w:h="16838" w:orient="portrait"/>
          <w:cols w:equalWidth="0" w:num="2">
            <w:col w:w="3560" w:space="720"/>
            <w:col w:w="6920"/>
          </w:cols>
          <w:pgMar w:left="320" w:top="1022" w:right="379" w:bottom="1440" w:gutter="0" w:footer="0" w:header="0"/>
          <w:type w:val="continuous"/>
        </w:sectPr>
      </w:pPr>
    </w:p>
    <w:p>
      <w:pPr>
        <w:ind w:left="820"/>
        <w:spacing w:after="0"/>
        <w:tabs>
          <w:tab w:leader="none" w:pos="2800" w:val="left"/>
          <w:tab w:leader="none" w:pos="3640" w:val="left"/>
          <w:tab w:leader="none" w:pos="8540" w:val="left"/>
        </w:tabs>
        <w:rPr>
          <w:sz w:val="20"/>
          <w:szCs w:val="20"/>
          <w:color w:val="auto"/>
        </w:rPr>
      </w:pPr>
      <w:r>
        <w:rPr>
          <w:rFonts w:ascii="Arial" w:cs="Arial" w:eastAsia="Arial" w:hAnsi="Arial"/>
          <w:sz w:val="14"/>
          <w:szCs w:val="14"/>
          <w:b w:val="1"/>
          <w:bCs w:val="1"/>
          <w:color w:val="auto"/>
        </w:rPr>
        <w:t>5601 Great Oaks Parkway</w:t>
      </w:r>
      <w:r>
        <w:rPr>
          <w:sz w:val="20"/>
          <w:szCs w:val="20"/>
          <w:color w:val="auto"/>
        </w:rPr>
        <w:tab/>
      </w:r>
      <w:r>
        <w:rPr>
          <w:rFonts w:ascii="Arial" w:cs="Arial" w:eastAsia="Arial" w:hAnsi="Arial"/>
          <w:sz w:val="14"/>
          <w:szCs w:val="14"/>
          <w:b w:val="1"/>
          <w:bCs w:val="1"/>
          <w:color w:val="auto"/>
        </w:rPr>
        <w:t>San Jose,</w:t>
      </w:r>
      <w:r>
        <w:rPr>
          <w:sz w:val="20"/>
          <w:szCs w:val="20"/>
          <w:color w:val="auto"/>
        </w:rPr>
        <w:tab/>
      </w:r>
      <w:r>
        <w:rPr>
          <w:rFonts w:ascii="Arial" w:cs="Arial" w:eastAsia="Arial" w:hAnsi="Arial"/>
          <w:sz w:val="14"/>
          <w:szCs w:val="14"/>
          <w:b w:val="1"/>
          <w:bCs w:val="1"/>
          <w:color w:val="auto"/>
        </w:rPr>
        <w:t>California</w:t>
      </w:r>
      <w:r>
        <w:rPr>
          <w:sz w:val="20"/>
          <w:szCs w:val="20"/>
          <w:color w:val="auto"/>
        </w:rPr>
        <w:tab/>
      </w:r>
      <w:r>
        <w:rPr>
          <w:rFonts w:ascii="Arial" w:cs="Arial" w:eastAsia="Arial" w:hAnsi="Arial"/>
          <w:sz w:val="12"/>
          <w:szCs w:val="12"/>
          <w:b w:val="1"/>
          <w:bCs w:val="1"/>
          <w:color w:val="auto"/>
        </w:rPr>
        <w:t>95119</w:t>
      </w:r>
    </w:p>
    <w:p>
      <w:pPr>
        <w:spacing w:after="0" w:line="45" w:lineRule="exact"/>
        <w:rPr>
          <w:sz w:val="24"/>
          <w:szCs w:val="24"/>
          <w:color w:val="auto"/>
        </w:rPr>
      </w:pPr>
    </w:p>
    <w:p>
      <w:pPr>
        <w:ind w:left="1540"/>
        <w:spacing w:after="0"/>
        <w:tabs>
          <w:tab w:leader="none" w:pos="8440" w:val="left"/>
        </w:tabs>
        <w:rPr>
          <w:sz w:val="20"/>
          <w:szCs w:val="20"/>
          <w:color w:val="auto"/>
        </w:rPr>
      </w:pPr>
      <w:r>
        <w:rPr>
          <w:rFonts w:ascii="Arial" w:cs="Arial" w:eastAsia="Arial" w:hAnsi="Arial"/>
          <w:sz w:val="12"/>
          <w:szCs w:val="12"/>
          <w:i w:val="1"/>
          <w:iCs w:val="1"/>
          <w:color w:val="auto"/>
        </w:rPr>
        <w:t>(Address of principal executive offices)</w:t>
      </w:r>
      <w:r>
        <w:rPr>
          <w:sz w:val="20"/>
          <w:szCs w:val="20"/>
          <w:color w:val="auto"/>
        </w:rPr>
        <w:tab/>
      </w:r>
      <w:r>
        <w:rPr>
          <w:rFonts w:ascii="Arial" w:cs="Arial" w:eastAsia="Arial" w:hAnsi="Arial"/>
          <w:sz w:val="11"/>
          <w:szCs w:val="11"/>
          <w:i w:val="1"/>
          <w:iCs w:val="1"/>
          <w:color w:val="auto"/>
        </w:rPr>
        <w:t>(Zip Code)</w:t>
      </w:r>
    </w:p>
    <w:p>
      <w:pPr>
        <w:spacing w:after="0" w:line="27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44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191"/>
        </w:trPr>
        <w:tc>
          <w:tcPr>
            <w:tcW w:w="15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700" w:type="dxa"/>
            <w:vAlign w:val="bottom"/>
            <w:gridSpan w:val="2"/>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6"/>
                <w:szCs w:val="16"/>
                <w:b w:val="1"/>
                <w:bCs w:val="1"/>
                <w:color w:val="auto"/>
                <w:w w:val="89"/>
              </w:rPr>
              <w:t>Trading symbol(s)</w:t>
            </w:r>
          </w:p>
        </w:tc>
        <w:tc>
          <w:tcPr>
            <w:tcW w:w="2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193"/>
        </w:trPr>
        <w:tc>
          <w:tcPr>
            <w:tcW w:w="4440" w:type="dxa"/>
            <w:vAlign w:val="bottom"/>
            <w:gridSpan w:val="4"/>
          </w:tcPr>
          <w:p>
            <w:pPr>
              <w:jc w:val="center"/>
              <w:ind w:right="140"/>
              <w:spacing w:after="0"/>
              <w:rPr>
                <w:sz w:val="20"/>
                <w:szCs w:val="20"/>
                <w:color w:val="auto"/>
              </w:rPr>
            </w:pPr>
            <w:r>
              <w:rPr>
                <w:rFonts w:ascii="Arial" w:cs="Arial" w:eastAsia="Arial" w:hAnsi="Arial"/>
                <w:sz w:val="14"/>
                <w:szCs w:val="14"/>
                <w:color w:val="auto"/>
                <w:w w:val="89"/>
              </w:rPr>
              <w:t>Common Stock, $0.01 Par Value Per Share</w:t>
            </w: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4"/>
                <w:szCs w:val="14"/>
                <w:color w:val="auto"/>
                <w:w w:val="95"/>
              </w:rPr>
              <w:t>WDC</w:t>
            </w:r>
          </w:p>
        </w:tc>
        <w:tc>
          <w:tcPr>
            <w:tcW w:w="180" w:type="dxa"/>
            <w:vAlign w:val="bottom"/>
          </w:tcPr>
          <w:p>
            <w:pPr>
              <w:spacing w:after="0"/>
              <w:rPr>
                <w:sz w:val="16"/>
                <w:szCs w:val="16"/>
                <w:color w:val="auto"/>
              </w:rPr>
            </w:pPr>
          </w:p>
        </w:tc>
        <w:tc>
          <w:tcPr>
            <w:tcW w:w="2760" w:type="dxa"/>
            <w:vAlign w:val="bottom"/>
          </w:tcPr>
          <w:p>
            <w:pPr>
              <w:jc w:val="center"/>
              <w:ind w:right="110"/>
              <w:spacing w:after="0"/>
              <w:rPr>
                <w:sz w:val="20"/>
                <w:szCs w:val="20"/>
                <w:color w:val="auto"/>
              </w:rPr>
            </w:pPr>
            <w:r>
              <w:rPr>
                <w:rFonts w:ascii="Arial" w:cs="Arial" w:eastAsia="Arial" w:hAnsi="Arial"/>
                <w:sz w:val="14"/>
                <w:szCs w:val="14"/>
                <w:color w:val="auto"/>
                <w:w w:val="92"/>
              </w:rPr>
              <w:t>The Nasdaq Stock Market LLC</w:t>
            </w:r>
          </w:p>
        </w:tc>
      </w:tr>
      <w:tr>
        <w:trPr>
          <w:trHeight w:val="198"/>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jc w:val="center"/>
              <w:ind w:right="130"/>
              <w:spacing w:after="0"/>
              <w:rPr>
                <w:sz w:val="20"/>
                <w:szCs w:val="20"/>
                <w:color w:val="auto"/>
              </w:rPr>
            </w:pPr>
            <w:r>
              <w:rPr>
                <w:rFonts w:ascii="Arial" w:cs="Arial" w:eastAsia="Arial" w:hAnsi="Arial"/>
                <w:sz w:val="14"/>
                <w:szCs w:val="14"/>
                <w:color w:val="auto"/>
                <w:w w:val="91"/>
              </w:rPr>
              <w:t>(Nasdaq Global Select Market)</w:t>
            </w:r>
          </w:p>
        </w:tc>
      </w:tr>
      <w:tr>
        <w:trPr>
          <w:trHeight w:val="195"/>
        </w:trPr>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Pr>
          <w:p>
            <w:pPr>
              <w:spacing w:after="0"/>
              <w:rPr>
                <w:sz w:val="16"/>
                <w:szCs w:val="16"/>
                <w:color w:val="auto"/>
              </w:rPr>
            </w:pPr>
          </w:p>
        </w:tc>
      </w:tr>
    </w:tbl>
    <w:p>
      <w:pPr>
        <w:spacing w:after="0" w:line="232" w:lineRule="exact"/>
        <w:rPr>
          <w:sz w:val="24"/>
          <w:szCs w:val="24"/>
          <w:color w:val="auto"/>
        </w:rPr>
      </w:pPr>
    </w:p>
    <w:p>
      <w:pPr>
        <w:ind w:right="80" w:firstLine="316"/>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0" w:lineRule="exact"/>
        <w:rPr>
          <w:sz w:val="24"/>
          <w:szCs w:val="24"/>
          <w:color w:val="auto"/>
        </w:rPr>
      </w:pPr>
    </w:p>
    <w:p>
      <w:pPr>
        <w:ind w:firstLine="316"/>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525145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type w:val="continuous"/>
        </w:sectPr>
      </w:pPr>
    </w:p>
    <w:bookmarkStart w:id="1" w:name="page2"/>
    <w:bookmarkEnd w:id="1"/>
    <w:p>
      <w:pPr>
        <w:ind w:firstLine="316"/>
        <w:spacing w:after="0" w:line="28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860"/>
          </w:cols>
          <w:pgMar w:left="320" w:top="1031" w:right="719" w:bottom="1440" w:gutter="0" w:footer="0" w:header="0"/>
        </w:sectPr>
      </w:pPr>
    </w:p>
    <w:p>
      <w:pPr>
        <w:spacing w:after="0" w:line="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Large accelerated filer</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Emerging growth company</w:t>
      </w:r>
    </w:p>
    <w:p>
      <w:pPr>
        <w:spacing w:after="0" w:line="41" w:lineRule="exact"/>
        <w:rPr>
          <w:sz w:val="20"/>
          <w:szCs w:val="20"/>
          <w:color w:val="auto"/>
        </w:rPr>
      </w:pPr>
    </w:p>
    <w:p>
      <w:pPr>
        <w:sectPr>
          <w:pgSz w:w="11900" w:h="16838" w:orient="portrait"/>
          <w:cols w:equalWidth="0" w:num="5">
            <w:col w:w="2160" w:space="720"/>
            <w:col w:w="1400" w:space="720"/>
            <w:col w:w="1340" w:space="720"/>
            <w:col w:w="1540" w:space="720"/>
            <w:col w:w="1540"/>
          </w:cols>
          <w:pgMar w:left="320" w:top="1031" w:right="71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840"/>
          </w:cols>
          <w:pgMar w:left="320" w:top="1031" w:right="719" w:bottom="1440" w:gutter="0" w:footer="0" w:header="0"/>
          <w:type w:val="continuous"/>
        </w:sectPr>
      </w:pPr>
    </w:p>
    <w:p>
      <w:pPr>
        <w:spacing w:after="0" w:line="101" w:lineRule="exact"/>
        <w:rPr>
          <w:sz w:val="20"/>
          <w:szCs w:val="20"/>
          <w:color w:val="auto"/>
        </w:rPr>
      </w:pPr>
    </w:p>
    <w:p>
      <w:pPr>
        <w:ind w:right="120" w:firstLine="316"/>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7" w:lineRule="exact"/>
        <w:rPr>
          <w:sz w:val="20"/>
          <w:szCs w:val="20"/>
          <w:color w:val="auto"/>
        </w:rPr>
      </w:pPr>
    </w:p>
    <w:p>
      <w:pPr>
        <w:ind w:left="320"/>
        <w:spacing w:after="0" w:line="161" w:lineRule="exact"/>
        <w:tabs>
          <w:tab w:leader="none" w:pos="6820" w:val="left"/>
          <w:tab w:leader="none" w:pos="73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the close of business on October 25, 2023, 324,243,164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541655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320" w:top="1031" w:right="7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WESTERN DIGITAL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spacing w:after="0"/>
              <w:rPr>
                <w:sz w:val="19"/>
                <w:szCs w:val="19"/>
                <w:color w:val="auto"/>
              </w:rPr>
            </w:pPr>
          </w:p>
        </w:tc>
        <w:tc>
          <w:tcPr>
            <w:tcW w:w="8960" w:type="dxa"/>
            <w:vAlign w:val="bottom"/>
            <w:vMerge w:val="restart"/>
          </w:tcPr>
          <w:p>
            <w:pPr>
              <w:ind w:left="328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89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40" w:type="dxa"/>
            <w:vAlign w:val="bottom"/>
          </w:tcPr>
          <w:p>
            <w:pPr>
              <w:spacing w:after="0"/>
              <w:rPr>
                <w:sz w:val="23"/>
                <w:szCs w:val="23"/>
                <w:color w:val="auto"/>
              </w:rPr>
            </w:pPr>
          </w:p>
        </w:tc>
        <w:tc>
          <w:tcPr>
            <w:tcW w:w="8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 (unaudited)</w:t>
            </w:r>
          </w:p>
        </w:tc>
        <w:tc>
          <w:tcPr>
            <w:tcW w:w="6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8960" w:type="dxa"/>
            <w:vAlign w:val="bottom"/>
          </w:tcPr>
          <w:p>
            <w:pPr>
              <w:ind w:left="480"/>
              <w:spacing w:after="0" w:line="185" w:lineRule="exact"/>
              <w:rPr>
                <w:sz w:val="20"/>
                <w:szCs w:val="20"/>
                <w:color w:val="auto"/>
              </w:rPr>
            </w:pPr>
            <w:r>
              <w:rPr>
                <w:rFonts w:ascii="Arial" w:cs="Arial" w:eastAsia="Arial" w:hAnsi="Arial"/>
                <w:sz w:val="18"/>
                <w:szCs w:val="18"/>
                <w:color w:val="auto"/>
              </w:rPr>
              <w:t>Condensed Consolidated Balance Sheets — As of September 29, 2023 and June 30, 2023</w:t>
            </w:r>
          </w:p>
        </w:tc>
        <w:tc>
          <w:tcPr>
            <w:tcW w:w="820" w:type="dxa"/>
            <w:vAlign w:val="bottom"/>
            <w:gridSpan w:val="2"/>
          </w:tcPr>
          <w:p>
            <w:pPr>
              <w:jc w:val="center"/>
              <w:ind w:left="532"/>
              <w:spacing w:after="0" w:line="185" w:lineRule="exact"/>
              <w:rPr>
                <w:sz w:val="20"/>
                <w:szCs w:val="20"/>
                <w:color w:val="auto"/>
              </w:rPr>
            </w:pPr>
            <w:r>
              <w:rPr>
                <w:rFonts w:ascii="Arial" w:cs="Arial" w:eastAsia="Arial" w:hAnsi="Arial"/>
                <w:sz w:val="18"/>
                <w:szCs w:val="18"/>
                <w:color w:val="3635D6"/>
                <w:w w:val="79"/>
              </w:rPr>
              <w:t>6</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 w:type="dxa"/>
            <w:vAlign w:val="bottom"/>
            <w:shd w:val="clear" w:color="auto" w:fill="CCEEFF"/>
          </w:tcPr>
          <w:p>
            <w:pPr>
              <w:spacing w:after="0"/>
              <w:rPr>
                <w:sz w:val="15"/>
                <w:szCs w:val="15"/>
                <w:color w:val="auto"/>
              </w:rPr>
            </w:pPr>
          </w:p>
        </w:tc>
        <w:tc>
          <w:tcPr>
            <w:tcW w:w="8960" w:type="dxa"/>
            <w:vAlign w:val="bottom"/>
            <w:shd w:val="clear" w:color="auto" w:fill="CCEEFF"/>
          </w:tcPr>
          <w:p>
            <w:pPr>
              <w:ind w:left="480"/>
              <w:spacing w:after="0" w:line="182" w:lineRule="exact"/>
              <w:rPr>
                <w:sz w:val="20"/>
                <w:szCs w:val="20"/>
                <w:color w:val="auto"/>
              </w:rPr>
            </w:pPr>
            <w:r>
              <w:rPr>
                <w:rFonts w:ascii="Arial" w:cs="Arial" w:eastAsia="Arial" w:hAnsi="Arial"/>
                <w:sz w:val="18"/>
                <w:szCs w:val="18"/>
                <w:color w:val="auto"/>
                <w:w w:val="90"/>
              </w:rPr>
              <w:t>Condensed Consolidated Statements of Operations — Three Months Ended September 29, 2023 and September 30,</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top w:val="single" w:sz="8" w:color="3635D6"/>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0" w:type="dxa"/>
            <w:vAlign w:val="bottom"/>
            <w:shd w:val="clear" w:color="auto" w:fill="CCEEFF"/>
          </w:tcPr>
          <w:p>
            <w:pPr>
              <w:spacing w:after="0"/>
              <w:rPr>
                <w:sz w:val="18"/>
                <w:szCs w:val="18"/>
                <w:color w:val="auto"/>
              </w:rPr>
            </w:pPr>
          </w:p>
        </w:tc>
        <w:tc>
          <w:tcPr>
            <w:tcW w:w="8960" w:type="dxa"/>
            <w:vAlign w:val="bottom"/>
            <w:shd w:val="clear" w:color="auto" w:fill="CCEEFF"/>
          </w:tcPr>
          <w:p>
            <w:pPr>
              <w:ind w:left="480"/>
              <w:spacing w:after="0" w:line="197" w:lineRule="exact"/>
              <w:rPr>
                <w:sz w:val="20"/>
                <w:szCs w:val="20"/>
                <w:color w:val="auto"/>
              </w:rPr>
            </w:pPr>
            <w:r>
              <w:rPr>
                <w:rFonts w:ascii="Arial" w:cs="Arial" w:eastAsia="Arial" w:hAnsi="Arial"/>
                <w:sz w:val="18"/>
                <w:szCs w:val="18"/>
                <w:color w:val="auto"/>
              </w:rPr>
              <w:t>2022</w:t>
            </w:r>
          </w:p>
        </w:tc>
        <w:tc>
          <w:tcPr>
            <w:tcW w:w="820" w:type="dxa"/>
            <w:vAlign w:val="bottom"/>
            <w:tcBorders>
              <w:right w:val="single" w:sz="8" w:color="CCEEFF"/>
            </w:tcBorders>
            <w:gridSpan w:val="2"/>
            <w:shd w:val="clear" w:color="auto" w:fill="CCEEFF"/>
          </w:tcPr>
          <w:p>
            <w:pPr>
              <w:jc w:val="center"/>
              <w:ind w:left="532"/>
              <w:spacing w:after="0" w:line="197" w:lineRule="exact"/>
              <w:rPr>
                <w:sz w:val="20"/>
                <w:szCs w:val="20"/>
                <w:color w:val="auto"/>
              </w:rPr>
            </w:pPr>
            <w:r>
              <w:rPr>
                <w:rFonts w:ascii="Arial" w:cs="Arial" w:eastAsia="Arial" w:hAnsi="Arial"/>
                <w:sz w:val="18"/>
                <w:szCs w:val="18"/>
                <w:color w:val="3635D6"/>
                <w:w w:val="79"/>
              </w:rPr>
              <w:t>7</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40" w:type="dxa"/>
            <w:vAlign w:val="bottom"/>
            <w:tcBorders>
              <w:top w:val="single" w:sz="8" w:color="CCEEFF"/>
            </w:tcBorders>
          </w:tcPr>
          <w:p>
            <w:pPr>
              <w:spacing w:after="0"/>
              <w:rPr>
                <w:sz w:val="14"/>
                <w:szCs w:val="14"/>
                <w:color w:val="auto"/>
              </w:rPr>
            </w:pPr>
          </w:p>
        </w:tc>
        <w:tc>
          <w:tcPr>
            <w:tcW w:w="8960" w:type="dxa"/>
            <w:vAlign w:val="bottom"/>
            <w:tcBorders>
              <w:top w:val="single" w:sz="8" w:color="CCEEFF"/>
            </w:tcBorders>
          </w:tcPr>
          <w:p>
            <w:pPr>
              <w:ind w:left="480"/>
              <w:spacing w:after="0" w:line="172" w:lineRule="exact"/>
              <w:rPr>
                <w:sz w:val="20"/>
                <w:szCs w:val="20"/>
                <w:color w:val="auto"/>
              </w:rPr>
            </w:pPr>
            <w:r>
              <w:rPr>
                <w:rFonts w:ascii="Arial" w:cs="Arial" w:eastAsia="Arial" w:hAnsi="Arial"/>
                <w:sz w:val="18"/>
                <w:szCs w:val="18"/>
                <w:color w:val="auto"/>
                <w:w w:val="94"/>
              </w:rPr>
              <w:t>Condensed Consolidated Statements of Comprehensive Loss — Three Months Ended September 29, 2023 and</w:t>
            </w:r>
          </w:p>
        </w:tc>
        <w:tc>
          <w:tcPr>
            <w:tcW w:w="680" w:type="dxa"/>
            <w:vAlign w:val="bottom"/>
            <w:tcBorders>
              <w:top w:val="single" w:sz="8" w:color="CCEEFF"/>
            </w:tcBorders>
          </w:tcPr>
          <w:p>
            <w:pPr>
              <w:spacing w:after="0"/>
              <w:rPr>
                <w:sz w:val="14"/>
                <w:szCs w:val="14"/>
                <w:color w:val="auto"/>
              </w:rPr>
            </w:pPr>
          </w:p>
        </w:tc>
        <w:tc>
          <w:tcPr>
            <w:tcW w:w="140" w:type="dxa"/>
            <w:vAlign w:val="bottom"/>
            <w:tcBorders>
              <w:top w:val="single" w:sz="8" w:color="3635D6"/>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7"/>
                <w:szCs w:val="17"/>
                <w:color w:val="auto"/>
              </w:rPr>
            </w:pPr>
          </w:p>
        </w:tc>
        <w:tc>
          <w:tcPr>
            <w:tcW w:w="8960" w:type="dxa"/>
            <w:vAlign w:val="bottom"/>
          </w:tcPr>
          <w:p>
            <w:pPr>
              <w:ind w:left="480"/>
              <w:spacing w:after="0" w:line="197" w:lineRule="exact"/>
              <w:rPr>
                <w:sz w:val="20"/>
                <w:szCs w:val="20"/>
                <w:color w:val="auto"/>
              </w:rPr>
            </w:pPr>
            <w:r>
              <w:rPr>
                <w:rFonts w:ascii="Arial" w:cs="Arial" w:eastAsia="Arial" w:hAnsi="Arial"/>
                <w:sz w:val="18"/>
                <w:szCs w:val="18"/>
                <w:color w:val="auto"/>
              </w:rPr>
              <w:t>September 30, 2022</w:t>
            </w:r>
          </w:p>
        </w:tc>
        <w:tc>
          <w:tcPr>
            <w:tcW w:w="820" w:type="dxa"/>
            <w:vAlign w:val="bottom"/>
            <w:gridSpan w:val="2"/>
          </w:tcPr>
          <w:p>
            <w:pPr>
              <w:jc w:val="center"/>
              <w:ind w:left="532"/>
              <w:spacing w:after="0" w:line="197" w:lineRule="exact"/>
              <w:rPr>
                <w:sz w:val="20"/>
                <w:szCs w:val="20"/>
                <w:color w:val="auto"/>
              </w:rPr>
            </w:pPr>
            <w:r>
              <w:rPr>
                <w:rFonts w:ascii="Arial" w:cs="Arial" w:eastAsia="Arial" w:hAnsi="Arial"/>
                <w:sz w:val="18"/>
                <w:szCs w:val="18"/>
                <w:color w:val="3635D6"/>
                <w:w w:val="79"/>
              </w:rPr>
              <w:t>8</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40" w:type="dxa"/>
            <w:vAlign w:val="bottom"/>
            <w:shd w:val="clear" w:color="auto" w:fill="CCEEFF"/>
          </w:tcPr>
          <w:p>
            <w:pPr>
              <w:spacing w:after="0"/>
              <w:rPr>
                <w:sz w:val="15"/>
                <w:szCs w:val="15"/>
                <w:color w:val="auto"/>
              </w:rPr>
            </w:pPr>
          </w:p>
        </w:tc>
        <w:tc>
          <w:tcPr>
            <w:tcW w:w="8960" w:type="dxa"/>
            <w:vAlign w:val="bottom"/>
            <w:shd w:val="clear" w:color="auto" w:fill="CCEEFF"/>
          </w:tcPr>
          <w:p>
            <w:pPr>
              <w:ind w:left="480"/>
              <w:spacing w:after="0" w:line="182" w:lineRule="exact"/>
              <w:rPr>
                <w:sz w:val="20"/>
                <w:szCs w:val="20"/>
                <w:color w:val="auto"/>
              </w:rPr>
            </w:pPr>
            <w:r>
              <w:rPr>
                <w:rFonts w:ascii="Arial" w:cs="Arial" w:eastAsia="Arial" w:hAnsi="Arial"/>
                <w:sz w:val="18"/>
                <w:szCs w:val="18"/>
                <w:color w:val="auto"/>
                <w:w w:val="90"/>
              </w:rPr>
              <w:t>Condensed Consolidated Statements of Cash Flows — Three Months Ended September 29, 2023 and September 30,</w:t>
            </w:r>
          </w:p>
        </w:tc>
        <w:tc>
          <w:tcPr>
            <w:tcW w:w="6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top w:val="single" w:sz="8" w:color="3635D6"/>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0" w:type="dxa"/>
            <w:vAlign w:val="bottom"/>
            <w:shd w:val="clear" w:color="auto" w:fill="CCEEFF"/>
          </w:tcPr>
          <w:p>
            <w:pPr>
              <w:spacing w:after="0"/>
              <w:rPr>
                <w:sz w:val="18"/>
                <w:szCs w:val="18"/>
                <w:color w:val="auto"/>
              </w:rPr>
            </w:pPr>
          </w:p>
        </w:tc>
        <w:tc>
          <w:tcPr>
            <w:tcW w:w="8960" w:type="dxa"/>
            <w:vAlign w:val="bottom"/>
            <w:shd w:val="clear" w:color="auto" w:fill="CCEEFF"/>
          </w:tcPr>
          <w:p>
            <w:pPr>
              <w:ind w:left="480"/>
              <w:spacing w:after="0" w:line="197" w:lineRule="exact"/>
              <w:rPr>
                <w:sz w:val="20"/>
                <w:szCs w:val="20"/>
                <w:color w:val="auto"/>
              </w:rPr>
            </w:pPr>
            <w:r>
              <w:rPr>
                <w:rFonts w:ascii="Arial" w:cs="Arial" w:eastAsia="Arial" w:hAnsi="Arial"/>
                <w:sz w:val="18"/>
                <w:szCs w:val="18"/>
                <w:color w:val="auto"/>
              </w:rPr>
              <w:t>2022</w:t>
            </w:r>
          </w:p>
        </w:tc>
        <w:tc>
          <w:tcPr>
            <w:tcW w:w="820" w:type="dxa"/>
            <w:vAlign w:val="bottom"/>
            <w:tcBorders>
              <w:right w:val="single" w:sz="8" w:color="CCEEFF"/>
            </w:tcBorders>
            <w:gridSpan w:val="2"/>
            <w:shd w:val="clear" w:color="auto" w:fill="CCEEFF"/>
          </w:tcPr>
          <w:p>
            <w:pPr>
              <w:jc w:val="center"/>
              <w:ind w:left="532"/>
              <w:spacing w:after="0" w:line="197" w:lineRule="exact"/>
              <w:rPr>
                <w:sz w:val="20"/>
                <w:szCs w:val="20"/>
                <w:color w:val="auto"/>
              </w:rPr>
            </w:pPr>
            <w:r>
              <w:rPr>
                <w:rFonts w:ascii="Arial" w:cs="Arial" w:eastAsia="Arial" w:hAnsi="Arial"/>
                <w:sz w:val="18"/>
                <w:szCs w:val="18"/>
                <w:color w:val="3635D6"/>
                <w:w w:val="79"/>
              </w:rPr>
              <w:t>9</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40" w:type="dxa"/>
            <w:vAlign w:val="bottom"/>
            <w:tcBorders>
              <w:top w:val="single" w:sz="8" w:color="CCEEFF"/>
            </w:tcBorders>
          </w:tcPr>
          <w:p>
            <w:pPr>
              <w:spacing w:after="0"/>
              <w:rPr>
                <w:sz w:val="14"/>
                <w:szCs w:val="14"/>
                <w:color w:val="auto"/>
              </w:rPr>
            </w:pPr>
          </w:p>
        </w:tc>
        <w:tc>
          <w:tcPr>
            <w:tcW w:w="8960" w:type="dxa"/>
            <w:vAlign w:val="bottom"/>
            <w:tcBorders>
              <w:top w:val="single" w:sz="8" w:color="CCEEFF"/>
            </w:tcBorders>
          </w:tcPr>
          <w:p>
            <w:pPr>
              <w:ind w:left="480"/>
              <w:spacing w:after="0" w:line="172" w:lineRule="exact"/>
              <w:rPr>
                <w:sz w:val="20"/>
                <w:szCs w:val="20"/>
                <w:color w:val="auto"/>
              </w:rPr>
            </w:pPr>
            <w:r>
              <w:rPr>
                <w:rFonts w:ascii="Arial" w:cs="Arial" w:eastAsia="Arial" w:hAnsi="Arial"/>
                <w:sz w:val="18"/>
                <w:szCs w:val="18"/>
                <w:color w:val="auto"/>
                <w:w w:val="89"/>
              </w:rPr>
              <w:t>Condensed Consolidated Statements of Convertible Preferred Stock and Shareholders' Equity — Three Months Ended</w:t>
            </w:r>
          </w:p>
        </w:tc>
        <w:tc>
          <w:tcPr>
            <w:tcW w:w="680" w:type="dxa"/>
            <w:vAlign w:val="bottom"/>
            <w:tcBorders>
              <w:top w:val="single" w:sz="8" w:color="CCEEFF"/>
            </w:tcBorders>
          </w:tcPr>
          <w:p>
            <w:pPr>
              <w:spacing w:after="0"/>
              <w:rPr>
                <w:sz w:val="14"/>
                <w:szCs w:val="14"/>
                <w:color w:val="auto"/>
              </w:rPr>
            </w:pPr>
          </w:p>
        </w:tc>
        <w:tc>
          <w:tcPr>
            <w:tcW w:w="140" w:type="dxa"/>
            <w:vAlign w:val="bottom"/>
            <w:tcBorders>
              <w:top w:val="single" w:sz="8" w:color="3635D6"/>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40" w:type="dxa"/>
            <w:vAlign w:val="bottom"/>
          </w:tcPr>
          <w:p>
            <w:pPr>
              <w:spacing w:after="0"/>
              <w:rPr>
                <w:sz w:val="17"/>
                <w:szCs w:val="17"/>
                <w:color w:val="auto"/>
              </w:rPr>
            </w:pPr>
          </w:p>
        </w:tc>
        <w:tc>
          <w:tcPr>
            <w:tcW w:w="8960" w:type="dxa"/>
            <w:vAlign w:val="bottom"/>
          </w:tcPr>
          <w:p>
            <w:pPr>
              <w:ind w:left="480"/>
              <w:spacing w:after="0" w:line="197" w:lineRule="exact"/>
              <w:rPr>
                <w:sz w:val="20"/>
                <w:szCs w:val="20"/>
                <w:color w:val="auto"/>
              </w:rPr>
            </w:pPr>
            <w:r>
              <w:rPr>
                <w:rFonts w:ascii="Arial" w:cs="Arial" w:eastAsia="Arial" w:hAnsi="Arial"/>
                <w:sz w:val="18"/>
                <w:szCs w:val="18"/>
                <w:color w:val="auto"/>
              </w:rPr>
              <w:t>September 29, 2023 and September 30, 2022</w:t>
            </w:r>
          </w:p>
        </w:tc>
        <w:tc>
          <w:tcPr>
            <w:tcW w:w="820" w:type="dxa"/>
            <w:vAlign w:val="bottom"/>
            <w:gridSpan w:val="2"/>
          </w:tcPr>
          <w:p>
            <w:pPr>
              <w:jc w:val="center"/>
              <w:ind w:left="552"/>
              <w:spacing w:after="0" w:line="197" w:lineRule="exact"/>
              <w:rPr>
                <w:sz w:val="20"/>
                <w:szCs w:val="20"/>
                <w:color w:val="auto"/>
              </w:rPr>
            </w:pPr>
            <w:r>
              <w:rPr>
                <w:rFonts w:ascii="Arial" w:cs="Arial" w:eastAsia="Arial" w:hAnsi="Arial"/>
                <w:sz w:val="18"/>
                <w:szCs w:val="18"/>
                <w:color w:val="3635D6"/>
                <w:w w:val="89"/>
              </w:rPr>
              <w:t>10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140" w:type="dxa"/>
            <w:vAlign w:val="bottom"/>
            <w:tcBorders>
              <w:right w:val="single" w:sz="8" w:color="3635D6"/>
            </w:tcBorders>
            <w:shd w:val="clear" w:color="auto" w:fill="3635D6"/>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rPr>
              <w:t>Notes to Condensed Consolidated Financial Statements</w:t>
            </w:r>
          </w:p>
        </w:tc>
        <w:tc>
          <w:tcPr>
            <w:tcW w:w="820" w:type="dxa"/>
            <w:vAlign w:val="bottom"/>
            <w:tcBorders>
              <w:right w:val="single" w:sz="8" w:color="CCEEFF"/>
            </w:tcBorders>
            <w:gridSpan w:val="2"/>
            <w:shd w:val="clear" w:color="auto" w:fill="CCEEFF"/>
          </w:tcPr>
          <w:p>
            <w:pPr>
              <w:jc w:val="center"/>
              <w:ind w:left="552"/>
              <w:spacing w:after="0" w:line="195" w:lineRule="exact"/>
              <w:rPr>
                <w:sz w:val="20"/>
                <w:szCs w:val="20"/>
                <w:color w:val="auto"/>
              </w:rPr>
            </w:pPr>
            <w:r>
              <w:rPr>
                <w:rFonts w:ascii="Arial" w:cs="Arial" w:eastAsia="Arial" w:hAnsi="Arial"/>
                <w:sz w:val="18"/>
                <w:szCs w:val="18"/>
                <w:color w:val="3635D6"/>
                <w:w w:val="89"/>
              </w:rPr>
              <w:t>12</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140" w:type="dxa"/>
            <w:vAlign w:val="bottom"/>
            <w:tcBorders>
              <w:right w:val="single" w:sz="8" w:color="3635D6"/>
            </w:tcBorders>
            <w:shd w:val="clear" w:color="auto" w:fill="3635D6"/>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2.</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20" w:type="dxa"/>
            <w:vAlign w:val="bottom"/>
            <w:gridSpan w:val="2"/>
          </w:tcPr>
          <w:p>
            <w:pPr>
              <w:jc w:val="center"/>
              <w:ind w:left="552"/>
              <w:spacing w:after="0" w:line="185" w:lineRule="exact"/>
              <w:rPr>
                <w:sz w:val="20"/>
                <w:szCs w:val="20"/>
                <w:color w:val="auto"/>
              </w:rPr>
            </w:pPr>
            <w:r>
              <w:rPr>
                <w:rFonts w:ascii="Arial" w:cs="Arial" w:eastAsia="Arial" w:hAnsi="Arial"/>
                <w:sz w:val="18"/>
                <w:szCs w:val="18"/>
                <w:color w:val="3635D6"/>
                <w:w w:val="89"/>
              </w:rPr>
              <w:t>38</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140" w:type="dxa"/>
            <w:vAlign w:val="bottom"/>
            <w:tcBorders>
              <w:right w:val="single" w:sz="8" w:color="3635D6"/>
            </w:tcBorders>
            <w:shd w:val="clear" w:color="auto" w:fill="3635D6"/>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3.</w:t>
            </w:r>
          </w:p>
        </w:tc>
        <w:tc>
          <w:tcPr>
            <w:tcW w:w="8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820" w:type="dxa"/>
            <w:vAlign w:val="bottom"/>
            <w:tcBorders>
              <w:right w:val="single" w:sz="8" w:color="CCEEFF"/>
            </w:tcBorders>
            <w:gridSpan w:val="2"/>
            <w:shd w:val="clear" w:color="auto" w:fill="CCEEFF"/>
          </w:tcPr>
          <w:p>
            <w:pPr>
              <w:jc w:val="center"/>
              <w:ind w:left="552"/>
              <w:spacing w:after="0" w:line="195" w:lineRule="exact"/>
              <w:rPr>
                <w:sz w:val="20"/>
                <w:szCs w:val="20"/>
                <w:color w:val="auto"/>
              </w:rPr>
            </w:pPr>
            <w:r>
              <w:rPr>
                <w:rFonts w:ascii="Arial" w:cs="Arial" w:eastAsia="Arial" w:hAnsi="Arial"/>
                <w:sz w:val="18"/>
                <w:szCs w:val="18"/>
                <w:color w:val="3635D6"/>
                <w:w w:val="89"/>
              </w:rPr>
              <w:t>51</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140" w:type="dxa"/>
            <w:vAlign w:val="bottom"/>
            <w:tcBorders>
              <w:right w:val="single" w:sz="8" w:color="3635D6"/>
            </w:tcBorders>
            <w:shd w:val="clear" w:color="auto" w:fill="3635D6"/>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4.</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Controls and Procedures</w:t>
            </w:r>
          </w:p>
        </w:tc>
        <w:tc>
          <w:tcPr>
            <w:tcW w:w="820" w:type="dxa"/>
            <w:vAlign w:val="bottom"/>
            <w:gridSpan w:val="2"/>
          </w:tcPr>
          <w:p>
            <w:pPr>
              <w:jc w:val="center"/>
              <w:ind w:left="552"/>
              <w:spacing w:after="0" w:line="185" w:lineRule="exact"/>
              <w:rPr>
                <w:sz w:val="20"/>
                <w:szCs w:val="20"/>
                <w:color w:val="auto"/>
              </w:rPr>
            </w:pPr>
            <w:r>
              <w:rPr>
                <w:rFonts w:ascii="Arial" w:cs="Arial" w:eastAsia="Arial" w:hAnsi="Arial"/>
                <w:sz w:val="18"/>
                <w:szCs w:val="18"/>
                <w:color w:val="3635D6"/>
                <w:w w:val="89"/>
              </w:rPr>
              <w:t>51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840" w:type="dxa"/>
            <w:vAlign w:val="bottom"/>
          </w:tcPr>
          <w:p>
            <w:pPr>
              <w:spacing w:after="0"/>
              <w:rPr>
                <w:sz w:val="24"/>
                <w:szCs w:val="24"/>
                <w:color w:val="auto"/>
              </w:rPr>
            </w:pPr>
          </w:p>
        </w:tc>
        <w:tc>
          <w:tcPr>
            <w:tcW w:w="8960" w:type="dxa"/>
            <w:vAlign w:val="bottom"/>
          </w:tcPr>
          <w:p>
            <w:pPr>
              <w:ind w:left="3440"/>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c>
          <w:tcPr>
            <w:tcW w:w="140" w:type="dxa"/>
            <w:vAlign w:val="bottom"/>
            <w:tcBorders>
              <w:top w:val="single" w:sz="8" w:color="3635D6"/>
            </w:tcBorders>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Item 1.</w:t>
            </w:r>
          </w:p>
        </w:tc>
        <w:tc>
          <w:tcPr>
            <w:tcW w:w="8960" w:type="dxa"/>
            <w:vAlign w:val="bottom"/>
            <w:shd w:val="clear" w:color="auto" w:fill="CCEEFF"/>
          </w:tcPr>
          <w:p>
            <w:pPr>
              <w:ind w:left="180"/>
              <w:spacing w:after="0" w:line="185" w:lineRule="exact"/>
              <w:rPr>
                <w:sz w:val="20"/>
                <w:szCs w:val="20"/>
                <w:color w:val="auto"/>
              </w:rPr>
            </w:pPr>
            <w:r>
              <w:rPr>
                <w:rFonts w:ascii="Arial" w:cs="Arial" w:eastAsia="Arial" w:hAnsi="Arial"/>
                <w:sz w:val="18"/>
                <w:szCs w:val="18"/>
                <w:color w:val="auto"/>
              </w:rPr>
              <w:t>Legal Proceedings</w:t>
            </w:r>
          </w:p>
        </w:tc>
        <w:tc>
          <w:tcPr>
            <w:tcW w:w="820" w:type="dxa"/>
            <w:vAlign w:val="bottom"/>
            <w:tcBorders>
              <w:right w:val="single" w:sz="8" w:color="CCEEFF"/>
            </w:tcBorders>
            <w:gridSpan w:val="2"/>
            <w:shd w:val="clear" w:color="auto" w:fill="CCEEFF"/>
          </w:tcPr>
          <w:p>
            <w:pPr>
              <w:jc w:val="center"/>
              <w:ind w:left="552"/>
              <w:spacing w:after="0" w:line="185" w:lineRule="exact"/>
              <w:rPr>
                <w:sz w:val="20"/>
                <w:szCs w:val="20"/>
                <w:color w:val="auto"/>
              </w:rPr>
            </w:pPr>
            <w:r>
              <w:rPr>
                <w:rFonts w:ascii="Arial" w:cs="Arial" w:eastAsia="Arial" w:hAnsi="Arial"/>
                <w:sz w:val="18"/>
                <w:szCs w:val="18"/>
                <w:color w:val="3635D6"/>
                <w:w w:val="89"/>
              </w:rPr>
              <w:t>52</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140" w:type="dxa"/>
            <w:vAlign w:val="bottom"/>
            <w:tcBorders>
              <w:right w:val="single" w:sz="8" w:color="3635D6"/>
            </w:tcBorders>
            <w:shd w:val="clear" w:color="auto" w:fill="3635D6"/>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1A.</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Risk Factors</w:t>
            </w:r>
          </w:p>
        </w:tc>
        <w:tc>
          <w:tcPr>
            <w:tcW w:w="820" w:type="dxa"/>
            <w:vAlign w:val="bottom"/>
            <w:gridSpan w:val="2"/>
          </w:tcPr>
          <w:p>
            <w:pPr>
              <w:jc w:val="center"/>
              <w:ind w:left="552"/>
              <w:spacing w:after="0" w:line="185" w:lineRule="exact"/>
              <w:rPr>
                <w:sz w:val="20"/>
                <w:szCs w:val="20"/>
                <w:color w:val="auto"/>
              </w:rPr>
            </w:pPr>
            <w:r>
              <w:rPr>
                <w:rFonts w:ascii="Arial" w:cs="Arial" w:eastAsia="Arial" w:hAnsi="Arial"/>
                <w:sz w:val="18"/>
                <w:szCs w:val="18"/>
                <w:color w:val="3635D6"/>
                <w:w w:val="89"/>
              </w:rPr>
              <w:t>52</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140" w:type="dxa"/>
            <w:vAlign w:val="bottom"/>
            <w:tcBorders>
              <w:right w:val="single" w:sz="8" w:color="3635D6"/>
            </w:tcBorders>
            <w:shd w:val="clear" w:color="auto" w:fill="3635D6"/>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5.</w:t>
            </w:r>
          </w:p>
        </w:tc>
        <w:tc>
          <w:tcPr>
            <w:tcW w:w="8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Other Information</w:t>
            </w:r>
          </w:p>
        </w:tc>
        <w:tc>
          <w:tcPr>
            <w:tcW w:w="820" w:type="dxa"/>
            <w:vAlign w:val="bottom"/>
            <w:tcBorders>
              <w:right w:val="single" w:sz="8" w:color="CCEEFF"/>
            </w:tcBorders>
            <w:gridSpan w:val="2"/>
            <w:shd w:val="clear" w:color="auto" w:fill="CCEEFF"/>
          </w:tcPr>
          <w:p>
            <w:pPr>
              <w:jc w:val="center"/>
              <w:ind w:left="552"/>
              <w:spacing w:after="0" w:line="195" w:lineRule="exact"/>
              <w:rPr>
                <w:sz w:val="20"/>
                <w:szCs w:val="20"/>
                <w:color w:val="auto"/>
              </w:rPr>
            </w:pPr>
            <w:r>
              <w:rPr>
                <w:rFonts w:ascii="Arial" w:cs="Arial" w:eastAsia="Arial" w:hAnsi="Arial"/>
                <w:sz w:val="18"/>
                <w:szCs w:val="18"/>
                <w:color w:val="3635D6"/>
                <w:w w:val="89"/>
              </w:rPr>
              <w:t>53</w:t>
            </w: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140" w:type="dxa"/>
            <w:vAlign w:val="bottom"/>
            <w:tcBorders>
              <w:right w:val="single" w:sz="8" w:color="3635D6"/>
            </w:tcBorders>
            <w:shd w:val="clear" w:color="auto" w:fill="3635D6"/>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6.</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Exhibits</w:t>
            </w:r>
          </w:p>
        </w:tc>
        <w:tc>
          <w:tcPr>
            <w:tcW w:w="820" w:type="dxa"/>
            <w:vAlign w:val="bottom"/>
            <w:gridSpan w:val="2"/>
          </w:tcPr>
          <w:p>
            <w:pPr>
              <w:jc w:val="center"/>
              <w:ind w:left="552"/>
              <w:spacing w:after="0" w:line="185" w:lineRule="exact"/>
              <w:rPr>
                <w:sz w:val="20"/>
                <w:szCs w:val="20"/>
                <w:color w:val="auto"/>
              </w:rPr>
            </w:pPr>
            <w:r>
              <w:rPr>
                <w:rFonts w:ascii="Arial" w:cs="Arial" w:eastAsia="Arial" w:hAnsi="Arial"/>
                <w:sz w:val="18"/>
                <w:szCs w:val="18"/>
                <w:color w:val="3635D6"/>
                <w:w w:val="89"/>
              </w:rPr>
              <w:t>53</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80" w:type="dxa"/>
            <w:vAlign w:val="bottom"/>
            <w:tcBorders>
              <w:right w:val="single" w:sz="8" w:color="3635D6"/>
            </w:tcBorders>
          </w:tcPr>
          <w:p>
            <w:pPr>
              <w:spacing w:after="0" w:line="20" w:lineRule="exact"/>
              <w:rPr>
                <w:sz w:val="1"/>
                <w:szCs w:val="1"/>
                <w:color w:val="auto"/>
              </w:rPr>
            </w:pPr>
          </w:p>
        </w:tc>
        <w:tc>
          <w:tcPr>
            <w:tcW w:w="140" w:type="dxa"/>
            <w:vAlign w:val="bottom"/>
            <w:tcBorders>
              <w:right w:val="single" w:sz="8" w:color="3635D6"/>
            </w:tcBorders>
            <w:shd w:val="clear" w:color="auto" w:fill="3635D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right="200" w:firstLine="316"/>
        <w:spacing w:after="0" w:line="253"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6" w:lineRule="exact"/>
        <w:rPr>
          <w:sz w:val="20"/>
          <w:szCs w:val="20"/>
          <w:color w:val="auto"/>
        </w:rPr>
      </w:pPr>
    </w:p>
    <w:p>
      <w:pPr>
        <w:ind w:right="660" w:firstLine="316"/>
        <w:spacing w:after="0" w:line="262"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208" w:lineRule="exact"/>
        <w:rPr>
          <w:sz w:val="20"/>
          <w:szCs w:val="20"/>
          <w:color w:val="auto"/>
        </w:rPr>
      </w:pPr>
    </w:p>
    <w:p>
      <w:pPr>
        <w:ind w:right="120" w:firstLine="316"/>
        <w:spacing w:after="0" w:line="325" w:lineRule="auto"/>
        <w:rPr>
          <w:sz w:val="20"/>
          <w:szCs w:val="20"/>
          <w:color w:val="auto"/>
        </w:rPr>
      </w:pPr>
      <w:r>
        <w:rPr>
          <w:rFonts w:ascii="Arial" w:cs="Arial" w:eastAsia="Arial" w:hAnsi="Arial"/>
          <w:sz w:val="16"/>
          <w:szCs w:val="16"/>
          <w:color w:val="auto"/>
        </w:rPr>
        <w:t>Western Digital, the Western Digital logo,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FORWARD-LOOKING STATEMENTS</w:t>
      </w:r>
    </w:p>
    <w:p>
      <w:pPr>
        <w:spacing w:after="0" w:line="267" w:lineRule="exact"/>
        <w:rPr>
          <w:sz w:val="20"/>
          <w:szCs w:val="20"/>
          <w:color w:val="auto"/>
        </w:rPr>
      </w:pPr>
    </w:p>
    <w:p>
      <w:pPr>
        <w:ind w:right="20" w:firstLine="316"/>
        <w:spacing w:after="0" w:line="269" w:lineRule="auto"/>
        <w:rPr>
          <w:sz w:val="20"/>
          <w:szCs w:val="20"/>
          <w:color w:val="auto"/>
        </w:rPr>
      </w:pPr>
      <w:r>
        <w:rPr>
          <w:rFonts w:ascii="Arial" w:cs="Arial" w:eastAsia="Arial" w:hAnsi="Arial"/>
          <w:sz w:val="16"/>
          <w:szCs w:val="16"/>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expectations regarding our plan to separate our HDD and Flash business units; the global macroeconomic environment; expectations regarding demand trends and market conditions for our products; expectations regarding long-term growth opportunities; expectations regarding our product momentum and product development and technology plans; expectations regarding capital expenditure plans and investments, including relating to our Flash Ventures joint venture with Kioxia Corporation (“Kioxia”), and sources of funding for related expenditures; expectations regarding our effective tax rate and our unrecognized tax benefits; and our beliefs regarding our capital allocation plans and the sufficiency of our available liquidity to meet our working capital, debt and capital expenditure needs.</w:t>
      </w:r>
    </w:p>
    <w:p>
      <w:pPr>
        <w:spacing w:after="0" w:line="193" w:lineRule="exact"/>
        <w:rPr>
          <w:sz w:val="20"/>
          <w:szCs w:val="20"/>
          <w:color w:val="auto"/>
        </w:rPr>
      </w:pPr>
    </w:p>
    <w:p>
      <w:pPr>
        <w:ind w:firstLine="316"/>
        <w:spacing w:after="0" w:line="301" w:lineRule="auto"/>
        <w:rPr>
          <w:sz w:val="20"/>
          <w:szCs w:val="20"/>
          <w:color w:val="auto"/>
        </w:rPr>
      </w:pPr>
      <w:r>
        <w:rPr>
          <w:rFonts w:ascii="Arial" w:cs="Arial" w:eastAsia="Arial" w:hAnsi="Arial"/>
          <w:sz w:val="16"/>
          <w:szCs w:val="16"/>
          <w:i w:val="1"/>
          <w:iCs w:val="1"/>
          <w:color w:val="auto"/>
        </w:rPr>
        <w:t>These forward-looking statements are based on management’s current expectations, represent the most current information available to the Company as of the date of this Quarterly Report on Form 10-Q and are subject to a number of risks, uncertainties and other factors that could cause actual results or</w:t>
      </w:r>
    </w:p>
    <w:p>
      <w:pPr>
        <w:ind w:right="140"/>
        <w:spacing w:after="0" w:line="262" w:lineRule="auto"/>
        <w:rPr>
          <w:sz w:val="20"/>
          <w:szCs w:val="20"/>
          <w:color w:val="auto"/>
        </w:rPr>
      </w:pPr>
      <w:r>
        <w:rPr>
          <w:rFonts w:ascii="Arial" w:cs="Arial" w:eastAsia="Arial" w:hAnsi="Arial"/>
          <w:sz w:val="18"/>
          <w:szCs w:val="18"/>
          <w:i w:val="1"/>
          <w:iCs w:val="1"/>
          <w:color w:val="auto"/>
        </w:rPr>
        <w:t>performance to differ materially from those expressed or implied in the forward-looking statements. These risks and uncertainties include, but are not limited to:</w:t>
      </w:r>
    </w:p>
    <w:p>
      <w:pPr>
        <w:spacing w:after="0" w:line="208" w:lineRule="exact"/>
        <w:rPr>
          <w:sz w:val="20"/>
          <w:szCs w:val="20"/>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volatility in global or regional economic conditions;</w:t>
      </w:r>
    </w:p>
    <w:p>
      <w:pPr>
        <w:spacing w:after="0" w:line="15"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a limited number of suppliers or disruptions in our supply chain;</w:t>
      </w:r>
    </w:p>
    <w:p>
      <w:pPr>
        <w:spacing w:after="0" w:line="4"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future responses to and effects of the COVID-19 pandemic or other similar public health crises;</w:t>
      </w:r>
    </w:p>
    <w:p>
      <w:pPr>
        <w:spacing w:after="0" w:line="4"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damage or disruption to our operations or to those of our suppliers;</w:t>
      </w:r>
    </w:p>
    <w:p>
      <w:pPr>
        <w:spacing w:after="0" w:line="4"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hiring and retention of key employees;</w:t>
      </w:r>
    </w:p>
    <w:p>
      <w:pPr>
        <w:spacing w:after="0" w:line="4"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compromise, damage or interruption from cybersecurity incidents or other data or system security risks;</w:t>
      </w:r>
    </w:p>
    <w:p>
      <w:pPr>
        <w:spacing w:after="0" w:line="4"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product defects;</w:t>
      </w:r>
    </w:p>
    <w:p>
      <w:pPr>
        <w:spacing w:after="0" w:line="4" w:lineRule="exact"/>
        <w:rPr>
          <w:rFonts w:ascii="Arial" w:cs="Arial" w:eastAsia="Arial" w:hAnsi="Arial"/>
          <w:sz w:val="18"/>
          <w:szCs w:val="18"/>
          <w:color w:val="auto"/>
        </w:rPr>
      </w:pPr>
    </w:p>
    <w:p>
      <w:pPr>
        <w:ind w:left="640" w:right="520" w:hanging="318"/>
        <w:spacing w:after="0" w:line="244" w:lineRule="auto"/>
        <w:tabs>
          <w:tab w:leader="none" w:pos="6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and impact of the planned separation of our HDD and Flash business units, including with respect to customer and supplier relationships, contractual restrictions, stock price volatility and the diversion of management’s attention from ongoing business operations and opportunities;</w:t>
      </w:r>
    </w:p>
    <w:p>
      <w:pPr>
        <w:spacing w:after="0" w:line="1"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strategic relationships with key partners, including Kioxia;</w:t>
      </w:r>
    </w:p>
    <w:p>
      <w:pPr>
        <w:spacing w:after="0" w:line="4"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competitive environment, including actions by our competitors, and the impact of competitive products and pricing;</w:t>
      </w:r>
    </w:p>
    <w:p>
      <w:pPr>
        <w:spacing w:after="0" w:line="4"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development and introduction of products based on new technologies and expansion into new data storage markets;</w:t>
      </w:r>
    </w:p>
    <w:p>
      <w:pPr>
        <w:spacing w:after="0" w:line="4"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risks associated with cost saving initiatives, restructurings, acquisitions, divestitures, mergers, joint ventures and our strategic relationships;</w:t>
      </w:r>
    </w:p>
    <w:p>
      <w:pPr>
        <w:spacing w:after="0" w:line="27" w:lineRule="exact"/>
        <w:rPr>
          <w:rFonts w:ascii="Arial" w:cs="Arial" w:eastAsia="Arial" w:hAnsi="Arial"/>
          <w:sz w:val="16"/>
          <w:szCs w:val="16"/>
          <w:color w:val="auto"/>
        </w:rPr>
      </w:pPr>
    </w:p>
    <w:p>
      <w:pPr>
        <w:ind w:left="680" w:hanging="358"/>
        <w:spacing w:after="0"/>
        <w:tabs>
          <w:tab w:leader="none" w:pos="6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our relationships with key customers;</w:t>
      </w:r>
    </w:p>
    <w:p>
      <w:pPr>
        <w:spacing w:after="0" w:line="4"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respond to market changes in our distribution channel and retail market;</w:t>
      </w:r>
    </w:p>
    <w:p>
      <w:pPr>
        <w:spacing w:after="0" w:line="4"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level of debt and other financial obligations;</w:t>
      </w:r>
    </w:p>
    <w:p>
      <w:pPr>
        <w:spacing w:after="0" w:line="4" w:lineRule="exact"/>
        <w:rPr>
          <w:rFonts w:ascii="Arial" w:cs="Arial" w:eastAsia="Arial" w:hAnsi="Arial"/>
          <w:sz w:val="18"/>
          <w:szCs w:val="18"/>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tax laws or unanticipated tax liabilities;</w:t>
      </w:r>
    </w:p>
    <w:p>
      <w:pPr>
        <w:spacing w:after="0" w:line="4"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currency exchange rates as a result of our international operations;</w:t>
      </w:r>
    </w:p>
    <w:p>
      <w:pPr>
        <w:spacing w:after="0" w:line="4"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compliance with changing legal and regulatory requirements and the outcome of legal proceedings;</w:t>
      </w:r>
    </w:p>
    <w:p>
      <w:pPr>
        <w:spacing w:after="0" w:line="4" w:lineRule="exact"/>
        <w:rPr>
          <w:rFonts w:ascii="Arial" w:cs="Arial" w:eastAsia="Arial" w:hAnsi="Arial"/>
          <w:sz w:val="18"/>
          <w:szCs w:val="18"/>
          <w:color w:val="auto"/>
        </w:rPr>
      </w:pPr>
    </w:p>
    <w:p>
      <w:pPr>
        <w:ind w:left="640" w:right="120" w:hanging="318"/>
        <w:spacing w:after="0" w:line="244" w:lineRule="auto"/>
        <w:tabs>
          <w:tab w:leader="none" w:pos="6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our goals relating to environmental, social and governance matters, including the company’s ability to meet its GHG emissions reduction and other ESG goals;</w:t>
      </w:r>
    </w:p>
    <w:p>
      <w:pPr>
        <w:spacing w:after="0" w:line="1" w:lineRule="exact"/>
        <w:rPr>
          <w:rFonts w:ascii="Arial" w:cs="Arial" w:eastAsia="Arial" w:hAnsi="Arial"/>
          <w:sz w:val="18"/>
          <w:szCs w:val="18"/>
          <w:i w:val="1"/>
          <w:iCs w:val="1"/>
          <w:color w:val="auto"/>
        </w:rPr>
      </w:pPr>
    </w:p>
    <w:p>
      <w:pPr>
        <w:ind w:left="640" w:hanging="31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intellectual property and other proprietary information; and</w:t>
      </w:r>
    </w:p>
    <w:p>
      <w:pPr>
        <w:spacing w:after="0" w:line="4" w:lineRule="exact"/>
        <w:rPr>
          <w:rFonts w:ascii="Arial" w:cs="Arial" w:eastAsia="Arial" w:hAnsi="Arial"/>
          <w:sz w:val="18"/>
          <w:szCs w:val="18"/>
          <w:i w:val="1"/>
          <w:iCs w:val="1"/>
          <w:color w:val="auto"/>
        </w:rPr>
      </w:pPr>
    </w:p>
    <w:p>
      <w:pPr>
        <w:ind w:left="640" w:right="20" w:hanging="318"/>
        <w:spacing w:after="0" w:line="249"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other risks and uncertainties disclosed in Part I, Item 1A of our Annual Report on Form 10-K for the year ended June 30, 2023 (the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2023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2023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280" w:type="dxa"/>
            <w:vAlign w:val="bottom"/>
          </w:tcPr>
          <w:p>
            <w:pPr>
              <w:spacing w:after="0"/>
              <w:rPr>
                <w:sz w:val="14"/>
                <w:szCs w:val="14"/>
                <w:color w:val="auto"/>
              </w:rPr>
            </w:pPr>
          </w:p>
        </w:tc>
        <w:tc>
          <w:tcPr>
            <w:tcW w:w="1160" w:type="dxa"/>
            <w:vAlign w:val="bottom"/>
          </w:tcPr>
          <w:p>
            <w:pPr>
              <w:jc w:val="right"/>
              <w:ind w:right="38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7,886</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3,620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10,037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480"/>
              <w:spacing w:after="0"/>
              <w:rPr>
                <w:sz w:val="20"/>
                <w:szCs w:val="20"/>
                <w:color w:val="auto"/>
              </w:rPr>
            </w:pPr>
            <w:r>
              <w:rPr>
                <w:rFonts w:ascii="Arial" w:cs="Arial" w:eastAsia="Arial" w:hAnsi="Arial"/>
                <w:sz w:val="16"/>
                <w:szCs w:val="16"/>
                <w:b w:val="1"/>
                <w:bCs w:val="1"/>
                <w:color w:val="auto"/>
              </w:rPr>
              <w:t>LIABILITIES, CONVERTIBLE PREFERRED STOCK AND SHAREHOLDERS’</w:t>
            </w: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80" w:type="dxa"/>
            <w:vAlign w:val="bottom"/>
            <w:vMerge w:val="continue"/>
          </w:tcPr>
          <w:p>
            <w:pPr>
              <w:spacing w:after="0"/>
              <w:rPr>
                <w:sz w:val="13"/>
                <w:szCs w:val="13"/>
                <w:color w:val="auto"/>
              </w:rPr>
            </w:pPr>
          </w:p>
        </w:tc>
        <w:tc>
          <w:tcPr>
            <w:tcW w:w="142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rPr>
              <w:t>EQUITY</w:t>
            </w:r>
          </w:p>
        </w:tc>
        <w:tc>
          <w:tcPr>
            <w:tcW w:w="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to related parties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5,434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12,706</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Commitments and contingencies (Notes 9, 10, 12 and 16)</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1"/>
              </w:rPr>
              <w:t>Convertible preferred stock, $0.01 par value; authorized — 5 shares; issued and outstanding — 1 shares; aggregate liquidation</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preference of $939 and $924, respectively</w:t>
            </w: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Common stock, $0.01 par value; authorized — 450 shares; issued and outstanding — 324 shares and 322 shares, respectively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3,936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7,424</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10,847</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 convertible preferred stock and shareholders’ equity</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24,429</w:t>
            </w:r>
          </w:p>
        </w:tc>
        <w:tc>
          <w:tcPr>
            <w:tcW w:w="0" w:type="dxa"/>
            <w:vAlign w:val="bottom"/>
          </w:tcPr>
          <w:p>
            <w:pPr>
              <w:spacing w:after="0"/>
              <w:rPr>
                <w:sz w:val="1"/>
                <w:szCs w:val="1"/>
                <w:color w:val="auto"/>
              </w:rPr>
            </w:pPr>
          </w:p>
        </w:tc>
      </w:tr>
      <w:tr>
        <w:trPr>
          <w:trHeight w:val="23"/>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8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4"/>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9"/>
        </w:trPr>
        <w:tc>
          <w:tcPr>
            <w:tcW w:w="8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29,</w:t>
            </w:r>
          </w:p>
        </w:tc>
        <w:tc>
          <w:tcPr>
            <w:tcW w:w="180" w:type="dxa"/>
            <w:vAlign w:val="bottom"/>
          </w:tcPr>
          <w:p>
            <w:pPr>
              <w:spacing w:after="0"/>
              <w:rPr>
                <w:sz w:val="11"/>
                <w:szCs w:val="11"/>
                <w:color w:val="auto"/>
              </w:rPr>
            </w:pPr>
          </w:p>
        </w:tc>
        <w:tc>
          <w:tcPr>
            <w:tcW w:w="1280" w:type="dxa"/>
            <w:vAlign w:val="bottom"/>
          </w:tcPr>
          <w:p>
            <w:pPr>
              <w:jc w:val="right"/>
              <w:ind w:right="241"/>
              <w:spacing w:after="0" w:line="129" w:lineRule="exact"/>
              <w:rPr>
                <w:sz w:val="20"/>
                <w:szCs w:val="20"/>
                <w:color w:val="auto"/>
              </w:rPr>
            </w:pPr>
            <w:r>
              <w:rPr>
                <w:rFonts w:ascii="Arial" w:cs="Arial" w:eastAsia="Arial" w:hAnsi="Arial"/>
                <w:sz w:val="14"/>
                <w:szCs w:val="14"/>
                <w:b w:val="1"/>
                <w:bCs w:val="1"/>
                <w:color w:val="auto"/>
                <w:w w:val="98"/>
              </w:rPr>
              <w:t>September 30,</w:t>
            </w:r>
          </w:p>
        </w:tc>
      </w:tr>
      <w:tr>
        <w:trPr>
          <w:trHeight w:val="189"/>
        </w:trPr>
        <w:tc>
          <w:tcPr>
            <w:tcW w:w="8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Revenue, net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3,736</w:t>
            </w:r>
          </w:p>
        </w:tc>
      </w:tr>
      <w:tr>
        <w:trPr>
          <w:trHeight w:val="208"/>
        </w:trPr>
        <w:tc>
          <w:tcPr>
            <w:tcW w:w="8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2,755</w:t>
            </w:r>
          </w:p>
        </w:tc>
      </w:tr>
      <w:tr>
        <w:trPr>
          <w:trHeight w:val="208"/>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981</w:t>
            </w:r>
          </w:p>
        </w:tc>
      </w:tr>
      <w:tr>
        <w:trPr>
          <w:trHeight w:val="188"/>
        </w:trPr>
        <w:tc>
          <w:tcPr>
            <w:tcW w:w="8040" w:type="dxa"/>
            <w:vAlign w:val="bottom"/>
          </w:tcPr>
          <w:p>
            <w:pPr>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552</w:t>
            </w:r>
          </w:p>
        </w:tc>
      </w:tr>
      <w:tr>
        <w:trPr>
          <w:trHeight w:val="208"/>
        </w:trPr>
        <w:tc>
          <w:tcPr>
            <w:tcW w:w="804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247</w:t>
            </w:r>
          </w:p>
        </w:tc>
      </w:tr>
      <w:tr>
        <w:trPr>
          <w:trHeight w:val="21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Employee termination, asset impairment, and other</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r>
      <w:tr>
        <w:trPr>
          <w:trHeight w:val="201"/>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823</w:t>
            </w:r>
          </w:p>
        </w:tc>
      </w:tr>
      <w:tr>
        <w:trPr>
          <w:trHeight w:val="208"/>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w:t>
            </w:r>
          </w:p>
        </w:tc>
      </w:tr>
      <w:tr>
        <w:trPr>
          <w:trHeight w:val="208"/>
        </w:trPr>
        <w:tc>
          <w:tcPr>
            <w:tcW w:w="8040" w:type="dxa"/>
            <w:vAlign w:val="bottom"/>
          </w:tcPr>
          <w:p>
            <w:pPr>
              <w:spacing w:after="0"/>
              <w:rPr>
                <w:sz w:val="20"/>
                <w:szCs w:val="20"/>
                <w:color w:val="auto"/>
              </w:rPr>
            </w:pPr>
            <w:r>
              <w:rPr>
                <w:rFonts w:ascii="Arial" w:cs="Arial" w:eastAsia="Arial" w:hAnsi="Arial"/>
                <w:sz w:val="16"/>
                <w:szCs w:val="16"/>
                <w:color w:val="auto"/>
              </w:rPr>
              <w:t>Interest and other income (expense):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r>
      <w:tr>
        <w:trPr>
          <w:trHeight w:val="208"/>
        </w:trPr>
        <w:tc>
          <w:tcPr>
            <w:tcW w:w="804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1"/>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interest and other expense, net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08"/>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taxes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w:t>
            </w:r>
          </w:p>
        </w:tc>
      </w:tr>
      <w:tr>
        <w:trPr>
          <w:trHeight w:val="208"/>
        </w:trPr>
        <w:tc>
          <w:tcPr>
            <w:tcW w:w="8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w:t>
            </w:r>
          </w:p>
        </w:tc>
      </w:tr>
      <w:tr>
        <w:trPr>
          <w:trHeight w:val="208"/>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r>
      <w:tr>
        <w:trPr>
          <w:trHeight w:val="224"/>
        </w:trPr>
        <w:tc>
          <w:tcPr>
            <w:tcW w:w="80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Less: cumulative dividends allocated to preferred shareholders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attributable to common shareholders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8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1"/>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common share: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8"/>
        </w:trPr>
        <w:tc>
          <w:tcPr>
            <w:tcW w:w="8040" w:type="dxa"/>
            <w:vAlign w:val="bottom"/>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0.09</w:t>
            </w:r>
          </w:p>
        </w:tc>
      </w:tr>
      <w:tr>
        <w:trPr>
          <w:trHeight w:val="21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0.08</w:t>
            </w:r>
          </w:p>
        </w:tc>
      </w:tr>
      <w:tr>
        <w:trPr>
          <w:trHeight w:val="251"/>
        </w:trPr>
        <w:tc>
          <w:tcPr>
            <w:tcW w:w="8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1"/>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8"/>
        </w:trPr>
        <w:tc>
          <w:tcPr>
            <w:tcW w:w="8040" w:type="dxa"/>
            <w:vAlign w:val="bottom"/>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316</w:t>
            </w:r>
          </w:p>
        </w:tc>
      </w:tr>
      <w:tr>
        <w:trPr>
          <w:trHeight w:val="214"/>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w:t>
            </w:r>
          </w:p>
        </w:tc>
      </w:tr>
    </w:tbl>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4"/>
          </w:tcPr>
          <w:p>
            <w:pPr>
              <w:jc w:val="right"/>
              <w:ind w:right="74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8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1"/>
                <w:szCs w:val="11"/>
                <w:color w:val="auto"/>
              </w:rPr>
            </w:pPr>
          </w:p>
        </w:tc>
        <w:tc>
          <w:tcPr>
            <w:tcW w:w="1220" w:type="dxa"/>
            <w:vAlign w:val="bottom"/>
          </w:tcPr>
          <w:p>
            <w:pPr>
              <w:jc w:val="right"/>
              <w:ind w:right="203"/>
              <w:spacing w:after="0" w:line="129" w:lineRule="exact"/>
              <w:rPr>
                <w:sz w:val="20"/>
                <w:szCs w:val="20"/>
                <w:color w:val="auto"/>
              </w:rPr>
            </w:pPr>
            <w:r>
              <w:rPr>
                <w:rFonts w:ascii="Arial" w:cs="Arial" w:eastAsia="Arial" w:hAnsi="Arial"/>
                <w:sz w:val="14"/>
                <w:szCs w:val="14"/>
                <w:b w:val="1"/>
                <w:bCs w:val="1"/>
                <w:color w:val="auto"/>
                <w:w w:val="96"/>
              </w:rPr>
              <w:t>September 30,</w:t>
            </w:r>
          </w:p>
        </w:tc>
      </w:tr>
      <w:tr>
        <w:trPr>
          <w:trHeight w:val="189"/>
        </w:trPr>
        <w:tc>
          <w:tcPr>
            <w:tcW w:w="8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Other comprehensive loss, before tax:</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8"/>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unrealized loss on derivative contracts and available-for-sale securities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08"/>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comprehensive loss, before tax</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related to items of other comprehensive loss, before tax</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Total comprehensive loss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3"/>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1"/>
                <w:szCs w:val="11"/>
                <w:color w:val="auto"/>
              </w:rPr>
            </w:pPr>
          </w:p>
        </w:tc>
        <w:tc>
          <w:tcPr>
            <w:tcW w:w="1240" w:type="dxa"/>
            <w:vAlign w:val="bottom"/>
          </w:tcPr>
          <w:p>
            <w:pPr>
              <w:jc w:val="right"/>
              <w:ind w:right="210"/>
              <w:spacing w:after="0" w:line="129" w:lineRule="exact"/>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(used in) operations: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(Gain) on disposal of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Non-cash portion of asset impairment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debt issuance costs and discounts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8280" w:type="dxa"/>
            <w:vAlign w:val="bottom"/>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to related parties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payable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9"/>
        </w:trPr>
        <w:tc>
          <w:tcPr>
            <w:tcW w:w="828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and liabilities, net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(used in) operating activities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property, plant and equipment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Strategic investments and other, net</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71"/>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8280" w:type="dxa"/>
            <w:vAlign w:val="bottom"/>
          </w:tcPr>
          <w:p>
            <w:pPr>
              <w:ind w:left="20"/>
              <w:spacing w:after="0"/>
              <w:rPr>
                <w:sz w:val="20"/>
                <w:szCs w:val="20"/>
                <w:color w:val="auto"/>
              </w:rPr>
            </w:pPr>
            <w:r>
              <w:rPr>
                <w:rFonts w:ascii="Arial" w:cs="Arial" w:eastAsia="Arial" w:hAnsi="Arial"/>
                <w:sz w:val="14"/>
                <w:szCs w:val="14"/>
                <w:color w:val="auto"/>
              </w:rPr>
              <w:t>Net proceeds from convertible preferred stock</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Repayments of debt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debt</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(used in)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2,327</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2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9"/>
        </w:trPr>
        <w:tc>
          <w:tcPr>
            <w:tcW w:w="82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CONVERTIBLE PREFERRED STOCK AND SHAREHOLDERS’ EQUITY</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2680" w:type="dxa"/>
            <w:vAlign w:val="bottom"/>
          </w:tcPr>
          <w:p>
            <w:pPr>
              <w:spacing w:after="0"/>
              <w:rPr>
                <w:sz w:val="24"/>
                <w:szCs w:val="24"/>
                <w:color w:val="auto"/>
              </w:rPr>
            </w:pPr>
          </w:p>
        </w:tc>
        <w:tc>
          <w:tcPr>
            <w:tcW w:w="1860" w:type="dxa"/>
            <w:vAlign w:val="bottom"/>
            <w:tcBorders>
              <w:right w:val="single" w:sz="8" w:color="auto"/>
            </w:tcBorders>
            <w:gridSpan w:val="6"/>
            <w:vMerge w:val="restart"/>
          </w:tcPr>
          <w:p>
            <w:pPr>
              <w:ind w:left="20"/>
              <w:spacing w:after="0"/>
              <w:rPr>
                <w:sz w:val="20"/>
                <w:szCs w:val="20"/>
                <w:color w:val="auto"/>
              </w:rPr>
            </w:pPr>
            <w:r>
              <w:rPr>
                <w:rFonts w:ascii="Arial" w:cs="Arial" w:eastAsia="Arial" w:hAnsi="Arial"/>
                <w:sz w:val="14"/>
                <w:szCs w:val="14"/>
                <w:b w:val="1"/>
                <w:bCs w:val="1"/>
                <w:color w:val="auto"/>
                <w:w w:val="97"/>
              </w:rPr>
              <w:t>Convertible Preferred Stock</w:t>
            </w:r>
          </w:p>
        </w:tc>
        <w:tc>
          <w:tcPr>
            <w:tcW w:w="80" w:type="dxa"/>
            <w:vAlign w:val="bottom"/>
          </w:tcPr>
          <w:p>
            <w:pPr>
              <w:spacing w:after="0"/>
              <w:rPr>
                <w:sz w:val="24"/>
                <w:szCs w:val="24"/>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680" w:type="dxa"/>
            <w:vAlign w:val="bottom"/>
          </w:tcPr>
          <w:p>
            <w:pPr>
              <w:spacing w:after="0"/>
              <w:rPr>
                <w:sz w:val="9"/>
                <w:szCs w:val="9"/>
                <w:color w:val="auto"/>
              </w:rPr>
            </w:pPr>
          </w:p>
        </w:tc>
        <w:tc>
          <w:tcPr>
            <w:tcW w:w="1860" w:type="dxa"/>
            <w:vAlign w:val="bottom"/>
            <w:tcBorders>
              <w:right w:val="single" w:sz="8" w:color="auto"/>
            </w:tcBorders>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line="121" w:lineRule="exact"/>
              <w:rPr>
                <w:sz w:val="20"/>
                <w:szCs w:val="20"/>
                <w:color w:val="auto"/>
              </w:rPr>
            </w:pPr>
            <w:r>
              <w:rPr>
                <w:rFonts w:ascii="Arial" w:cs="Arial" w:eastAsia="Arial" w:hAnsi="Arial"/>
                <w:sz w:val="14"/>
                <w:szCs w:val="14"/>
                <w:b w:val="1"/>
                <w:bCs w:val="1"/>
                <w:color w:val="auto"/>
                <w:w w:val="98"/>
              </w:rPr>
              <w:t>Paid-In</w:t>
            </w:r>
          </w:p>
        </w:tc>
        <w:tc>
          <w:tcPr>
            <w:tcW w:w="1400" w:type="dxa"/>
            <w:vAlign w:val="bottom"/>
            <w:gridSpan w:val="3"/>
            <w:vMerge w:val="restart"/>
          </w:tcPr>
          <w:p>
            <w:pPr>
              <w:jc w:val="right"/>
              <w:ind w:right="140"/>
              <w:spacing w:after="0" w:line="121" w:lineRule="exact"/>
              <w:rPr>
                <w:sz w:val="20"/>
                <w:szCs w:val="20"/>
                <w:color w:val="auto"/>
              </w:rPr>
            </w:pPr>
            <w:r>
              <w:rPr>
                <w:rFonts w:ascii="Arial" w:cs="Arial" w:eastAsia="Arial" w:hAnsi="Arial"/>
                <w:sz w:val="14"/>
                <w:szCs w:val="14"/>
                <w:b w:val="1"/>
                <w:bCs w:val="1"/>
                <w:color w:val="auto"/>
                <w:w w:val="95"/>
              </w:rPr>
              <w:t>Accumulated Other</w:t>
            </w:r>
          </w:p>
        </w:tc>
        <w:tc>
          <w:tcPr>
            <w:tcW w:w="160" w:type="dxa"/>
            <w:vAlign w:val="bottom"/>
          </w:tcPr>
          <w:p>
            <w:pPr>
              <w:spacing w:after="0"/>
              <w:rPr>
                <w:sz w:val="9"/>
                <w:szCs w:val="9"/>
                <w:color w:val="auto"/>
              </w:rPr>
            </w:pPr>
          </w:p>
        </w:tc>
        <w:tc>
          <w:tcPr>
            <w:tcW w:w="900" w:type="dxa"/>
            <w:vAlign w:val="bottom"/>
            <w:gridSpan w:val="2"/>
            <w:vMerge w:val="restart"/>
          </w:tcPr>
          <w:p>
            <w:pPr>
              <w:ind w:left="60"/>
              <w:spacing w:after="0" w:line="121" w:lineRule="exact"/>
              <w:rPr>
                <w:sz w:val="20"/>
                <w:szCs w:val="20"/>
                <w:color w:val="auto"/>
              </w:rPr>
            </w:pPr>
            <w:r>
              <w:rPr>
                <w:rFonts w:ascii="Arial" w:cs="Arial" w:eastAsia="Arial" w:hAnsi="Arial"/>
                <w:sz w:val="14"/>
                <w:szCs w:val="14"/>
                <w:b w:val="1"/>
                <w:bCs w:val="1"/>
                <w:color w:val="auto"/>
              </w:rPr>
              <w:t>Retained</w:t>
            </w:r>
          </w:p>
        </w:tc>
        <w:tc>
          <w:tcPr>
            <w:tcW w:w="1220" w:type="dxa"/>
            <w:vAlign w:val="bottom"/>
            <w:gridSpan w:val="2"/>
            <w:vMerge w:val="restart"/>
          </w:tcPr>
          <w:p>
            <w:pPr>
              <w:ind w:left="20"/>
              <w:spacing w:after="0" w:line="121" w:lineRule="exact"/>
              <w:rPr>
                <w:sz w:val="20"/>
                <w:szCs w:val="20"/>
                <w:color w:val="auto"/>
              </w:rPr>
            </w:pPr>
            <w:r>
              <w:rPr>
                <w:rFonts w:ascii="Arial" w:cs="Arial" w:eastAsia="Arial" w:hAnsi="Arial"/>
                <w:sz w:val="14"/>
                <w:szCs w:val="14"/>
                <w:b w:val="1"/>
                <w:bCs w:val="1"/>
                <w:color w:val="auto"/>
                <w:w w:val="90"/>
              </w:rPr>
              <w:t>Total Shareholders’</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620" w:type="dxa"/>
            <w:vAlign w:val="bottom"/>
          </w:tcPr>
          <w:p>
            <w:pPr>
              <w:ind w:left="20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Comprehensive Loss</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876</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7,424</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10,847</w:t>
            </w:r>
          </w:p>
        </w:tc>
        <w:tc>
          <w:tcPr>
            <w:tcW w:w="0" w:type="dxa"/>
            <w:vAlign w:val="bottom"/>
          </w:tcPr>
          <w:p>
            <w:pPr>
              <w:spacing w:after="0"/>
              <w:rPr>
                <w:sz w:val="1"/>
                <w:szCs w:val="1"/>
                <w:color w:val="auto"/>
              </w:rPr>
            </w:pPr>
          </w:p>
        </w:tc>
      </w:tr>
      <w:tr>
        <w:trPr>
          <w:trHeight w:val="189"/>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Net loss</w:t>
            </w: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Employee stock plans</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Stock-based compensation</w:t>
            </w: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7"/>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1"/>
        </w:trPr>
        <w:tc>
          <w:tcPr>
            <w:tcW w:w="26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w w:val="96"/>
              </w:rPr>
              <w:t>Net unrealized loss on derivative contracts</w:t>
            </w: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8"/>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29, 2023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876</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CONVERTIBLE PREFERRED STOCK AND SHAREHOLDERS’ EQUITY</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81"/>
        </w:trPr>
        <w:tc>
          <w:tcPr>
            <w:tcW w:w="2620" w:type="dxa"/>
            <w:vAlign w:val="bottom"/>
          </w:tcPr>
          <w:p>
            <w:pPr>
              <w:spacing w:after="0"/>
              <w:rPr>
                <w:sz w:val="24"/>
                <w:szCs w:val="24"/>
                <w:color w:val="auto"/>
              </w:rPr>
            </w:pPr>
          </w:p>
        </w:tc>
        <w:tc>
          <w:tcPr>
            <w:tcW w:w="1860" w:type="dxa"/>
            <w:vAlign w:val="bottom"/>
            <w:tcBorders>
              <w:right w:val="single" w:sz="8" w:color="auto"/>
            </w:tcBorders>
            <w:gridSpan w:val="6"/>
            <w:vMerge w:val="restart"/>
          </w:tcPr>
          <w:p>
            <w:pPr>
              <w:ind w:left="20"/>
              <w:spacing w:after="0"/>
              <w:rPr>
                <w:sz w:val="20"/>
                <w:szCs w:val="20"/>
                <w:color w:val="auto"/>
              </w:rPr>
            </w:pPr>
            <w:r>
              <w:rPr>
                <w:rFonts w:ascii="Arial" w:cs="Arial" w:eastAsia="Arial" w:hAnsi="Arial"/>
                <w:sz w:val="14"/>
                <w:szCs w:val="14"/>
                <w:b w:val="1"/>
                <w:bCs w:val="1"/>
                <w:color w:val="auto"/>
                <w:w w:val="97"/>
              </w:rPr>
              <w:t>Convertible Preferred Stock</w:t>
            </w:r>
          </w:p>
        </w:tc>
        <w:tc>
          <w:tcPr>
            <w:tcW w:w="60" w:type="dxa"/>
            <w:vAlign w:val="bottom"/>
          </w:tcPr>
          <w:p>
            <w:pPr>
              <w:spacing w:after="0"/>
              <w:rPr>
                <w:sz w:val="24"/>
                <w:szCs w:val="24"/>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620" w:type="dxa"/>
            <w:vAlign w:val="bottom"/>
          </w:tcPr>
          <w:p>
            <w:pPr>
              <w:spacing w:after="0"/>
              <w:rPr>
                <w:sz w:val="9"/>
                <w:szCs w:val="9"/>
                <w:color w:val="auto"/>
              </w:rPr>
            </w:pPr>
          </w:p>
        </w:tc>
        <w:tc>
          <w:tcPr>
            <w:tcW w:w="1860" w:type="dxa"/>
            <w:vAlign w:val="bottom"/>
            <w:tcBorders>
              <w:right w:val="single" w:sz="8" w:color="auto"/>
            </w:tcBorders>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40"/>
              <w:spacing w:after="0" w:line="121" w:lineRule="exact"/>
              <w:rPr>
                <w:sz w:val="20"/>
                <w:szCs w:val="20"/>
                <w:color w:val="auto"/>
              </w:rPr>
            </w:pPr>
            <w:r>
              <w:rPr>
                <w:rFonts w:ascii="Arial" w:cs="Arial" w:eastAsia="Arial" w:hAnsi="Arial"/>
                <w:sz w:val="14"/>
                <w:szCs w:val="14"/>
                <w:b w:val="1"/>
                <w:bCs w:val="1"/>
                <w:color w:val="auto"/>
                <w:w w:val="98"/>
              </w:rPr>
              <w:t>Paid-In</w:t>
            </w:r>
          </w:p>
        </w:tc>
        <w:tc>
          <w:tcPr>
            <w:tcW w:w="1380" w:type="dxa"/>
            <w:vAlign w:val="bottom"/>
            <w:gridSpan w:val="3"/>
            <w:vMerge w:val="restart"/>
          </w:tcPr>
          <w:p>
            <w:pPr>
              <w:jc w:val="right"/>
              <w:ind w:right="140"/>
              <w:spacing w:after="0" w:line="121"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9"/>
                <w:szCs w:val="9"/>
                <w:color w:val="auto"/>
              </w:rPr>
            </w:pPr>
          </w:p>
        </w:tc>
        <w:tc>
          <w:tcPr>
            <w:tcW w:w="900" w:type="dxa"/>
            <w:vAlign w:val="bottom"/>
            <w:gridSpan w:val="2"/>
            <w:vMerge w:val="restart"/>
          </w:tcPr>
          <w:p>
            <w:pPr>
              <w:ind w:left="60"/>
              <w:spacing w:after="0" w:line="121" w:lineRule="exact"/>
              <w:rPr>
                <w:sz w:val="20"/>
                <w:szCs w:val="20"/>
                <w:color w:val="auto"/>
              </w:rPr>
            </w:pPr>
            <w:r>
              <w:rPr>
                <w:rFonts w:ascii="Arial" w:cs="Arial" w:eastAsia="Arial" w:hAnsi="Arial"/>
                <w:sz w:val="14"/>
                <w:szCs w:val="14"/>
                <w:b w:val="1"/>
                <w:bCs w:val="1"/>
                <w:color w:val="auto"/>
              </w:rPr>
              <w:t>Retained</w:t>
            </w:r>
          </w:p>
        </w:tc>
        <w:tc>
          <w:tcPr>
            <w:tcW w:w="1220" w:type="dxa"/>
            <w:vAlign w:val="bottom"/>
            <w:gridSpan w:val="2"/>
            <w:vMerge w:val="restart"/>
          </w:tcPr>
          <w:p>
            <w:pPr>
              <w:jc w:val="right"/>
              <w:spacing w:after="0" w:line="121" w:lineRule="exact"/>
              <w:rPr>
                <w:sz w:val="20"/>
                <w:szCs w:val="20"/>
                <w:color w:val="auto"/>
              </w:rPr>
            </w:pPr>
            <w:r>
              <w:rPr>
                <w:rFonts w:ascii="Arial" w:cs="Arial" w:eastAsia="Arial" w:hAnsi="Arial"/>
                <w:sz w:val="14"/>
                <w:szCs w:val="14"/>
                <w:b w:val="1"/>
                <w:bCs w:val="1"/>
                <w:color w:val="auto"/>
                <w:w w:val="90"/>
              </w:rPr>
              <w:t>Total Shareholders’</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620" w:type="dxa"/>
            <w:vAlign w:val="bottom"/>
          </w:tcPr>
          <w:p>
            <w:pPr>
              <w:ind w:left="220"/>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Comprehensive Loss</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1, 2022</w:t>
            </w: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9,039</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12,221</w:t>
            </w:r>
          </w:p>
        </w:tc>
        <w:tc>
          <w:tcPr>
            <w:tcW w:w="0" w:type="dxa"/>
            <w:vAlign w:val="bottom"/>
          </w:tcPr>
          <w:p>
            <w:pPr>
              <w:spacing w:after="0"/>
              <w:rPr>
                <w:sz w:val="1"/>
                <w:szCs w:val="1"/>
                <w:color w:val="auto"/>
              </w:rPr>
            </w:pPr>
          </w:p>
        </w:tc>
      </w:tr>
      <w:tr>
        <w:trPr>
          <w:trHeight w:val="189"/>
        </w:trPr>
        <w:tc>
          <w:tcPr>
            <w:tcW w:w="324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Adoption of new accounting standards</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3240" w:type="dxa"/>
            <w:vAlign w:val="bottom"/>
            <w:gridSpan w:val="2"/>
          </w:tcPr>
          <w:p>
            <w:pPr>
              <w:ind w:left="120"/>
              <w:spacing w:after="0"/>
              <w:rPr>
                <w:sz w:val="20"/>
                <w:szCs w:val="20"/>
                <w:color w:val="auto"/>
              </w:rPr>
            </w:pPr>
            <w:r>
              <w:rPr>
                <w:rFonts w:ascii="Arial" w:cs="Arial" w:eastAsia="Arial" w:hAnsi="Arial"/>
                <w:sz w:val="14"/>
                <w:szCs w:val="14"/>
                <w:color w:val="auto"/>
              </w:rPr>
              <w:t>Employee stock plans</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7"/>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3240" w:type="dxa"/>
            <w:vAlign w:val="bottom"/>
            <w:gridSpan w:val="2"/>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7"/>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4"/>
              </w:rPr>
              <w:t>Net unrealized loss on derivative contracts</w:t>
            </w: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31"/>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3,641</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9,157</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12,107</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Organization and Basis of Presentation</w:t>
      </w:r>
    </w:p>
    <w:p>
      <w:pPr>
        <w:spacing w:after="0" w:line="247" w:lineRule="exact"/>
        <w:rPr>
          <w:sz w:val="20"/>
          <w:szCs w:val="20"/>
          <w:color w:val="auto"/>
        </w:rPr>
      </w:pPr>
    </w:p>
    <w:p>
      <w:pPr>
        <w:ind w:right="640" w:firstLine="316"/>
        <w:spacing w:after="0" w:line="262"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based on both NAND flash and hard disk drive technologies.</w:t>
      </w:r>
    </w:p>
    <w:p>
      <w:pPr>
        <w:spacing w:after="0" w:line="208" w:lineRule="exact"/>
        <w:rPr>
          <w:sz w:val="20"/>
          <w:szCs w:val="20"/>
          <w:color w:val="auto"/>
        </w:rPr>
      </w:pPr>
    </w:p>
    <w:p>
      <w:pPr>
        <w:ind w:right="480" w:firstLine="316"/>
        <w:spacing w:after="0" w:line="253" w:lineRule="auto"/>
        <w:rPr>
          <w:sz w:val="20"/>
          <w:szCs w:val="20"/>
          <w:color w:val="auto"/>
        </w:rPr>
      </w:pPr>
      <w:r>
        <w:rPr>
          <w:rFonts w:ascii="Arial" w:cs="Arial" w:eastAsia="Arial" w:hAnsi="Arial"/>
          <w:sz w:val="18"/>
          <w:szCs w:val="18"/>
          <w:color w:val="auto"/>
        </w:rPr>
        <w:t>The Company’s broad portfolio of technology and products address the following key end markets: Cloud, Client and Consumer. The Company also generates immaterial license and royalty revenue from its extensive intellectual property portfolio, which is included in each of these three end market categories.</w:t>
      </w:r>
    </w:p>
    <w:p>
      <w:pPr>
        <w:spacing w:after="0" w:line="216" w:lineRule="exact"/>
        <w:rPr>
          <w:sz w:val="20"/>
          <w:szCs w:val="20"/>
          <w:color w:val="auto"/>
        </w:rPr>
      </w:pPr>
    </w:p>
    <w:p>
      <w:pPr>
        <w:ind w:right="140" w:firstLine="316"/>
        <w:spacing w:after="0" w:line="213" w:lineRule="exact"/>
        <w:rPr>
          <w:sz w:val="20"/>
          <w:szCs w:val="20"/>
          <w:color w:val="auto"/>
        </w:rPr>
      </w:pPr>
      <w:r>
        <w:rPr>
          <w:rFonts w:ascii="Arial" w:cs="Arial" w:eastAsia="Arial" w:hAnsi="Arial"/>
          <w:sz w:val="16"/>
          <w:szCs w:val="16"/>
          <w:color w:val="auto"/>
        </w:rPr>
        <w:t xml:space="preserve">The accounting policies followed by the Company are set forth in Part II, Item 8,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xml:space="preserve"> of the Notes to Consolidated Financial Statements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June 30, 2023.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June 30, 2023. The results of operations for interim periods are not necessarily indicative of results to be expected for the full year.</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w:t>
      </w:r>
    </w:p>
    <w:p>
      <w:pPr>
        <w:spacing w:after="0" w:line="241" w:lineRule="exact"/>
        <w:rPr>
          <w:sz w:val="20"/>
          <w:szCs w:val="20"/>
          <w:color w:val="auto"/>
        </w:rPr>
      </w:pPr>
    </w:p>
    <w:p>
      <w:pPr>
        <w:jc w:val="both"/>
        <w:ind w:right="140" w:firstLine="316"/>
        <w:spacing w:after="0" w:line="300" w:lineRule="auto"/>
        <w:rPr>
          <w:sz w:val="20"/>
          <w:szCs w:val="20"/>
          <w:color w:val="auto"/>
        </w:rPr>
      </w:pPr>
      <w:r>
        <w:rPr>
          <w:rFonts w:ascii="Arial" w:cs="Arial" w:eastAsia="Arial" w:hAnsi="Arial"/>
          <w:sz w:val="16"/>
          <w:szCs w:val="16"/>
          <w:color w:val="auto"/>
        </w:rPr>
        <w:t>The Company’s fiscal year ends on the Friday nearest to June 30 and typically consists of 52 weeks. Approximately every five to six years, the Company reports a 53-week fiscal year to align the fiscal year with the foregoing policy. Fiscal year 2024, which will end on June 28, 2024, and fiscal year 2023, which ended June 30, 2023, are each comprised of 52 weeks, with all quarters presented consisting of 13 weeks.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Segment Reporting</w:t>
      </w:r>
    </w:p>
    <w:p>
      <w:pPr>
        <w:spacing w:after="0" w:line="241" w:lineRule="exact"/>
        <w:rPr>
          <w:sz w:val="20"/>
          <w:szCs w:val="20"/>
          <w:color w:val="auto"/>
        </w:rPr>
      </w:pPr>
    </w:p>
    <w:p>
      <w:pPr>
        <w:jc w:val="both"/>
        <w:ind w:right="180" w:firstLine="316"/>
        <w:spacing w:after="0" w:line="253" w:lineRule="auto"/>
        <w:rPr>
          <w:sz w:val="20"/>
          <w:szCs w:val="20"/>
          <w:color w:val="auto"/>
        </w:rPr>
      </w:pPr>
      <w:r>
        <w:rPr>
          <w:rFonts w:ascii="Arial" w:cs="Arial" w:eastAsia="Arial" w:hAnsi="Arial"/>
          <w:sz w:val="18"/>
          <w:szCs w:val="18"/>
          <w:color w:val="auto"/>
        </w:rPr>
        <w:t>The Company manufactures, markets, and sells data storage devices and solutions in the United States (“U.S.”) and in foreign countries through its sales personnel, dealers, distributors, retailers, and subsidiaries. The Company manages and reports under two reportable segments: flash-based products (“Flash”) and hard disk drives (“HDD”).</w:t>
      </w:r>
    </w:p>
    <w:p>
      <w:pPr>
        <w:spacing w:after="0" w:line="203" w:lineRule="exact"/>
        <w:rPr>
          <w:sz w:val="20"/>
          <w:szCs w:val="20"/>
          <w:color w:val="auto"/>
        </w:rPr>
      </w:pPr>
    </w:p>
    <w:p>
      <w:pPr>
        <w:ind w:right="80" w:firstLine="316"/>
        <w:spacing w:after="0" w:line="236" w:lineRule="auto"/>
        <w:rPr>
          <w:sz w:val="20"/>
          <w:szCs w:val="20"/>
          <w:color w:val="auto"/>
        </w:rPr>
      </w:pPr>
      <w:r>
        <w:rPr>
          <w:rFonts w:ascii="Arial" w:cs="Arial" w:eastAsia="Arial" w:hAnsi="Arial"/>
          <w:sz w:val="18"/>
          <w:szCs w:val="18"/>
          <w:color w:val="auto"/>
        </w:rPr>
        <w:t>The Chief Executive Officer, who is the Company’s Chief Operating Decision Maker (“CODM”), evaluates the performance of the Company and makes decisions regarding the allocation of resources based on each operating segment’s net revenue and gross margin. Because of the integrated nature of the Company’s production and distribution activities, separate segment asset measures are either not available or not used as a basis for the CODM to evaluate the performance of or to allocate resources to the segments.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Use of Estimates</w:t>
      </w:r>
    </w:p>
    <w:p>
      <w:pPr>
        <w:spacing w:after="0" w:line="241" w:lineRule="exact"/>
        <w:rPr>
          <w:sz w:val="20"/>
          <w:szCs w:val="20"/>
          <w:color w:val="auto"/>
        </w:rPr>
      </w:pPr>
    </w:p>
    <w:p>
      <w:pPr>
        <w:jc w:val="both"/>
        <w:ind w:firstLine="316"/>
        <w:spacing w:after="0" w:line="300" w:lineRule="auto"/>
        <w:rPr>
          <w:sz w:val="20"/>
          <w:szCs w:val="20"/>
          <w:color w:val="auto"/>
        </w:rPr>
      </w:pPr>
      <w:r>
        <w:rPr>
          <w:rFonts w:ascii="Arial" w:cs="Arial" w:eastAsia="Arial" w:hAnsi="Arial"/>
          <w:sz w:val="16"/>
          <w:szCs w:val="16"/>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60" w:right="270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41"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 xml:space="preserve">In September 2022, the Financial Accounting Standards Board issued an accounting standards update (“ASU”) No. 2022-04, “Liabilities-Supplier Finance Programs (Subtopic 405-50): Disclosure of Supplier Finance Program Obligations”, which requires annual and interim disclosures for entities that use supplier finance programs in connection with the purchase of goods and services. The ASU requires the Company to provide disclosure of outstanding obligations to such suppliers for all balance sheet dates presented beginning with the Company’s first quarter of 2024 and to provide certain rollforward information related to those obligations beginning in the Company’s first fiscal quarter of 2025. The ASU does not affect the recognition, measurement, or financial statement presentation of supplier finance program obligations. The Company adopted the guidance on the first day of fiscal year 2024, except for the rollforward information, which the Company is compiling and intends to provide beginning in fiscal year 2025. See Note 15, </w:t>
      </w:r>
      <w:r>
        <w:rPr>
          <w:rFonts w:ascii="Arial" w:cs="Arial" w:eastAsia="Arial" w:hAnsi="Arial"/>
          <w:sz w:val="16"/>
          <w:szCs w:val="16"/>
          <w:i w:val="1"/>
          <w:iCs w:val="1"/>
          <w:color w:val="auto"/>
        </w:rPr>
        <w:t>Supplier Finance Program,</w:t>
      </w:r>
      <w:r>
        <w:rPr>
          <w:rFonts w:ascii="Arial" w:cs="Arial" w:eastAsia="Arial" w:hAnsi="Arial"/>
          <w:sz w:val="16"/>
          <w:szCs w:val="16"/>
          <w:color w:val="auto"/>
        </w:rPr>
        <w:t xml:space="preserve"> of the Notes to the Condensed Consolidated Financial Statements for information regarding the supplier finance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Business Segments, Geographic Information, and Concentrations of Risk</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operating performance of the Company’s reportable segments: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September 29,</w:t>
            </w:r>
          </w:p>
        </w:tc>
        <w:tc>
          <w:tcPr>
            <w:tcW w:w="340" w:type="dxa"/>
            <w:vAlign w:val="bottom"/>
          </w:tcPr>
          <w:p>
            <w:pPr>
              <w:spacing w:after="0"/>
              <w:rPr>
                <w:sz w:val="11"/>
                <w:szCs w:val="11"/>
                <w:color w:val="auto"/>
              </w:rPr>
            </w:pPr>
          </w:p>
        </w:tc>
        <w:tc>
          <w:tcPr>
            <w:tcW w:w="1200" w:type="dxa"/>
            <w:vAlign w:val="bottom"/>
          </w:tcPr>
          <w:p>
            <w:pPr>
              <w:jc w:val="right"/>
              <w:ind w:right="262"/>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6"/>
        </w:trPr>
        <w:tc>
          <w:tcPr>
            <w:tcW w:w="8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i w:val="1"/>
                <w:iCs w:val="1"/>
                <w:color w:val="auto"/>
              </w:rPr>
              <w:t>$ in millions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20" w:type="dxa"/>
            <w:vAlign w:val="bottom"/>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1,556</w:t>
            </w:r>
          </w:p>
        </w:tc>
        <w:tc>
          <w:tcPr>
            <w:tcW w:w="12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1,194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01"/>
        </w:trPr>
        <w:tc>
          <w:tcPr>
            <w:tcW w:w="8020" w:type="dxa"/>
            <w:vAlign w:val="bottom"/>
          </w:tcPr>
          <w:p>
            <w:pPr>
              <w:ind w:left="24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2,750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3,736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020" w:type="dxa"/>
            <w:vAlign w:val="bottom"/>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gross profit for segments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194"/>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Unallocated corporate items: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2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unallocated corporate items</w:t>
            </w: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Consolidated gross profit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Flash</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0" w:type="dxa"/>
            <w:vAlign w:val="bottom"/>
          </w:tcPr>
          <w:p>
            <w:pPr>
              <w:spacing w:after="0"/>
              <w:rPr>
                <w:sz w:val="1"/>
                <w:szCs w:val="1"/>
                <w:color w:val="auto"/>
              </w:rPr>
            </w:pPr>
          </w:p>
        </w:tc>
      </w:tr>
      <w:tr>
        <w:trPr>
          <w:trHeight w:val="208"/>
        </w:trPr>
        <w:tc>
          <w:tcPr>
            <w:tcW w:w="8020" w:type="dxa"/>
            <w:vAlign w:val="bottom"/>
          </w:tcPr>
          <w:p>
            <w:pPr>
              <w:ind w:left="120"/>
              <w:spacing w:after="0"/>
              <w:rPr>
                <w:sz w:val="20"/>
                <w:szCs w:val="20"/>
                <w:color w:val="auto"/>
              </w:rPr>
            </w:pPr>
            <w:r>
              <w:rPr>
                <w:rFonts w:ascii="Arial" w:cs="Arial" w:eastAsia="Arial" w:hAnsi="Arial"/>
                <w:sz w:val="16"/>
                <w:szCs w:val="16"/>
                <w:color w:val="auto"/>
              </w:rPr>
              <w:t>HDD</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28.5 %</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Consolidated gross margin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-2486660</wp:posOffset>
            </wp:positionV>
            <wp:extent cx="673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Disaggregated Revenue</w:t>
      </w:r>
    </w:p>
    <w:p>
      <w:pPr>
        <w:spacing w:after="0" w:line="241" w:lineRule="exact"/>
        <w:rPr>
          <w:sz w:val="20"/>
          <w:szCs w:val="20"/>
          <w:color w:val="auto"/>
        </w:rPr>
      </w:pPr>
    </w:p>
    <w:p>
      <w:pPr>
        <w:ind w:right="20" w:firstLine="316"/>
        <w:spacing w:after="0" w:line="285" w:lineRule="auto"/>
        <w:rPr>
          <w:sz w:val="20"/>
          <w:szCs w:val="20"/>
          <w:color w:val="auto"/>
        </w:rPr>
      </w:pPr>
      <w:r>
        <w:rPr>
          <w:rFonts w:ascii="Arial" w:cs="Arial" w:eastAsia="Arial" w:hAnsi="Arial"/>
          <w:sz w:val="16"/>
          <w:szCs w:val="16"/>
          <w:color w:val="auto"/>
        </w:rPr>
        <w:t>The Company’s broad portfolio of technology and products address multiple end markets. Cloud is comprised primarily of products for public or private cloud environments and end customers, which the Company believes it is uniquely positioned to address as the only provider of both Flash and HDD. Through the Client end market, the Company provides its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1"/>
                <w:szCs w:val="11"/>
                <w:color w:val="auto"/>
              </w:rPr>
            </w:pPr>
          </w:p>
        </w:tc>
        <w:tc>
          <w:tcPr>
            <w:tcW w:w="1240" w:type="dxa"/>
            <w:vAlign w:val="bottom"/>
          </w:tcPr>
          <w:p>
            <w:pPr>
              <w:jc w:val="right"/>
              <w:ind w:right="203"/>
              <w:spacing w:after="0" w:line="129" w:lineRule="exact"/>
              <w:rPr>
                <w:sz w:val="20"/>
                <w:szCs w:val="20"/>
                <w:color w:val="auto"/>
              </w:rPr>
            </w:pPr>
            <w:r>
              <w:rPr>
                <w:rFonts w:ascii="Arial" w:cs="Arial" w:eastAsia="Arial" w:hAnsi="Arial"/>
                <w:sz w:val="14"/>
                <w:szCs w:val="14"/>
                <w:b w:val="1"/>
                <w:bCs w:val="1"/>
                <w:color w:val="auto"/>
                <w:w w:val="98"/>
              </w:rPr>
              <w:t>September 30,</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63"/>
              <w:spacing w:after="0"/>
              <w:rPr>
                <w:sz w:val="20"/>
                <w:szCs w:val="20"/>
                <w:color w:val="auto"/>
              </w:rPr>
            </w:pPr>
            <w:r>
              <w:rPr>
                <w:rFonts w:ascii="Arial" w:cs="Arial" w:eastAsia="Arial" w:hAnsi="Arial"/>
                <w:sz w:val="14"/>
                <w:szCs w:val="14"/>
                <w:i w:val="1"/>
                <w:iCs w:val="1"/>
                <w:color w:val="auto"/>
              </w:rPr>
              <w:t>(in millions)</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Cloud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1,829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r>
      <w:tr>
        <w:trPr>
          <w:trHeight w:val="23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Asia</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1,686</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Europe, Middle East and Africa</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-1699260</wp:posOffset>
            </wp:positionV>
            <wp:extent cx="67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1" w:lineRule="exact"/>
        <w:rPr>
          <w:sz w:val="20"/>
          <w:szCs w:val="20"/>
          <w:color w:val="auto"/>
        </w:rPr>
      </w:pPr>
    </w:p>
    <w:p>
      <w:pPr>
        <w:ind w:right="80" w:firstLine="316"/>
        <w:spacing w:after="0" w:line="253" w:lineRule="auto"/>
        <w:rPr>
          <w:sz w:val="20"/>
          <w:szCs w:val="20"/>
          <w:color w:val="auto"/>
        </w:rPr>
      </w:pPr>
      <w:r>
        <w:rPr>
          <w:rFonts w:ascii="Arial" w:cs="Arial" w:eastAsia="Arial" w:hAnsi="Arial"/>
          <w:sz w:val="18"/>
          <w:szCs w:val="18"/>
          <w:color w:val="auto"/>
        </w:rPr>
        <w:t>The Company’s top 10 customers accounted for 44% and 52% of its net revenue for the three months ended September 29, 2023 and September 30, 2022, respectively. For the three months ended September 29, 2023 and September 30, 2022, no single customer accounted for 10% or more of the Company’s net revenue.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Goodwill</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Goodwill is not amortized. Instead, it is tested for impairment annually as of the beginning of the Company’s fourth quarter, or more frequently if events or</w:t>
      </w:r>
    </w:p>
    <w:p>
      <w:pPr>
        <w:spacing w:after="0" w:line="53" w:lineRule="exact"/>
        <w:rPr>
          <w:sz w:val="20"/>
          <w:szCs w:val="20"/>
          <w:color w:val="auto"/>
        </w:rPr>
      </w:pPr>
    </w:p>
    <w:p>
      <w:pPr>
        <w:jc w:val="both"/>
        <w:ind w:right="80"/>
        <w:spacing w:after="0" w:line="233" w:lineRule="auto"/>
        <w:rPr>
          <w:sz w:val="20"/>
          <w:szCs w:val="20"/>
          <w:color w:val="auto"/>
        </w:rPr>
      </w:pPr>
      <w:r>
        <w:rPr>
          <w:rFonts w:ascii="Arial" w:cs="Arial" w:eastAsia="Arial" w:hAnsi="Arial"/>
          <w:sz w:val="18"/>
          <w:szCs w:val="18"/>
          <w:color w:val="auto"/>
        </w:rPr>
        <w:t>changes in circumstances indicate that goodwill may be impaired. Management performed a goodwill impairment assessment for each segment and concluded there were no impairment indicators as of either the beginning or end of the three months ended September 29, 2023. The following table provides a summary of goodwill activity for the period: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8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Flash</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HDD</w:t>
            </w:r>
          </w:p>
        </w:tc>
        <w:tc>
          <w:tcPr>
            <w:tcW w:w="3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Arial" w:cs="Arial" w:eastAsia="Arial" w:hAnsi="Arial"/>
                <w:sz w:val="14"/>
                <w:szCs w:val="14"/>
                <w:b w:val="1"/>
                <w:bCs w:val="1"/>
                <w:color w:val="auto"/>
              </w:rPr>
              <w:t>Total</w:t>
            </w:r>
          </w:p>
        </w:tc>
      </w:tr>
      <w:tr>
        <w:trPr>
          <w:trHeight w:val="24"/>
        </w:trPr>
        <w:tc>
          <w:tcPr>
            <w:tcW w:w="67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6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4"/>
              </w:rPr>
              <w:t>5,716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10,037</w:t>
            </w:r>
          </w:p>
        </w:tc>
      </w:tr>
      <w:tr>
        <w:trPr>
          <w:trHeight w:val="208"/>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29, 2023</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4"/>
              </w:rPr>
              <w:t>5,715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4,320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Supplemental Financial Statement Data</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Accounts receivable, net</w:t>
      </w:r>
    </w:p>
    <w:p>
      <w:pPr>
        <w:spacing w:after="0" w:line="241" w:lineRule="exact"/>
        <w:rPr>
          <w:sz w:val="20"/>
          <w:szCs w:val="20"/>
          <w:color w:val="auto"/>
        </w:rPr>
      </w:pPr>
    </w:p>
    <w:p>
      <w:pPr>
        <w:ind w:right="40" w:firstLine="316"/>
        <w:spacing w:after="0" w:line="249" w:lineRule="auto"/>
        <w:rPr>
          <w:sz w:val="20"/>
          <w:szCs w:val="20"/>
          <w:color w:val="auto"/>
        </w:rPr>
      </w:pPr>
      <w:r>
        <w:rPr>
          <w:rFonts w:ascii="Arial" w:cs="Arial" w:eastAsia="Arial" w:hAnsi="Arial"/>
          <w:sz w:val="18"/>
          <w:szCs w:val="18"/>
          <w:color w:val="auto"/>
        </w:rPr>
        <w:t>From time to time, in connection with factoring agreements, the Company sells trade accounts receivable without recourse to third-party purchasers in exchange for cash. During the three months ended September 29, 2023 and September 30, 2022, the Company sold trade accounts receivable aggregating $150 million and $291 million, respectively. The discounts on the trade accounts receivable sold were not material and were recorded within Other income (expense), net in the Condensed Consolidated Statements of Operations. As of both September 29, 2023 and June 30, 2023, the amount of factored receivables that remained outstanding was $150 million.</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Inventories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June 30,</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Raw materials and component parts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1,975</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2,096</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Work-in-process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r>
      <w:tr>
        <w:trPr>
          <w:trHeight w:val="233"/>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Property, plant and equipment, net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60" w:type="dxa"/>
            <w:vAlign w:val="bottom"/>
          </w:tcPr>
          <w:p>
            <w:pPr>
              <w:jc w:val="right"/>
              <w:ind w:right="382"/>
              <w:spacing w:after="0"/>
              <w:rPr>
                <w:sz w:val="20"/>
                <w:szCs w:val="20"/>
                <w:color w:val="auto"/>
              </w:rPr>
            </w:pPr>
            <w:r>
              <w:rPr>
                <w:rFonts w:ascii="Arial" w:cs="Arial" w:eastAsia="Arial" w:hAnsi="Arial"/>
                <w:sz w:val="14"/>
                <w:szCs w:val="14"/>
                <w:b w:val="1"/>
                <w:bCs w:val="1"/>
                <w:color w:val="auto"/>
              </w:rPr>
              <w:t>June 30,</w:t>
            </w: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r>
      <w:tr>
        <w:trPr>
          <w:trHeight w:val="189"/>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Land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Buildings and improvements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Machinery and equipment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8,704</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Computer equipment and software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Furniture and fixtures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Construction-in-process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Property, plant and equipment, gross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12,250</w:t>
            </w:r>
          </w:p>
        </w:tc>
      </w:tr>
      <w:tr>
        <w:trPr>
          <w:trHeight w:val="211"/>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w:t>
            </w:r>
          </w:p>
        </w:tc>
      </w:tr>
      <w:tr>
        <w:trPr>
          <w:trHeight w:val="208"/>
        </w:trPr>
        <w:tc>
          <w:tcPr>
            <w:tcW w:w="828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3,620</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-1523365</wp:posOffset>
            </wp:positionV>
            <wp:extent cx="673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Intangible assets, net</w:t>
      </w:r>
    </w:p>
    <w:p>
      <w:pPr>
        <w:spacing w:after="0" w:line="241" w:lineRule="exact"/>
        <w:rPr>
          <w:sz w:val="20"/>
          <w:szCs w:val="20"/>
          <w:color w:val="auto"/>
        </w:rPr>
      </w:pPr>
    </w:p>
    <w:p>
      <w:pPr>
        <w:ind w:right="20" w:firstLine="316"/>
        <w:spacing w:after="0" w:line="249" w:lineRule="auto"/>
        <w:rPr>
          <w:sz w:val="20"/>
          <w:szCs w:val="20"/>
          <w:color w:val="auto"/>
        </w:rPr>
      </w:pPr>
      <w:r>
        <w:rPr>
          <w:rFonts w:ascii="Arial" w:cs="Arial" w:eastAsia="Arial" w:hAnsi="Arial"/>
          <w:sz w:val="18"/>
          <w:szCs w:val="18"/>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 As of both September 29, 2023, and June 30, 2023, IPR&amp;D included in intangible assets, net was $80 million. As of both September 29, 2023 and June 30, 2023, all other intangible assets were fully amortized.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Product warranty liability</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warranty accrual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1"/>
                <w:szCs w:val="11"/>
                <w:color w:val="auto"/>
              </w:rPr>
            </w:pPr>
          </w:p>
        </w:tc>
        <w:tc>
          <w:tcPr>
            <w:tcW w:w="1240" w:type="dxa"/>
            <w:vAlign w:val="bottom"/>
          </w:tcPr>
          <w:p>
            <w:pPr>
              <w:jc w:val="right"/>
              <w:ind w:right="203"/>
              <w:spacing w:after="0" w:line="129" w:lineRule="exact"/>
              <w:rPr>
                <w:sz w:val="20"/>
                <w:szCs w:val="20"/>
                <w:color w:val="auto"/>
              </w:rPr>
            </w:pPr>
            <w:r>
              <w:rPr>
                <w:rFonts w:ascii="Arial" w:cs="Arial" w:eastAsia="Arial" w:hAnsi="Arial"/>
                <w:sz w:val="14"/>
                <w:szCs w:val="14"/>
                <w:b w:val="1"/>
                <w:bCs w:val="1"/>
                <w:color w:val="auto"/>
                <w:w w:val="98"/>
              </w:rPr>
              <w:t>September 30,</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63"/>
              <w:spacing w:after="0"/>
              <w:rPr>
                <w:sz w:val="20"/>
                <w:szCs w:val="20"/>
                <w:color w:val="auto"/>
              </w:rPr>
            </w:pPr>
            <w:r>
              <w:rPr>
                <w:rFonts w:ascii="Arial" w:cs="Arial" w:eastAsia="Arial" w:hAnsi="Arial"/>
                <w:sz w:val="14"/>
                <w:szCs w:val="14"/>
                <w:i w:val="1"/>
                <w:iCs w:val="1"/>
                <w:color w:val="auto"/>
              </w:rPr>
              <w:t>(in millions)</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accrual, beginning of period</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Charges to operations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Utilization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Changes in estimate related to pre-existing warranties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accrual, end of period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5495" cy="133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portion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35495" cy="133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portion (included in Other liabilities)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June 30,</w:t>
            </w:r>
          </w:p>
        </w:tc>
      </w:tr>
      <w:tr>
        <w:trPr>
          <w:trHeight w:val="191"/>
        </w:trPr>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r>
      <w:tr>
        <w:trPr>
          <w:trHeight w:val="179"/>
        </w:trPr>
        <w:tc>
          <w:tcPr>
            <w:tcW w:w="180" w:type="dxa"/>
            <w:vAlign w:val="bottom"/>
          </w:tcPr>
          <w:p>
            <w:pPr>
              <w:spacing w:after="0"/>
              <w:rPr>
                <w:sz w:val="15"/>
                <w:szCs w:val="15"/>
                <w:color w:val="auto"/>
              </w:rPr>
            </w:pPr>
          </w:p>
        </w:tc>
        <w:tc>
          <w:tcPr>
            <w:tcW w:w="172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434"/>
        </w:trPr>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4"/>
                <w:szCs w:val="24"/>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4"/>
        </w:trPr>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04"/>
        </w:trPr>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23"/>
        </w:trPr>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-711200</wp:posOffset>
            </wp:positionV>
            <wp:extent cx="67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60"/>
          </w:cols>
          <w:pgMar w:left="320" w:top="127" w:right="339" w:bottom="1440" w:gutter="0" w:footer="0" w:header="0"/>
          <w:type w:val="continuous"/>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liabilities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June 30,</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Non-current net tax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 portion of unrecognized tax benefits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r>
      <w:tr>
        <w:trPr>
          <w:trHeight w:val="233"/>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liabilities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41" w:lineRule="exact"/>
        <w:rPr>
          <w:sz w:val="20"/>
          <w:szCs w:val="20"/>
          <w:color w:val="auto"/>
        </w:rPr>
      </w:pPr>
    </w:p>
    <w:p>
      <w:pPr>
        <w:ind w:right="180" w:firstLine="316"/>
        <w:spacing w:after="0" w:line="294" w:lineRule="auto"/>
        <w:rPr>
          <w:sz w:val="20"/>
          <w:szCs w:val="20"/>
          <w:color w:val="auto"/>
        </w:rPr>
      </w:pPr>
      <w:r>
        <w:rPr>
          <w:rFonts w:ascii="Arial" w:cs="Arial" w:eastAsia="Arial" w:hAnsi="Arial"/>
          <w:sz w:val="16"/>
          <w:szCs w:val="16"/>
          <w:color w:val="auto"/>
        </w:rPr>
        <w:t>Accumulated other comprehensive loss (“AOCL”), net of tax refers to expenses, gains and losses that are recorded as an element of shareholders’ equity but are excluded from net income. The following table illustrates the changes in the balances of each component of AOCL:</w:t>
      </w:r>
    </w:p>
    <w:tbl>
      <w:tblPr>
        <w:tblLayout w:type="fixed"/>
        <w:tblInd w:w="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Actuarial Pension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2"/>
              </w:rPr>
              <w:t>Foreign Currency</w:t>
            </w: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8"/>
              </w:rPr>
              <w:t>Unrealized Losses on</w:t>
            </w:r>
          </w:p>
        </w:tc>
        <w:tc>
          <w:tcPr>
            <w:tcW w:w="100" w:type="dxa"/>
            <w:vAlign w:val="bottom"/>
          </w:tcPr>
          <w:p>
            <w:pPr>
              <w:spacing w:after="0"/>
              <w:rPr>
                <w:sz w:val="12"/>
                <w:szCs w:val="12"/>
                <w:color w:val="auto"/>
              </w:rPr>
            </w:pPr>
          </w:p>
        </w:tc>
        <w:tc>
          <w:tcPr>
            <w:tcW w:w="134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1"/>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Translation</w:t>
            </w: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Derivative Contracts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86"/>
              </w:rPr>
              <w:t>Comprehensive Loss</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3"/>
          </w:tcPr>
          <w:p>
            <w:pPr>
              <w:jc w:val="right"/>
              <w:ind w:right="305"/>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08"/>
        </w:trPr>
        <w:tc>
          <w:tcPr>
            <w:tcW w:w="5220" w:type="dxa"/>
            <w:vAlign w:val="bottom"/>
          </w:tcPr>
          <w:p>
            <w:pPr>
              <w:ind w:left="14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8"/>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benefit related to items of other comprehensive loss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8"/>
        </w:trPr>
        <w:tc>
          <w:tcPr>
            <w:tcW w:w="5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current-period other comprehensive loss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1"/>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29, 2023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-987425</wp:posOffset>
            </wp:positionV>
            <wp:extent cx="673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-987425</wp:posOffset>
            </wp:positionV>
            <wp:extent cx="673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-987425</wp:posOffset>
            </wp:positionV>
            <wp:extent cx="673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340" w:firstLine="316"/>
        <w:spacing w:after="0" w:line="262" w:lineRule="auto"/>
        <w:rPr>
          <w:sz w:val="20"/>
          <w:szCs w:val="20"/>
          <w:color w:val="auto"/>
        </w:rPr>
      </w:pPr>
      <w:r>
        <w:rPr>
          <w:rFonts w:ascii="Arial" w:cs="Arial" w:eastAsia="Arial" w:hAnsi="Arial"/>
          <w:sz w:val="18"/>
          <w:szCs w:val="18"/>
          <w:color w:val="auto"/>
        </w:rPr>
        <w:t>During the three months ended September 29, 2023, the amounts reclassified out of AOCL were losses related to foreign exchange contracts that were substantially charged to Cost of revenue in the Condensed Consolidated Statements of Operations.</w:t>
      </w:r>
    </w:p>
    <w:p>
      <w:pPr>
        <w:spacing w:after="0" w:line="208" w:lineRule="exact"/>
        <w:rPr>
          <w:sz w:val="20"/>
          <w:szCs w:val="20"/>
          <w:color w:val="auto"/>
        </w:rPr>
      </w:pPr>
    </w:p>
    <w:p>
      <w:pPr>
        <w:ind w:right="260" w:firstLine="316"/>
        <w:spacing w:after="0" w:line="253" w:lineRule="auto"/>
        <w:rPr>
          <w:sz w:val="20"/>
          <w:szCs w:val="20"/>
          <w:color w:val="auto"/>
        </w:rPr>
      </w:pPr>
      <w:r>
        <w:rPr>
          <w:rFonts w:ascii="Arial" w:cs="Arial" w:eastAsia="Arial" w:hAnsi="Arial"/>
          <w:sz w:val="18"/>
          <w:szCs w:val="18"/>
          <w:color w:val="auto"/>
        </w:rPr>
        <w:t>As of September 29, 2023, substantially all existing net losses related to cash flow hedges recorded in AOCL are expected to be reclassified to earnings within the next twelve months. In addition, as of September 29, 2023, the Company did not have any foreign exchange forward contracts with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Fair Value Measurements and Investments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41" w:lineRule="exact"/>
        <w:rPr>
          <w:sz w:val="20"/>
          <w:szCs w:val="20"/>
          <w:color w:val="auto"/>
        </w:rPr>
      </w:pPr>
    </w:p>
    <w:p>
      <w:pPr>
        <w:ind w:right="240" w:firstLine="316"/>
        <w:spacing w:after="0" w:line="262"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208"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41" w:lineRule="exact"/>
        <w:rPr>
          <w:sz w:val="20"/>
          <w:szCs w:val="20"/>
          <w:color w:val="auto"/>
        </w:rPr>
      </w:pPr>
    </w:p>
    <w:p>
      <w:pPr>
        <w:jc w:val="both"/>
        <w:ind w:left="960" w:right="140" w:hanging="632"/>
        <w:spacing w:after="0" w:line="253" w:lineRule="auto"/>
        <w:tabs>
          <w:tab w:leader="none" w:pos="9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16"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Inputs that are unobservable for the asset or liability and that are significant to the fair value of the assets or liabilities.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2023 and June 30, 2023, and indicate the fair value hierarchy of the valuation techniques utilized to determine such values: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September 29, 2023</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189"/>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center"/>
              <w:ind w:left="644"/>
              <w:spacing w:after="0"/>
              <w:rPr>
                <w:sz w:val="20"/>
                <w:szCs w:val="20"/>
                <w:color w:val="auto"/>
              </w:rPr>
            </w:pPr>
            <w:r>
              <w:rPr>
                <w:rFonts w:ascii="Arial" w:cs="Arial" w:eastAsia="Arial" w:hAnsi="Arial"/>
                <w:sz w:val="14"/>
                <w:szCs w:val="14"/>
                <w:i w:val="1"/>
                <w:iCs w:val="1"/>
                <w:color w:val="auto"/>
                <w:w w:val="98"/>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8"/>
        </w:trPr>
        <w:tc>
          <w:tcPr>
            <w:tcW w:w="5220" w:type="dxa"/>
            <w:vAlign w:val="bottom"/>
          </w:tcPr>
          <w:p>
            <w:pPr>
              <w:ind w:left="120"/>
              <w:spacing w:after="0"/>
              <w:rPr>
                <w:sz w:val="20"/>
                <w:szCs w:val="20"/>
                <w:color w:val="auto"/>
              </w:rPr>
            </w:pPr>
            <w:r>
              <w:rPr>
                <w:rFonts w:ascii="Arial" w:cs="Arial" w:eastAsia="Arial" w:hAnsi="Arial"/>
                <w:sz w:val="16"/>
                <w:szCs w:val="16"/>
                <w:color w:val="auto"/>
              </w:rPr>
              <w:t>Cash equivalents - Money market funds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14"/>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1"/>
        </w:trPr>
        <w:tc>
          <w:tcPr>
            <w:tcW w:w="5220" w:type="dxa"/>
            <w:vAlign w:val="bottom"/>
          </w:tcPr>
          <w:p>
            <w:pPr>
              <w:ind w:left="220"/>
              <w:spacing w:after="0"/>
              <w:rPr>
                <w:sz w:val="20"/>
                <w:szCs w:val="20"/>
                <w:color w:val="auto"/>
              </w:rPr>
            </w:pPr>
            <w:r>
              <w:rPr>
                <w:rFonts w:ascii="Arial" w:cs="Arial" w:eastAsia="Arial" w:hAnsi="Arial"/>
                <w:sz w:val="16"/>
                <w:szCs w:val="16"/>
                <w:color w:val="auto"/>
              </w:rPr>
              <w:t>Total assets at fair value</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52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Liabilities:</w:t>
            </w: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8"/>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24"/>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at fair value</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06"/>
        </w:trPr>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center"/>
              <w:ind w:left="644"/>
              <w:spacing w:after="0"/>
              <w:rPr>
                <w:sz w:val="20"/>
                <w:szCs w:val="20"/>
                <w:color w:val="auto"/>
              </w:rPr>
            </w:pPr>
            <w:r>
              <w:rPr>
                <w:rFonts w:ascii="Arial" w:cs="Arial" w:eastAsia="Arial" w:hAnsi="Arial"/>
                <w:sz w:val="14"/>
                <w:szCs w:val="14"/>
                <w:b w:val="1"/>
                <w:bCs w:val="1"/>
                <w:color w:val="auto"/>
                <w:w w:val="90"/>
              </w:rPr>
              <w:t>June 30, 2023</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189"/>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center"/>
              <w:ind w:left="644"/>
              <w:spacing w:after="0"/>
              <w:rPr>
                <w:sz w:val="20"/>
                <w:szCs w:val="20"/>
                <w:color w:val="auto"/>
              </w:rPr>
            </w:pPr>
            <w:r>
              <w:rPr>
                <w:rFonts w:ascii="Arial" w:cs="Arial" w:eastAsia="Arial" w:hAnsi="Arial"/>
                <w:sz w:val="14"/>
                <w:szCs w:val="14"/>
                <w:i w:val="1"/>
                <w:iCs w:val="1"/>
                <w:color w:val="auto"/>
                <w:w w:val="98"/>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8"/>
        </w:trPr>
        <w:tc>
          <w:tcPr>
            <w:tcW w:w="5220" w:type="dxa"/>
            <w:vAlign w:val="bottom"/>
          </w:tcPr>
          <w:p>
            <w:pPr>
              <w:ind w:left="120"/>
              <w:spacing w:after="0"/>
              <w:rPr>
                <w:sz w:val="20"/>
                <w:szCs w:val="20"/>
                <w:color w:val="auto"/>
              </w:rPr>
            </w:pPr>
            <w:r>
              <w:rPr>
                <w:rFonts w:ascii="Arial" w:cs="Arial" w:eastAsia="Arial" w:hAnsi="Arial"/>
                <w:sz w:val="16"/>
                <w:szCs w:val="16"/>
                <w:color w:val="auto"/>
              </w:rPr>
              <w:t>Cash equivalents - Money market funds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14"/>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1"/>
        </w:trPr>
        <w:tc>
          <w:tcPr>
            <w:tcW w:w="5220" w:type="dxa"/>
            <w:vAlign w:val="bottom"/>
          </w:tcPr>
          <w:p>
            <w:pPr>
              <w:ind w:left="220"/>
              <w:spacing w:after="0"/>
              <w:rPr>
                <w:sz w:val="20"/>
                <w:szCs w:val="20"/>
                <w:color w:val="auto"/>
              </w:rPr>
            </w:pPr>
            <w:r>
              <w:rPr>
                <w:rFonts w:ascii="Arial" w:cs="Arial" w:eastAsia="Arial" w:hAnsi="Arial"/>
                <w:sz w:val="16"/>
                <w:szCs w:val="16"/>
                <w:color w:val="auto"/>
              </w:rPr>
              <w:t>Total assets at fair value</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52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Liabilities:</w:t>
            </w: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8"/>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Foreign exchange contracts</w:t>
            </w: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r>
      <w:tr>
        <w:trPr>
          <w:trHeight w:val="224"/>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 at fair value</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-2762885</wp:posOffset>
            </wp:positionV>
            <wp:extent cx="673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-2762885</wp:posOffset>
            </wp:positionV>
            <wp:extent cx="67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-2762885</wp:posOffset>
            </wp:positionV>
            <wp:extent cx="67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-1138555</wp:posOffset>
            </wp:positionV>
            <wp:extent cx="67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-1138555</wp:posOffset>
            </wp:positionV>
            <wp:extent cx="67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-1138555</wp:posOffset>
            </wp:positionV>
            <wp:extent cx="673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520" w:firstLine="316"/>
        <w:spacing w:after="0" w:line="262" w:lineRule="auto"/>
        <w:rPr>
          <w:sz w:val="20"/>
          <w:szCs w:val="20"/>
          <w:color w:val="auto"/>
        </w:rPr>
      </w:pPr>
      <w:r>
        <w:rPr>
          <w:rFonts w:ascii="Arial" w:cs="Arial" w:eastAsia="Arial" w:hAnsi="Arial"/>
          <w:sz w:val="18"/>
          <w:szCs w:val="18"/>
          <w:color w:val="auto"/>
        </w:rPr>
        <w:t>During the periods presented,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41" w:lineRule="exact"/>
        <w:rPr>
          <w:sz w:val="20"/>
          <w:szCs w:val="20"/>
          <w:color w:val="auto"/>
        </w:rPr>
      </w:pPr>
    </w:p>
    <w:p>
      <w:pPr>
        <w:ind w:right="60" w:firstLine="316"/>
        <w:spacing w:after="0" w:line="284"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first quarter of 2024 and the fourth quarter of 2023, respectively.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29, 2023</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June 30, 2023</w:t>
            </w:r>
          </w:p>
        </w:tc>
        <w:tc>
          <w:tcPr>
            <w:tcW w:w="98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29"/>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64"/>
              <w:spacing w:after="0" w:line="12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3"/>
              </w:rPr>
              <w:t>Carrying</w:t>
            </w: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503"/>
              <w:spacing w:after="0" w:line="129" w:lineRule="exact"/>
              <w:rPr>
                <w:sz w:val="20"/>
                <w:szCs w:val="20"/>
                <w:color w:val="auto"/>
              </w:rPr>
            </w:pPr>
            <w:r>
              <w:rPr>
                <w:rFonts w:ascii="Arial" w:cs="Arial" w:eastAsia="Arial" w:hAnsi="Arial"/>
                <w:sz w:val="14"/>
                <w:szCs w:val="14"/>
                <w:b w:val="1"/>
                <w:bCs w:val="1"/>
                <w:color w:val="auto"/>
              </w:rPr>
              <w:t>Fair</w:t>
            </w:r>
          </w:p>
        </w:tc>
      </w:tr>
      <w:tr>
        <w:trPr>
          <w:trHeight w:val="189"/>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Value</w:t>
            </w:r>
          </w:p>
        </w:tc>
      </w:tr>
      <w:tr>
        <w:trPr>
          <w:trHeight w:val="187"/>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1.50% convertible notes due 2024</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Variable interest rate Delayed Draw Term Loan due 2024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4.75% senior unsecured notes due 2026</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2,193</w:t>
            </w: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Variable interest rate Term Loan A-2 maturing 2027</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2,688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2,661</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2.85% senior notes due 2029</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08"/>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3.10% senior notes due 2032</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r>
      <w:tr>
        <w:trPr>
          <w:trHeight w:val="233"/>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-1113155</wp:posOffset>
            </wp:positionV>
            <wp:extent cx="67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-1113155</wp:posOffset>
            </wp:positionV>
            <wp:extent cx="673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-1113155</wp:posOffset>
            </wp:positionV>
            <wp:extent cx="67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34" w:lineRule="exact"/>
        <w:rPr>
          <w:sz w:val="20"/>
          <w:szCs w:val="20"/>
          <w:color w:val="auto"/>
        </w:rPr>
      </w:pPr>
    </w:p>
    <w:p>
      <w:pPr>
        <w:ind w:right="140" w:firstLine="316"/>
        <w:spacing w:after="0" w:line="283" w:lineRule="auto"/>
        <w:rPr>
          <w:sz w:val="20"/>
          <w:szCs w:val="20"/>
          <w:color w:val="auto"/>
        </w:rPr>
      </w:pPr>
      <w:r>
        <w:rPr>
          <w:rFonts w:ascii="Arial" w:cs="Arial" w:eastAsia="Arial" w:hAnsi="Arial"/>
          <w:sz w:val="16"/>
          <w:szCs w:val="16"/>
          <w:color w:val="auto"/>
        </w:rPr>
        <w:t>As of September 29, 2023, the Company had outstanding foreign exchange forward contracts that were designated as either cash flow hedges or non-designated hedges. Substantially all of the contract maturity dates of these foreign exchange forward contracts do not exceed 12 months. As of September 29, 2023, the Company did not have any derivative contracts with credit-risk-related contingent features.</w:t>
      </w:r>
    </w:p>
    <w:p>
      <w:pPr>
        <w:spacing w:after="0" w:line="193" w:lineRule="exact"/>
        <w:rPr>
          <w:sz w:val="20"/>
          <w:szCs w:val="20"/>
          <w:color w:val="auto"/>
        </w:rPr>
      </w:pPr>
    </w:p>
    <w:p>
      <w:pPr>
        <w:ind w:right="240" w:firstLine="316"/>
        <w:spacing w:after="0" w:line="250"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(expense), net and are largely offset by corresponding changes in the fair values of the foreign currency-denominated monetary assets and liabilities. For each of the three months ended September 29, 2023 and September 30, 2022, total net realized and unrealized transaction and foreign exchange contract currency gains and losses were not material to the Company’s Condensed Consolidated Financial Statements.</w:t>
      </w:r>
    </w:p>
    <w:p>
      <w:pPr>
        <w:spacing w:after="0" w:line="219" w:lineRule="exact"/>
        <w:rPr>
          <w:sz w:val="20"/>
          <w:szCs w:val="20"/>
          <w:color w:val="auto"/>
        </w:rPr>
      </w:pPr>
    </w:p>
    <w:p>
      <w:pPr>
        <w:ind w:right="560" w:firstLine="316"/>
        <w:spacing w:after="0" w:line="262" w:lineRule="auto"/>
        <w:rPr>
          <w:sz w:val="20"/>
          <w:szCs w:val="20"/>
          <w:color w:val="auto"/>
        </w:rPr>
      </w:pPr>
      <w:r>
        <w:rPr>
          <w:rFonts w:ascii="Arial" w:cs="Arial" w:eastAsia="Arial" w:hAnsi="Arial"/>
          <w:sz w:val="18"/>
          <w:szCs w:val="18"/>
          <w:color w:val="auto"/>
        </w:rPr>
        <w:t xml:space="preserve">Unrealized gains or losses on designated cash flow hedges are recognized in AOCL. For more information regarding cash flow hedges, see Note 4, </w:t>
      </w:r>
      <w:r>
        <w:rPr>
          <w:rFonts w:ascii="Arial" w:cs="Arial" w:eastAsia="Arial" w:hAnsi="Arial"/>
          <w:sz w:val="18"/>
          <w:szCs w:val="18"/>
          <w:i w:val="1"/>
          <w:iCs w:val="1"/>
          <w:color w:val="auto"/>
        </w:rPr>
        <w:t>Supplemental Financial Statement Data - Accumulated other comprehensive loss.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Netting Arrangements</w:t>
      </w:r>
    </w:p>
    <w:p>
      <w:pPr>
        <w:spacing w:after="0" w:line="241" w:lineRule="exact"/>
        <w:rPr>
          <w:sz w:val="20"/>
          <w:szCs w:val="20"/>
          <w:color w:val="auto"/>
        </w:rPr>
      </w:pPr>
    </w:p>
    <w:p>
      <w:pPr>
        <w:ind w:firstLine="316"/>
        <w:spacing w:after="0" w:line="29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September 29, 2023 and June 30, 2023,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Debt</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consisted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60" w:type="dxa"/>
            <w:vAlign w:val="bottom"/>
          </w:tcPr>
          <w:p>
            <w:pPr>
              <w:jc w:val="right"/>
              <w:ind w:right="382"/>
              <w:spacing w:after="0"/>
              <w:rPr>
                <w:sz w:val="20"/>
                <w:szCs w:val="20"/>
                <w:color w:val="auto"/>
              </w:rPr>
            </w:pPr>
            <w:r>
              <w:rPr>
                <w:rFonts w:ascii="Arial" w:cs="Arial" w:eastAsia="Arial" w:hAnsi="Arial"/>
                <w:sz w:val="14"/>
                <w:szCs w:val="14"/>
                <w:b w:val="1"/>
                <w:bCs w:val="1"/>
                <w:color w:val="auto"/>
              </w:rPr>
              <w:t>June 30,</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1.50% convertible notes due 2024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Variable interest rate Delayed Draw Term Loan due 2024</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4.75% senior unsecured notes due 2026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Variable interest rate Term Loan A-2 maturing 2027</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2,700</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2.85% senior notes due 2029</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3.10% senior notes due 2032</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debt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Issuance costs and debt discounts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Subtotal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7,070</w:t>
            </w:r>
          </w:p>
        </w:tc>
      </w:tr>
      <w:tr>
        <w:trPr>
          <w:trHeight w:val="208"/>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Less current portion of long-term debt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r>
      <w:tr>
        <w:trPr>
          <w:trHeight w:val="233"/>
        </w:trPr>
        <w:tc>
          <w:tcPr>
            <w:tcW w:w="8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-1666240</wp:posOffset>
            </wp:positionV>
            <wp:extent cx="673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40" w:firstLine="316"/>
        <w:spacing w:after="0" w:line="283" w:lineRule="auto"/>
        <w:rPr>
          <w:sz w:val="20"/>
          <w:szCs w:val="20"/>
          <w:color w:val="auto"/>
        </w:rPr>
      </w:pPr>
      <w:r>
        <w:rPr>
          <w:rFonts w:ascii="Arial" w:cs="Arial" w:eastAsia="Arial" w:hAnsi="Arial"/>
          <w:sz w:val="16"/>
          <w:szCs w:val="16"/>
          <w:color w:val="auto"/>
        </w:rPr>
        <w:t>During the three months ended September 29, 2023, the Company drew $600 million principal amount (the “Delayed Draw Term Loan”) under a loan agreement entered into in January 2023 and amended in June 2023 (the “Delayed Draw Term Loan Agreement”), which allowed the Company to draw a single loan of up to $600 million through August 14, 2023. The Delayed Draw Term Loan will mature on June 28, 2024.</w:t>
      </w:r>
    </w:p>
    <w:p>
      <w:pPr>
        <w:spacing w:after="0" w:line="167" w:lineRule="exact"/>
        <w:rPr>
          <w:sz w:val="20"/>
          <w:szCs w:val="20"/>
          <w:color w:val="auto"/>
        </w:rPr>
      </w:pPr>
    </w:p>
    <w:p>
      <w:pPr>
        <w:ind w:right="40" w:firstLine="316"/>
        <w:spacing w:after="0" w:line="235" w:lineRule="auto"/>
        <w:rPr>
          <w:sz w:val="20"/>
          <w:szCs w:val="20"/>
          <w:color w:val="auto"/>
        </w:rPr>
      </w:pPr>
      <w:r>
        <w:rPr>
          <w:rFonts w:ascii="Arial" w:cs="Arial" w:eastAsia="Arial" w:hAnsi="Arial"/>
          <w:sz w:val="18"/>
          <w:szCs w:val="18"/>
          <w:color w:val="auto"/>
        </w:rPr>
        <w:t>The Delayed Draw Term Loan bears interest, at the Company’s option, at a per annum rate equal to either (x) the Adjusted Term SOFR Rate (as defined in the Delayed Draw Term Loan Agreement) plus an applicable margin varying from 1.750% to 2.625% or (y) a base rate plus an applicable margin varying from 0.750% to 1.625%, in each case depending on the corporate family ratings of the Company from at least two of Standard &amp; Poor’s Ratings Services, Moody’s Investors Service, Inc. and Fitch Ratings, Inc. (the “Credit Rating Agencies”). The all-in interest rate for the Delayed Draw Term Loan as of September 29, 2023 was 7.416%.</w:t>
      </w:r>
    </w:p>
    <w:p>
      <w:pPr>
        <w:spacing w:after="0" w:line="213" w:lineRule="exact"/>
        <w:rPr>
          <w:sz w:val="20"/>
          <w:szCs w:val="20"/>
          <w:color w:val="auto"/>
        </w:rPr>
      </w:pPr>
    </w:p>
    <w:p>
      <w:pPr>
        <w:ind w:right="80" w:firstLine="316"/>
        <w:spacing w:after="0" w:line="274" w:lineRule="auto"/>
        <w:rPr>
          <w:sz w:val="20"/>
          <w:szCs w:val="20"/>
          <w:color w:val="auto"/>
        </w:rPr>
      </w:pPr>
      <w:r>
        <w:rPr>
          <w:rFonts w:ascii="Arial" w:cs="Arial" w:eastAsia="Arial" w:hAnsi="Arial"/>
          <w:sz w:val="16"/>
          <w:szCs w:val="16"/>
          <w:color w:val="auto"/>
        </w:rPr>
        <w:t>The Term Loan A-2 Loan bears interest, at the Company’s option, at a per annum rate equal to either (x) the Adjusted Term SOFR (as defined in the loan agreement governing the Term Loan A-2) plus an applicable margin varying from 1.125% to 2.000% or (y) a base rate plus an applicable margin varying from 0.125% to 1.000%, in each case depending on the corporate family ratings of the Company from at least two of the Credit Rating Agencies, with an initial interest rate of Adjusted Term SOFR plus 1.375%. The all-in interest rate for Term Loan A-2 as of September 29, 2023 was 6.807%.</w:t>
      </w:r>
    </w:p>
    <w:p>
      <w:pPr>
        <w:spacing w:after="0" w:line="189" w:lineRule="exact"/>
        <w:rPr>
          <w:sz w:val="20"/>
          <w:szCs w:val="20"/>
          <w:color w:val="auto"/>
        </w:rPr>
      </w:pPr>
    </w:p>
    <w:p>
      <w:pPr>
        <w:jc w:val="both"/>
        <w:ind w:firstLine="316"/>
        <w:spacing w:after="0" w:line="238" w:lineRule="auto"/>
        <w:rPr>
          <w:sz w:val="20"/>
          <w:szCs w:val="20"/>
          <w:color w:val="auto"/>
        </w:rPr>
      </w:pPr>
      <w:r>
        <w:rPr>
          <w:rFonts w:ascii="Arial" w:cs="Arial" w:eastAsia="Arial" w:hAnsi="Arial"/>
          <w:sz w:val="18"/>
          <w:szCs w:val="18"/>
          <w:color w:val="auto"/>
        </w:rPr>
        <w:t>The loan agreements governing the Company’s revolving credit facility, Term Loan A-2 due 2027, and the Delayed Draw Term Loan require the Company to comply with certain financial covenants, consisting of a leverage ratio, a minimum liquidity and a free cash flow requirement. As of September 29, 2023, the Company was in compliance with these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Pension and Other Post-Retirement Benefit Plans</w:t>
      </w:r>
    </w:p>
    <w:p>
      <w:pPr>
        <w:spacing w:after="0" w:line="247" w:lineRule="exact"/>
        <w:rPr>
          <w:sz w:val="20"/>
          <w:szCs w:val="20"/>
          <w:color w:val="auto"/>
        </w:rPr>
      </w:pPr>
    </w:p>
    <w:p>
      <w:pPr>
        <w:jc w:val="both"/>
        <w:ind w:right="20" w:firstLine="316"/>
        <w:spacing w:after="0" w:line="250"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Obligations and Funded Status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unfunded status of the benefit obligations for the Pension Plans: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June 30,</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end of period</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plan assets at end of period</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Unfunded status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-577215</wp:posOffset>
            </wp:positionV>
            <wp:extent cx="67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the unfunded amounts related to the Pension Plans as recognized on the Company’s Condensed Consolidated Balance Sheets: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June 30,</w:t>
            </w: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r>
      <w:tr>
        <w:trPr>
          <w:trHeight w:val="189"/>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amount recognized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-577215</wp:posOffset>
            </wp:positionV>
            <wp:extent cx="67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periodic benefit costs were not material for the three months ended September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Related Parties and Related Commitments and Contingencies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right="60" w:firstLine="316"/>
        <w:spacing w:after="0" w:line="262" w:lineRule="auto"/>
        <w:rPr>
          <w:sz w:val="20"/>
          <w:szCs w:val="20"/>
          <w:color w:val="auto"/>
        </w:rPr>
      </w:pPr>
      <w:r>
        <w:rPr>
          <w:rFonts w:ascii="Arial" w:cs="Arial" w:eastAsia="Arial" w:hAnsi="Arial"/>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60" w:type="dxa"/>
            <w:vAlign w:val="bottom"/>
          </w:tcPr>
          <w:p>
            <w:pPr>
              <w:jc w:val="right"/>
              <w:ind w:right="383"/>
              <w:spacing w:after="0"/>
              <w:rPr>
                <w:sz w:val="20"/>
                <w:szCs w:val="20"/>
                <w:color w:val="auto"/>
              </w:rPr>
            </w:pPr>
            <w:r>
              <w:rPr>
                <w:rFonts w:ascii="Arial" w:cs="Arial" w:eastAsia="Arial" w:hAnsi="Arial"/>
                <w:sz w:val="14"/>
                <w:szCs w:val="14"/>
                <w:b w:val="1"/>
                <w:bCs w:val="1"/>
                <w:color w:val="auto"/>
              </w:rPr>
              <w:t>June 30,</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Flash Partners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Notes receivable, Flash Alliance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Flash Forward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Investment in Flash Partners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Flash Alliance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Flash Forward</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notes receivable and investments in Flash Ventures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-1113155</wp:posOffset>
            </wp:positionV>
            <wp:extent cx="67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right="140" w:firstLine="316"/>
        <w:spacing w:after="0" w:line="262" w:lineRule="auto"/>
        <w:rPr>
          <w:sz w:val="20"/>
          <w:szCs w:val="20"/>
          <w:color w:val="auto"/>
        </w:rPr>
      </w:pPr>
      <w:r>
        <w:rPr>
          <w:rFonts w:ascii="Arial" w:cs="Arial" w:eastAsia="Arial" w:hAnsi="Arial"/>
          <w:sz w:val="18"/>
          <w:szCs w:val="18"/>
          <w:color w:val="auto"/>
        </w:rPr>
        <w:t>During the three months ended September 29, 2023 and September 30, 2022, the Company made net payments to Flash Ventures of $0.9 billion and $1.0 billion, respectively, for purchased flash-based memory wafers and net loans.</w:t>
      </w:r>
    </w:p>
    <w:p>
      <w:pPr>
        <w:spacing w:after="0" w:line="208" w:lineRule="exact"/>
        <w:rPr>
          <w:sz w:val="20"/>
          <w:szCs w:val="20"/>
          <w:color w:val="auto"/>
        </w:rPr>
      </w:pPr>
    </w:p>
    <w:p>
      <w:pPr>
        <w:ind w:right="260" w:firstLine="316"/>
        <w:spacing w:after="0" w:line="316" w:lineRule="auto"/>
        <w:rPr>
          <w:sz w:val="20"/>
          <w:szCs w:val="20"/>
          <w:color w:val="auto"/>
        </w:rPr>
      </w:pPr>
      <w:r>
        <w:rPr>
          <w:rFonts w:ascii="Arial" w:cs="Arial" w:eastAsia="Arial" w:hAnsi="Arial"/>
          <w:sz w:val="15"/>
          <w:szCs w:val="15"/>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73" w:lineRule="exact"/>
        <w:rPr>
          <w:sz w:val="20"/>
          <w:szCs w:val="20"/>
          <w:color w:val="auto"/>
        </w:rPr>
      </w:pPr>
    </w:p>
    <w:p>
      <w:pPr>
        <w:ind w:right="540" w:firstLine="316"/>
        <w:spacing w:after="0" w:line="262" w:lineRule="auto"/>
        <w:rPr>
          <w:sz w:val="20"/>
          <w:szCs w:val="20"/>
          <w:color w:val="auto"/>
        </w:rPr>
      </w:pPr>
      <w:r>
        <w:rPr>
          <w:rFonts w:ascii="Arial" w:cs="Arial" w:eastAsia="Arial" w:hAnsi="Arial"/>
          <w:sz w:val="18"/>
          <w:szCs w:val="18"/>
          <w:color w:val="auto"/>
        </w:rPr>
        <w:t>As of September 29, 2023 and June 30, 2023, the Company had accounts payable balances due to Flash Ventures of $277 million and $292 million, respectively.</w:t>
      </w:r>
    </w:p>
    <w:p>
      <w:pPr>
        <w:spacing w:after="0" w:line="208" w:lineRule="exact"/>
        <w:rPr>
          <w:sz w:val="20"/>
          <w:szCs w:val="20"/>
          <w:color w:val="auto"/>
        </w:rPr>
      </w:pPr>
    </w:p>
    <w:p>
      <w:pPr>
        <w:jc w:val="both"/>
        <w:ind w:right="140" w:firstLine="316"/>
        <w:spacing w:after="0" w:line="288"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September 29, 2023,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1"/>
        </w:trPr>
        <w:tc>
          <w:tcPr>
            <w:tcW w:w="9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04"/>
              <w:spacing w:after="0" w:line="141" w:lineRule="exact"/>
              <w:rPr>
                <w:sz w:val="20"/>
                <w:szCs w:val="20"/>
                <w:color w:val="auto"/>
              </w:rPr>
            </w:pPr>
            <w:r>
              <w:rPr>
                <w:rFonts w:ascii="Arial" w:cs="Arial" w:eastAsia="Arial" w:hAnsi="Arial"/>
                <w:sz w:val="14"/>
                <w:szCs w:val="14"/>
                <w:b w:val="1"/>
                <w:bCs w:val="1"/>
                <w:color w:val="auto"/>
                <w:w w:val="89"/>
              </w:rPr>
              <w:t>September 29,</w:t>
            </w:r>
          </w:p>
        </w:tc>
      </w:tr>
      <w:tr>
        <w:trPr>
          <w:trHeight w:val="191"/>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2023</w:t>
            </w:r>
          </w:p>
        </w:tc>
      </w:tr>
      <w:tr>
        <w:trPr>
          <w:trHeight w:val="189"/>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r>
      <w:tr>
        <w:trPr>
          <w:trHeight w:val="208"/>
        </w:trPr>
        <w:tc>
          <w:tcPr>
            <w:tcW w:w="9800" w:type="dxa"/>
            <w:vAlign w:val="bottom"/>
          </w:tcPr>
          <w:p>
            <w:pPr>
              <w:ind w:left="20"/>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14"/>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guarantees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r>
      <w:tr>
        <w:trPr>
          <w:trHeight w:val="208"/>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Inventory and prepayments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w:t>
            </w:r>
          </w:p>
        </w:tc>
      </w:tr>
      <w:tr>
        <w:trPr>
          <w:trHeight w:val="233"/>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Maximum estimable loss exposure</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193" w:lineRule="exact"/>
        <w:rPr>
          <w:sz w:val="20"/>
          <w:szCs w:val="20"/>
          <w:color w:val="auto"/>
        </w:rPr>
      </w:pPr>
    </w:p>
    <w:p>
      <w:pPr>
        <w:ind w:right="20" w:firstLine="316"/>
        <w:spacing w:after="0" w:line="287" w:lineRule="auto"/>
        <w:rPr>
          <w:sz w:val="20"/>
          <w:szCs w:val="20"/>
          <w:color w:val="auto"/>
        </w:rPr>
      </w:pPr>
      <w:r>
        <w:rPr>
          <w:rFonts w:ascii="Arial" w:cs="Arial" w:eastAsia="Arial" w:hAnsi="Arial"/>
          <w:sz w:val="16"/>
          <w:szCs w:val="16"/>
          <w:color w:val="auto"/>
        </w:rPr>
        <w:t>Flash Ventures has historically operated near 100% of its manufacturing capacity. During 2023 and the three months ended September 29, 2023, as a result of flash market conditions, the Company temporarily reduced its utilization of its share of Flash Ventures’ manufacturing capacity to an abnormally low level to more closely align the Company’s flash-based wafer supply with projected demand. During the three months ended September 29, 2023, the Company incurred costs of $141 million associated with the reduction in utilization related to Flash Ventures, which was recorded as a charge to Cost of revenue. No such charges were incurred during the three months ended September 30, 2022.</w:t>
      </w:r>
    </w:p>
    <w:p>
      <w:pPr>
        <w:spacing w:after="0" w:line="192" w:lineRule="exact"/>
        <w:rPr>
          <w:sz w:val="20"/>
          <w:szCs w:val="20"/>
          <w:color w:val="auto"/>
        </w:rPr>
      </w:pPr>
    </w:p>
    <w:p>
      <w:pPr>
        <w:ind w:right="180" w:firstLine="316"/>
        <w:spacing w:after="0" w:line="250" w:lineRule="auto"/>
        <w:rPr>
          <w:sz w:val="20"/>
          <w:szCs w:val="20"/>
          <w:color w:val="auto"/>
        </w:rPr>
      </w:pPr>
      <w:r>
        <w:rPr>
          <w:rFonts w:ascii="Arial" w:cs="Arial" w:eastAsia="Arial" w:hAnsi="Arial"/>
          <w:sz w:val="18"/>
          <w:szCs w:val="18"/>
          <w:color w:val="auto"/>
        </w:rPr>
        <w:t>The Company has facility agreements with Kioxia related to the construction and operation of Kioxia’s “K1” 300-millimeter wafer fabrication facility in Kitakami, Japan and a wafer fabrication facility in Yokkaichi, Japan, referred to as “Y7”. In connection with the start-up of these facilities, the Company has made prepayments toward future building depreciation. As of September 29, 2023, such prepayments aggregated $539 million and will be credited against future wafer charges.</w:t>
      </w:r>
    </w:p>
    <w:p>
      <w:pPr>
        <w:spacing w:after="0" w:line="219" w:lineRule="exact"/>
        <w:rPr>
          <w:sz w:val="20"/>
          <w:szCs w:val="20"/>
          <w:color w:val="auto"/>
        </w:rPr>
      </w:pPr>
    </w:p>
    <w:p>
      <w:pPr>
        <w:ind w:right="400" w:firstLine="316"/>
        <w:spacing w:after="0" w:line="262"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208" w:lineRule="exact"/>
        <w:rPr>
          <w:sz w:val="20"/>
          <w:szCs w:val="20"/>
          <w:color w:val="auto"/>
        </w:rPr>
      </w:pPr>
    </w:p>
    <w:p>
      <w:pPr>
        <w:ind w:right="920" w:firstLine="316"/>
        <w:spacing w:after="0" w:line="325" w:lineRule="auto"/>
        <w:rPr>
          <w:sz w:val="20"/>
          <w:szCs w:val="20"/>
          <w:color w:val="auto"/>
        </w:rPr>
      </w:pPr>
      <w:r>
        <w:rPr>
          <w:rFonts w:ascii="Arial" w:cs="Arial" w:eastAsia="Arial" w:hAnsi="Arial"/>
          <w:sz w:val="16"/>
          <w:szCs w:val="16"/>
          <w:i w:val="1"/>
          <w:iCs w:val="1"/>
          <w:color w:val="auto"/>
        </w:rPr>
        <w:t xml:space="preserve">Research and Development Activities. </w:t>
      </w:r>
      <w:r>
        <w:rPr>
          <w:rFonts w:ascii="Arial" w:cs="Arial" w:eastAsia="Arial" w:hAnsi="Arial"/>
          <w:sz w:val="16"/>
          <w:szCs w:val="16"/>
          <w:color w:val="auto"/>
        </w:rPr>
        <w:t>The Company participates in common research and development (“R&amp;D”) activities with Kioxia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contractually committed to a minimum funding level. R&amp;D commitments are immaterial to the Condensed Consolidated Financial Statements.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Off-Balance Sheet Liabilities</w:t>
      </w:r>
    </w:p>
    <w:p>
      <w:pPr>
        <w:spacing w:after="0" w:line="24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9" w:lineRule="exact"/>
        <w:rPr>
          <w:sz w:val="20"/>
          <w:szCs w:val="20"/>
          <w:color w:val="auto"/>
        </w:rPr>
      </w:pPr>
    </w:p>
    <w:p>
      <w:pPr>
        <w:ind w:right="100" w:firstLine="316"/>
        <w:spacing w:after="0" w:line="261"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September 29,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280" w:type="dxa"/>
            <w:vAlign w:val="bottom"/>
          </w:tcPr>
          <w:p>
            <w:pPr>
              <w:spacing w:after="0"/>
              <w:rPr>
                <w:sz w:val="11"/>
                <w:szCs w:val="11"/>
                <w:color w:val="auto"/>
              </w:rPr>
            </w:pPr>
          </w:p>
        </w:tc>
        <w:tc>
          <w:tcPr>
            <w:tcW w:w="1440" w:type="dxa"/>
            <w:vAlign w:val="bottom"/>
            <w:gridSpan w:val="2"/>
          </w:tcPr>
          <w:p>
            <w:pPr>
              <w:jc w:val="center"/>
              <w:spacing w:after="0" w:line="133" w:lineRule="exact"/>
              <w:rPr>
                <w:sz w:val="20"/>
                <w:szCs w:val="20"/>
                <w:color w:val="auto"/>
              </w:rPr>
            </w:pPr>
            <w:r>
              <w:rPr>
                <w:rFonts w:ascii="Arial" w:cs="Arial" w:eastAsia="Arial" w:hAnsi="Arial"/>
                <w:sz w:val="14"/>
                <w:szCs w:val="14"/>
                <w:i w:val="1"/>
                <w:iCs w:val="1"/>
                <w:color w:val="auto"/>
                <w:w w:val="88"/>
              </w:rPr>
              <w:t>(Japanese yen, in</w:t>
            </w: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i w:val="1"/>
                <w:iCs w:val="1"/>
                <w:color w:val="auto"/>
                <w:w w:val="95"/>
              </w:rPr>
              <w:t>(U.S. dollar, in millions)</w:t>
            </w:r>
          </w:p>
        </w:tc>
        <w:tc>
          <w:tcPr>
            <w:tcW w:w="0" w:type="dxa"/>
            <w:vAlign w:val="bottom"/>
          </w:tcPr>
          <w:p>
            <w:pPr>
              <w:spacing w:after="0"/>
              <w:rPr>
                <w:sz w:val="1"/>
                <w:szCs w:val="1"/>
                <w:color w:val="auto"/>
              </w:rPr>
            </w:pPr>
          </w:p>
        </w:tc>
      </w:tr>
      <w:tr>
        <w:trPr>
          <w:trHeight w:val="185"/>
        </w:trPr>
        <w:tc>
          <w:tcPr>
            <w:tcW w:w="8280" w:type="dxa"/>
            <w:vAlign w:val="bottom"/>
          </w:tcPr>
          <w:p>
            <w:pPr>
              <w:spacing w:after="0"/>
              <w:rPr>
                <w:sz w:val="16"/>
                <w:szCs w:val="16"/>
                <w:color w:val="auto"/>
              </w:rPr>
            </w:pPr>
          </w:p>
        </w:tc>
        <w:tc>
          <w:tcPr>
            <w:tcW w:w="980" w:type="dxa"/>
            <w:vAlign w:val="bottom"/>
          </w:tcPr>
          <w:p>
            <w:pPr>
              <w:jc w:val="center"/>
              <w:ind w:left="367"/>
              <w:spacing w:after="0"/>
              <w:rPr>
                <w:sz w:val="20"/>
                <w:szCs w:val="20"/>
                <w:color w:val="auto"/>
              </w:rPr>
            </w:pPr>
            <w:r>
              <w:rPr>
                <w:rFonts w:ascii="Arial" w:cs="Arial" w:eastAsia="Arial" w:hAnsi="Arial"/>
                <w:sz w:val="14"/>
                <w:szCs w:val="14"/>
                <w:i w:val="1"/>
                <w:iCs w:val="1"/>
                <w:color w:val="auto"/>
                <w:w w:val="96"/>
              </w:rPr>
              <w:t>billions)</w:t>
            </w:r>
          </w:p>
        </w:tc>
        <w:tc>
          <w:tcPr>
            <w:tcW w:w="4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guarantee obligations</w:t>
            </w:r>
          </w:p>
        </w:tc>
        <w:tc>
          <w:tcPr>
            <w:tcW w:w="980" w:type="dxa"/>
            <w:vAlign w:val="bottom"/>
            <w:shd w:val="clear" w:color="auto" w:fill="CCEEFF"/>
          </w:tcPr>
          <w:p>
            <w:pPr>
              <w:jc w:val="right"/>
              <w:ind w:right="807"/>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237</w:t>
            </w: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firstLine="316"/>
        <w:spacing w:after="0" w:line="253"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September 29, 2023 in U.S. dollars, based upon the Japanese yen to U.S. dollar exchange rate as of September 29, 2023:</w:t>
      </w: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Payment of Principal</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Purchase Option</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Annual Installments</w:t>
            </w:r>
          </w:p>
        </w:tc>
        <w:tc>
          <w:tcPr>
            <w:tcW w:w="1540" w:type="dxa"/>
            <w:vAlign w:val="bottom"/>
            <w:gridSpan w:val="3"/>
            <w:vMerge w:val="continue"/>
          </w:tcPr>
          <w:p>
            <w:pPr>
              <w:spacing w:after="0"/>
              <w:rPr>
                <w:sz w:val="12"/>
                <w:szCs w:val="12"/>
                <w:color w:val="auto"/>
              </w:rPr>
            </w:pPr>
          </w:p>
        </w:tc>
        <w:tc>
          <w:tcPr>
            <w:tcW w:w="152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Exercise Price at Final</w:t>
            </w:r>
          </w:p>
        </w:tc>
        <w:tc>
          <w:tcPr>
            <w:tcW w:w="120" w:type="dxa"/>
            <w:vAlign w:val="bottom"/>
          </w:tcPr>
          <w:p>
            <w:pPr>
              <w:spacing w:after="0"/>
              <w:rPr>
                <w:sz w:val="12"/>
                <w:szCs w:val="12"/>
                <w:color w:val="auto"/>
              </w:rPr>
            </w:pPr>
          </w:p>
        </w:tc>
        <w:tc>
          <w:tcPr>
            <w:tcW w:w="13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2"/>
              </w:rPr>
              <w:t>Guarantee Amount</w:t>
            </w:r>
          </w:p>
        </w:tc>
        <w:tc>
          <w:tcPr>
            <w:tcW w:w="0" w:type="dxa"/>
            <w:vAlign w:val="bottom"/>
          </w:tcPr>
          <w:p>
            <w:pPr>
              <w:spacing w:after="0"/>
              <w:rPr>
                <w:sz w:val="1"/>
                <w:szCs w:val="1"/>
                <w:color w:val="auto"/>
              </w:rPr>
            </w:pPr>
          </w:p>
        </w:tc>
      </w:tr>
      <w:tr>
        <w:trPr>
          <w:trHeight w:val="192"/>
        </w:trPr>
        <w:tc>
          <w:tcPr>
            <w:tcW w:w="6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Remaining nine months of 2024</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8"/>
        </w:trPr>
        <w:tc>
          <w:tcPr>
            <w:tcW w:w="6640" w:type="dxa"/>
            <w:vAlign w:val="bottom"/>
          </w:tcPr>
          <w:p>
            <w:pPr>
              <w:ind w:left="2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08"/>
        </w:trPr>
        <w:tc>
          <w:tcPr>
            <w:tcW w:w="6640" w:type="dxa"/>
            <w:vAlign w:val="bottom"/>
          </w:tcPr>
          <w:p>
            <w:pPr>
              <w:ind w:left="20"/>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guarantee obligations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-1121410</wp:posOffset>
            </wp:positionV>
            <wp:extent cx="673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-1121410</wp:posOffset>
            </wp:positionV>
            <wp:extent cx="673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September 29, 2023, no amounts had been accrued in the Condensed Consolidated Financial Statements with respect to these indemnification agreements.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Unis Venture</w:t>
      </w:r>
    </w:p>
    <w:p>
      <w:pPr>
        <w:spacing w:after="0" w:line="241" w:lineRule="exact"/>
        <w:rPr>
          <w:sz w:val="20"/>
          <w:szCs w:val="20"/>
          <w:color w:val="auto"/>
        </w:rPr>
      </w:pPr>
    </w:p>
    <w:p>
      <w:pPr>
        <w:ind w:right="40" w:firstLine="316"/>
        <w:spacing w:after="0" w:line="247" w:lineRule="auto"/>
        <w:rPr>
          <w:sz w:val="20"/>
          <w:szCs w:val="20"/>
          <w:color w:val="auto"/>
        </w:rPr>
      </w:pPr>
      <w:r>
        <w:rPr>
          <w:rFonts w:ascii="Arial" w:cs="Arial" w:eastAsia="Arial" w:hAnsi="Arial"/>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three months ended September 29, 2023 and September 30, 2022, the Company recognized approximately 6% and 3% of its consolidated revenue on products distributed by the Unis Venture, respectively. The outstanding accounts receivable due from the Unis Venture were 7% and 8% of Accounts receivable, net as of September 29, 2023 and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Leases and Other Commitments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Leases</w:t>
      </w:r>
    </w:p>
    <w:p>
      <w:pPr>
        <w:spacing w:after="0" w:line="241" w:lineRule="exact"/>
        <w:rPr>
          <w:sz w:val="20"/>
          <w:szCs w:val="20"/>
          <w:color w:val="auto"/>
        </w:rPr>
      </w:pPr>
    </w:p>
    <w:p>
      <w:pPr>
        <w:ind w:right="100" w:firstLine="316"/>
        <w:spacing w:after="0" w:line="248" w:lineRule="auto"/>
        <w:rPr>
          <w:sz w:val="20"/>
          <w:szCs w:val="20"/>
          <w:color w:val="auto"/>
        </w:rPr>
      </w:pPr>
      <w:r>
        <w:rPr>
          <w:rFonts w:ascii="Arial" w:cs="Arial" w:eastAsia="Arial" w:hAnsi="Arial"/>
          <w:sz w:val="18"/>
          <w:szCs w:val="18"/>
          <w:color w:val="auto"/>
        </w:rPr>
        <w:t>The Company leases certain domestic and international facilities and data center space under long-term, non-cancelable operating leases that expire at various dates through 2039.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supplemental balance sheet information related to operating leases as of September 29,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60" w:type="dxa"/>
            <w:vAlign w:val="bottom"/>
          </w:tcPr>
          <w:p>
            <w:pPr>
              <w:spacing w:after="0"/>
              <w:rPr>
                <w:sz w:val="15"/>
                <w:szCs w:val="15"/>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Lease Amounts</w:t>
            </w:r>
          </w:p>
        </w:tc>
      </w:tr>
      <w:tr>
        <w:trPr>
          <w:trHeight w:val="24"/>
        </w:trPr>
        <w:tc>
          <w:tcPr>
            <w:tcW w:w="9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2"/>
        </w:trPr>
        <w:tc>
          <w:tcPr>
            <w:tcW w:w="9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040" w:type="dxa"/>
            <w:vAlign w:val="bottom"/>
          </w:tcPr>
          <w:p>
            <w:pPr>
              <w:jc w:val="right"/>
              <w:ind w:right="301"/>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lease payments by year:</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8"/>
        </w:trPr>
        <w:tc>
          <w:tcPr>
            <w:tcW w:w="9660" w:type="dxa"/>
            <w:vAlign w:val="bottom"/>
          </w:tcPr>
          <w:p>
            <w:pPr>
              <w:ind w:left="140"/>
              <w:spacing w:after="0"/>
              <w:rPr>
                <w:sz w:val="20"/>
                <w:szCs w:val="20"/>
                <w:color w:val="auto"/>
              </w:rPr>
            </w:pPr>
            <w:r>
              <w:rPr>
                <w:rFonts w:ascii="Arial" w:cs="Arial" w:eastAsia="Arial" w:hAnsi="Arial"/>
                <w:sz w:val="16"/>
                <w:szCs w:val="16"/>
                <w:color w:val="auto"/>
              </w:rPr>
              <w:t>Remaining nine months of 2024</w:t>
            </w:r>
          </w:p>
        </w:tc>
        <w:tc>
          <w:tcPr>
            <w:tcW w:w="520" w:type="dxa"/>
            <w:vAlign w:val="bottom"/>
          </w:tcPr>
          <w:p>
            <w:pPr>
              <w:jc w:val="right"/>
              <w:ind w:right="344"/>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49</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63</w:t>
            </w:r>
          </w:p>
        </w:tc>
      </w:tr>
      <w:tr>
        <w:trPr>
          <w:trHeight w:val="208"/>
        </w:trPr>
        <w:tc>
          <w:tcPr>
            <w:tcW w:w="9660" w:type="dxa"/>
            <w:vAlign w:val="bottom"/>
          </w:tcPr>
          <w:p>
            <w:pPr>
              <w:ind w:left="140"/>
              <w:spacing w:after="0"/>
              <w:rPr>
                <w:sz w:val="20"/>
                <w:szCs w:val="20"/>
                <w:color w:val="auto"/>
              </w:rPr>
            </w:pPr>
            <w:r>
              <w:rPr>
                <w:rFonts w:ascii="Arial" w:cs="Arial" w:eastAsia="Arial" w:hAnsi="Arial"/>
                <w:sz w:val="16"/>
                <w:szCs w:val="16"/>
                <w:color w:val="auto"/>
              </w:rPr>
              <w:t>2026</w:t>
            </w:r>
          </w:p>
        </w:tc>
        <w:tc>
          <w:tcPr>
            <w:tcW w:w="5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65</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2027</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58</w:t>
            </w:r>
          </w:p>
        </w:tc>
      </w:tr>
      <w:tr>
        <w:trPr>
          <w:trHeight w:val="208"/>
        </w:trPr>
        <w:tc>
          <w:tcPr>
            <w:tcW w:w="9660" w:type="dxa"/>
            <w:vAlign w:val="bottom"/>
          </w:tcPr>
          <w:p>
            <w:pPr>
              <w:ind w:left="140"/>
              <w:spacing w:after="0"/>
              <w:rPr>
                <w:sz w:val="20"/>
                <w:szCs w:val="20"/>
                <w:color w:val="auto"/>
              </w:rPr>
            </w:pPr>
            <w:r>
              <w:rPr>
                <w:rFonts w:ascii="Arial" w:cs="Arial" w:eastAsia="Arial" w:hAnsi="Arial"/>
                <w:sz w:val="16"/>
                <w:szCs w:val="16"/>
                <w:color w:val="auto"/>
              </w:rPr>
              <w:t>2028</w:t>
            </w:r>
          </w:p>
        </w:tc>
        <w:tc>
          <w:tcPr>
            <w:tcW w:w="5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51</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329</w:t>
            </w:r>
          </w:p>
        </w:tc>
      </w:tr>
      <w:tr>
        <w:trPr>
          <w:trHeight w:val="201"/>
        </w:trPr>
        <w:tc>
          <w:tcPr>
            <w:tcW w:w="9660" w:type="dxa"/>
            <w:vAlign w:val="bottom"/>
          </w:tcPr>
          <w:p>
            <w:pPr>
              <w:ind w:left="220"/>
              <w:spacing w:after="0"/>
              <w:rPr>
                <w:sz w:val="20"/>
                <w:szCs w:val="20"/>
                <w:color w:val="auto"/>
              </w:rPr>
            </w:pPr>
            <w:r>
              <w:rPr>
                <w:rFonts w:ascii="Arial" w:cs="Arial" w:eastAsia="Arial" w:hAnsi="Arial"/>
                <w:sz w:val="16"/>
                <w:szCs w:val="16"/>
                <w:color w:val="auto"/>
              </w:rPr>
              <w:t>Total future minimum lease payments</w:t>
            </w:r>
          </w:p>
        </w:tc>
        <w:tc>
          <w:tcPr>
            <w:tcW w:w="52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615</w:t>
            </w:r>
          </w:p>
        </w:tc>
      </w:tr>
      <w:tr>
        <w:trPr>
          <w:trHeight w:val="214"/>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Imputed interest</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175</w:t>
            </w:r>
          </w:p>
        </w:tc>
      </w:tr>
      <w:tr>
        <w:trPr>
          <w:trHeight w:val="201"/>
        </w:trPr>
        <w:tc>
          <w:tcPr>
            <w:tcW w:w="9660" w:type="dxa"/>
            <w:vAlign w:val="bottom"/>
          </w:tcPr>
          <w:p>
            <w:pPr>
              <w:ind w:left="140"/>
              <w:spacing w:after="0"/>
              <w:rPr>
                <w:sz w:val="20"/>
                <w:szCs w:val="20"/>
                <w:color w:val="auto"/>
              </w:rPr>
            </w:pPr>
            <w:r>
              <w:rPr>
                <w:rFonts w:ascii="Arial" w:cs="Arial" w:eastAsia="Arial" w:hAnsi="Arial"/>
                <w:sz w:val="16"/>
                <w:szCs w:val="16"/>
                <w:color w:val="auto"/>
              </w:rPr>
              <w:t>Present value of lease liabilities</w:t>
            </w:r>
          </w:p>
        </w:tc>
        <w:tc>
          <w:tcPr>
            <w:tcW w:w="52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440</w:t>
            </w:r>
          </w:p>
        </w:tc>
      </w:tr>
      <w:tr>
        <w:trPr>
          <w:trHeight w:val="211"/>
        </w:trPr>
        <w:tc>
          <w:tcPr>
            <w:tcW w:w="9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Current portion (included in Accrued expenses)</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44</w:t>
            </w:r>
          </w:p>
        </w:tc>
      </w:tr>
      <w:tr>
        <w:trPr>
          <w:trHeight w:val="208"/>
        </w:trPr>
        <w:tc>
          <w:tcPr>
            <w:tcW w:w="9660" w:type="dxa"/>
            <w:vAlign w:val="bottom"/>
          </w:tcPr>
          <w:p>
            <w:pPr>
              <w:ind w:left="260"/>
              <w:spacing w:after="0"/>
              <w:rPr>
                <w:sz w:val="20"/>
                <w:szCs w:val="20"/>
                <w:color w:val="auto"/>
              </w:rPr>
            </w:pPr>
            <w:r>
              <w:rPr>
                <w:rFonts w:ascii="Arial" w:cs="Arial" w:eastAsia="Arial" w:hAnsi="Arial"/>
                <w:sz w:val="16"/>
                <w:szCs w:val="16"/>
                <w:color w:val="auto"/>
              </w:rPr>
              <w:t>Long-term operating lease liabilities (included in Other liabilities )</w:t>
            </w:r>
          </w:p>
        </w:tc>
        <w:tc>
          <w:tcPr>
            <w:tcW w:w="52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396</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9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9660" w:type="dxa"/>
            <w:vAlign w:val="bottom"/>
          </w:tcPr>
          <w:p>
            <w:pPr>
              <w:ind w:left="2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520" w:type="dxa"/>
            <w:vAlign w:val="bottom"/>
          </w:tcPr>
          <w:p>
            <w:pPr>
              <w:jc w:val="right"/>
              <w:ind w:right="344"/>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419</w:t>
            </w:r>
          </w:p>
        </w:tc>
      </w:tr>
      <w:tr>
        <w:trPr>
          <w:trHeight w:val="254"/>
        </w:trPr>
        <w:tc>
          <w:tcPr>
            <w:tcW w:w="96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08"/>
        </w:trPr>
        <w:tc>
          <w:tcPr>
            <w:tcW w:w="9660" w:type="dxa"/>
            <w:vAlign w:val="bottom"/>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5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10.5</w:t>
            </w:r>
          </w:p>
        </w:tc>
      </w:tr>
      <w:tr>
        <w:trPr>
          <w:trHeight w:val="214"/>
        </w:trPr>
        <w:tc>
          <w:tcPr>
            <w:tcW w:w="9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r>
    </w:tbl>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supplemental disclosures of operating cost and cash flow information related to operating leases: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3"/>
          </w:tcPr>
          <w:p>
            <w:pPr>
              <w:jc w:val="right"/>
              <w:ind w:right="764"/>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5"/>
        </w:trPr>
        <w:tc>
          <w:tcPr>
            <w:tcW w:w="8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right"/>
              <w:ind w:right="226"/>
              <w:spacing w:after="0" w:line="125" w:lineRule="exact"/>
              <w:rPr>
                <w:sz w:val="20"/>
                <w:szCs w:val="20"/>
                <w:color w:val="auto"/>
              </w:rPr>
            </w:pPr>
            <w:r>
              <w:rPr>
                <w:rFonts w:ascii="Arial" w:cs="Arial" w:eastAsia="Arial" w:hAnsi="Arial"/>
                <w:sz w:val="14"/>
                <w:szCs w:val="14"/>
                <w:b w:val="1"/>
                <w:bCs w:val="1"/>
                <w:color w:val="auto"/>
                <w:w w:val="98"/>
              </w:rPr>
              <w:t>September 29,</w:t>
            </w:r>
          </w:p>
        </w:tc>
        <w:tc>
          <w:tcPr>
            <w:tcW w:w="280" w:type="dxa"/>
            <w:vAlign w:val="bottom"/>
          </w:tcPr>
          <w:p>
            <w:pPr>
              <w:spacing w:after="0"/>
              <w:rPr>
                <w:sz w:val="10"/>
                <w:szCs w:val="10"/>
                <w:color w:val="auto"/>
              </w:rPr>
            </w:pPr>
          </w:p>
        </w:tc>
        <w:tc>
          <w:tcPr>
            <w:tcW w:w="1240" w:type="dxa"/>
            <w:vAlign w:val="bottom"/>
          </w:tcPr>
          <w:p>
            <w:pPr>
              <w:jc w:val="right"/>
              <w:ind w:right="204"/>
              <w:spacing w:after="0" w:line="125" w:lineRule="exact"/>
              <w:rPr>
                <w:sz w:val="20"/>
                <w:szCs w:val="20"/>
                <w:color w:val="auto"/>
              </w:rPr>
            </w:pPr>
            <w:r>
              <w:rPr>
                <w:rFonts w:ascii="Arial" w:cs="Arial" w:eastAsia="Arial" w:hAnsi="Arial"/>
                <w:sz w:val="14"/>
                <w:szCs w:val="14"/>
                <w:b w:val="1"/>
                <w:bCs w:val="1"/>
                <w:color w:val="auto"/>
                <w:w w:val="98"/>
              </w:rPr>
              <w:t>September 30,</w:t>
            </w: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189"/>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3"/>
          </w:tcPr>
          <w:p>
            <w:pPr>
              <w:jc w:val="right"/>
              <w:ind w:right="1064"/>
              <w:spacing w:after="0"/>
              <w:rPr>
                <w:sz w:val="20"/>
                <w:szCs w:val="20"/>
                <w:color w:val="auto"/>
              </w:rPr>
            </w:pPr>
            <w:r>
              <w:rPr>
                <w:rFonts w:ascii="Arial" w:cs="Arial" w:eastAsia="Arial" w:hAnsi="Arial"/>
                <w:sz w:val="14"/>
                <w:szCs w:val="14"/>
                <w:i w:val="1"/>
                <w:iCs w:val="1"/>
                <w:color w:val="auto"/>
              </w:rPr>
              <w:t>(in millions)</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operating leases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Cash paid for operating leases</w:t>
            </w:r>
          </w:p>
        </w:tc>
        <w:tc>
          <w:tcPr>
            <w:tcW w:w="180" w:type="dxa"/>
            <w:vAlign w:val="bottom"/>
          </w:tcPr>
          <w:p>
            <w:pPr>
              <w:spacing w:after="0"/>
              <w:rPr>
                <w:sz w:val="18"/>
                <w:szCs w:val="18"/>
                <w:color w:val="auto"/>
              </w:rPr>
            </w:pPr>
          </w:p>
        </w:tc>
        <w:tc>
          <w:tcPr>
            <w:tcW w:w="1260" w:type="dxa"/>
            <w:vAlign w:val="bottom"/>
          </w:tcPr>
          <w:p>
            <w:pPr>
              <w:jc w:val="right"/>
              <w:ind w:right="6"/>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168</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-535305</wp:posOffset>
            </wp:positionV>
            <wp:extent cx="67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Sale-Leaseback</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September 2023, the Company completed a sale and leaseback of its facility in Milpitas, California. The Company received net proceeds of</w:t>
      </w:r>
    </w:p>
    <w:p>
      <w:pPr>
        <w:spacing w:after="0" w:line="39"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$191 million in cash and recorded a gain of $85 million on the sale. In connection with the sale, the Company agreed to lease back the facility at an annual lease rate of $16 million for the first year, increasing by 3% per year thereafter through January 1, 2039. The lease includes three 5-year renewal options and one 4-year renewal option for the ability to extend through December 2057. The supplemental balance sheet information and supplemental disclosures of operating cost and cash flow information related to the lease are included in the tables above.</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41"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September 29, 2023, the Company had the following minimum long-term commitments:</w:t>
      </w:r>
    </w:p>
    <w:tbl>
      <w:tblPr>
        <w:tblLayout w:type="fixed"/>
        <w:tblInd w:w="0" w:type="dxa"/>
        <w:tblCellMar>
          <w:top w:w="0" w:type="dxa"/>
          <w:left w:w="0" w:type="dxa"/>
          <w:bottom w:w="0" w:type="dxa"/>
          <w:right w:w="0" w:type="dxa"/>
        </w:tblCellMar>
      </w:tblPr>
      <w:tr>
        <w:trPr>
          <w:trHeight w:val="149"/>
        </w:trPr>
        <w:tc>
          <w:tcPr>
            <w:tcW w:w="9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Long-Term</w:t>
            </w:r>
          </w:p>
        </w:tc>
      </w:tr>
      <w:tr>
        <w:trPr>
          <w:trHeight w:val="189"/>
        </w:trPr>
        <w:tc>
          <w:tcPr>
            <w:tcW w:w="9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2"/>
              </w:rPr>
              <w:t>Commitments</w:t>
            </w:r>
          </w:p>
        </w:tc>
      </w:tr>
      <w:tr>
        <w:trPr>
          <w:trHeight w:val="187"/>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04"/>
              <w:spacing w:after="0"/>
              <w:rPr>
                <w:sz w:val="20"/>
                <w:szCs w:val="20"/>
                <w:color w:val="auto"/>
              </w:rPr>
            </w:pPr>
            <w:r>
              <w:rPr>
                <w:rFonts w:ascii="Arial" w:cs="Arial" w:eastAsia="Arial" w:hAnsi="Arial"/>
                <w:sz w:val="14"/>
                <w:szCs w:val="14"/>
                <w:i w:val="1"/>
                <w:iCs w:val="1"/>
                <w:color w:val="auto"/>
                <w:w w:val="98"/>
              </w:rPr>
              <w:t>(in millions)</w:t>
            </w:r>
          </w:p>
        </w:tc>
      </w:tr>
      <w:tr>
        <w:trPr>
          <w:trHeight w:val="220"/>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8"/>
        </w:trPr>
        <w:tc>
          <w:tcPr>
            <w:tcW w:w="9760" w:type="dxa"/>
            <w:vAlign w:val="bottom"/>
          </w:tcPr>
          <w:p>
            <w:pPr>
              <w:ind w:left="140"/>
              <w:spacing w:after="0"/>
              <w:rPr>
                <w:sz w:val="20"/>
                <w:szCs w:val="20"/>
                <w:color w:val="auto"/>
              </w:rPr>
            </w:pPr>
            <w:r>
              <w:rPr>
                <w:rFonts w:ascii="Arial" w:cs="Arial" w:eastAsia="Arial" w:hAnsi="Arial"/>
                <w:sz w:val="16"/>
                <w:szCs w:val="16"/>
                <w:color w:val="auto"/>
              </w:rPr>
              <w:t>Remaining nine months of 2024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4"/>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08"/>
        </w:trPr>
        <w:tc>
          <w:tcPr>
            <w:tcW w:w="9760" w:type="dxa"/>
            <w:vAlign w:val="bottom"/>
          </w:tcPr>
          <w:p>
            <w:pPr>
              <w:ind w:left="14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4"/>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8"/>
        </w:trPr>
        <w:tc>
          <w:tcPr>
            <w:tcW w:w="9760" w:type="dxa"/>
            <w:vAlign w:val="bottom"/>
          </w:tcPr>
          <w:p>
            <w:pPr>
              <w:ind w:left="140"/>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1"/>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8"/>
        </w:trPr>
        <w:tc>
          <w:tcPr>
            <w:tcW w:w="976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w:t>
            </w:r>
          </w:p>
        </w:tc>
      </w:tr>
      <w:tr>
        <w:trPr>
          <w:trHeight w:val="20"/>
        </w:trPr>
        <w:tc>
          <w:tcPr>
            <w:tcW w:w="9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Shareholders’ Equity and Convertible Preferred Stock</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Stock-based Compensation Expense</w:t>
      </w:r>
    </w:p>
    <w:p>
      <w:pPr>
        <w:spacing w:after="0" w:line="241"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92"/>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September 29,</w:t>
            </w:r>
          </w:p>
        </w:tc>
        <w:tc>
          <w:tcPr>
            <w:tcW w:w="200" w:type="dxa"/>
            <w:vAlign w:val="bottom"/>
          </w:tcPr>
          <w:p>
            <w:pPr>
              <w:spacing w:after="0"/>
              <w:rPr>
                <w:sz w:val="11"/>
                <w:szCs w:val="11"/>
                <w:color w:val="auto"/>
              </w:rPr>
            </w:pPr>
          </w:p>
        </w:tc>
        <w:tc>
          <w:tcPr>
            <w:tcW w:w="124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w w:val="89"/>
              </w:rPr>
              <w:t>September 30,</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center"/>
              <w:ind w:right="104"/>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885"/>
              <w:spacing w:after="0"/>
              <w:rPr>
                <w:sz w:val="20"/>
                <w:szCs w:val="20"/>
                <w:color w:val="auto"/>
              </w:rPr>
            </w:pPr>
            <w:r>
              <w:rPr>
                <w:rFonts w:ascii="Arial" w:cs="Arial" w:eastAsia="Arial" w:hAnsi="Arial"/>
                <w:sz w:val="16"/>
                <w:szCs w:val="16"/>
                <w:color w:val="auto"/>
                <w:w w:val="89"/>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884"/>
              <w:spacing w:after="0"/>
              <w:rPr>
                <w:sz w:val="20"/>
                <w:szCs w:val="20"/>
                <w:color w:val="auto"/>
              </w:rPr>
            </w:pPr>
            <w:r>
              <w:rPr>
                <w:rFonts w:ascii="Arial" w:cs="Arial" w:eastAsia="Arial" w:hAnsi="Arial"/>
                <w:sz w:val="16"/>
                <w:szCs w:val="16"/>
                <w:color w:val="auto"/>
                <w:w w:val="89"/>
              </w:rPr>
              <w:t>75</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ESPP</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85"/>
              <w:spacing w:after="0"/>
              <w:rPr>
                <w:sz w:val="20"/>
                <w:szCs w:val="20"/>
                <w:color w:val="auto"/>
              </w:rPr>
            </w:pPr>
            <w:r>
              <w:rPr>
                <w:rFonts w:ascii="Arial" w:cs="Arial" w:eastAsia="Arial" w:hAnsi="Arial"/>
                <w:sz w:val="16"/>
                <w:szCs w:val="16"/>
                <w:color w:val="auto"/>
                <w:w w:val="89"/>
              </w:rPr>
              <w:t>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84"/>
              <w:spacing w:after="0"/>
              <w:rPr>
                <w:sz w:val="20"/>
                <w:szCs w:val="20"/>
                <w:color w:val="auto"/>
              </w:rPr>
            </w:pPr>
            <w:r>
              <w:rPr>
                <w:rFonts w:ascii="Arial" w:cs="Arial" w:eastAsia="Arial" w:hAnsi="Arial"/>
                <w:sz w:val="16"/>
                <w:szCs w:val="16"/>
                <w:color w:val="auto"/>
                <w:w w:val="89"/>
              </w:rPr>
              <w:t>11</w:t>
            </w:r>
          </w:p>
        </w:tc>
      </w:tr>
      <w:tr>
        <w:trPr>
          <w:trHeight w:val="233"/>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center"/>
              <w:ind w:left="885"/>
              <w:spacing w:after="0"/>
              <w:rPr>
                <w:sz w:val="20"/>
                <w:szCs w:val="20"/>
                <w:color w:val="auto"/>
              </w:rPr>
            </w:pPr>
            <w:r>
              <w:rPr>
                <w:rFonts w:ascii="Arial" w:cs="Arial" w:eastAsia="Arial" w:hAnsi="Arial"/>
                <w:sz w:val="16"/>
                <w:szCs w:val="16"/>
                <w:color w:val="auto"/>
                <w:w w:val="89"/>
              </w:rPr>
              <w:t>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center"/>
              <w:ind w:left="884"/>
              <w:spacing w:after="0"/>
              <w:rPr>
                <w:sz w:val="20"/>
                <w:szCs w:val="20"/>
                <w:color w:val="auto"/>
              </w:rPr>
            </w:pPr>
            <w:r>
              <w:rPr>
                <w:rFonts w:ascii="Arial" w:cs="Arial" w:eastAsia="Arial" w:hAnsi="Arial"/>
                <w:sz w:val="16"/>
                <w:szCs w:val="16"/>
                <w:color w:val="auto"/>
                <w:w w:val="89"/>
              </w:rPr>
              <w:t>86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6"/>
        </w:trPr>
        <w:tc>
          <w:tcPr>
            <w:tcW w:w="8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92"/>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5"/>
        </w:trPr>
        <w:tc>
          <w:tcPr>
            <w:tcW w:w="8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9"/>
              </w:rPr>
              <w:t>September 29,</w:t>
            </w:r>
          </w:p>
        </w:tc>
        <w:tc>
          <w:tcPr>
            <w:tcW w:w="200" w:type="dxa"/>
            <w:vAlign w:val="bottom"/>
          </w:tcPr>
          <w:p>
            <w:pPr>
              <w:spacing w:after="0"/>
              <w:rPr>
                <w:sz w:val="10"/>
                <w:szCs w:val="10"/>
                <w:color w:val="auto"/>
              </w:rPr>
            </w:pPr>
          </w:p>
        </w:tc>
        <w:tc>
          <w:tcPr>
            <w:tcW w:w="1240" w:type="dxa"/>
            <w:vAlign w:val="bottom"/>
          </w:tcPr>
          <w:p>
            <w:pPr>
              <w:jc w:val="center"/>
              <w:ind w:right="104"/>
              <w:spacing w:after="0" w:line="125" w:lineRule="exact"/>
              <w:rPr>
                <w:sz w:val="20"/>
                <w:szCs w:val="20"/>
                <w:color w:val="auto"/>
              </w:rPr>
            </w:pPr>
            <w:r>
              <w:rPr>
                <w:rFonts w:ascii="Arial" w:cs="Arial" w:eastAsia="Arial" w:hAnsi="Arial"/>
                <w:sz w:val="14"/>
                <w:szCs w:val="14"/>
                <w:b w:val="1"/>
                <w:bCs w:val="1"/>
                <w:color w:val="auto"/>
                <w:w w:val="89"/>
              </w:rPr>
              <w:t>September 30,</w:t>
            </w: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2022</w:t>
            </w:r>
          </w:p>
        </w:tc>
      </w:tr>
      <w:tr>
        <w:trPr>
          <w:trHeight w:val="189"/>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center"/>
              <w:ind w:right="104"/>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885"/>
              <w:spacing w:after="0"/>
              <w:rPr>
                <w:sz w:val="20"/>
                <w:szCs w:val="20"/>
                <w:color w:val="auto"/>
              </w:rPr>
            </w:pPr>
            <w:r>
              <w:rPr>
                <w:rFonts w:ascii="Arial" w:cs="Arial" w:eastAsia="Arial" w:hAnsi="Arial"/>
                <w:sz w:val="16"/>
                <w:szCs w:val="16"/>
                <w:color w:val="auto"/>
                <w:w w:val="89"/>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884"/>
              <w:spacing w:after="0"/>
              <w:rPr>
                <w:sz w:val="20"/>
                <w:szCs w:val="20"/>
                <w:color w:val="auto"/>
              </w:rPr>
            </w:pPr>
            <w:r>
              <w:rPr>
                <w:rFonts w:ascii="Arial" w:cs="Arial" w:eastAsia="Arial" w:hAnsi="Arial"/>
                <w:sz w:val="16"/>
                <w:szCs w:val="16"/>
                <w:color w:val="auto"/>
                <w:w w:val="89"/>
              </w:rPr>
              <w:t>14</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1240" w:type="dxa"/>
            <w:vAlign w:val="bottom"/>
          </w:tcPr>
          <w:p>
            <w:pPr>
              <w:jc w:val="center"/>
              <w:ind w:left="885"/>
              <w:spacing w:after="0"/>
              <w:rPr>
                <w:sz w:val="20"/>
                <w:szCs w:val="20"/>
                <w:color w:val="auto"/>
              </w:rPr>
            </w:pPr>
            <w:r>
              <w:rPr>
                <w:rFonts w:ascii="Arial" w:cs="Arial" w:eastAsia="Arial" w:hAnsi="Arial"/>
                <w:sz w:val="16"/>
                <w:szCs w:val="16"/>
                <w:color w:val="auto"/>
                <w:w w:val="89"/>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left="884"/>
              <w:spacing w:after="0"/>
              <w:rPr>
                <w:sz w:val="20"/>
                <w:szCs w:val="20"/>
                <w:color w:val="auto"/>
              </w:rPr>
            </w:pPr>
            <w:r>
              <w:rPr>
                <w:rFonts w:ascii="Arial" w:cs="Arial" w:eastAsia="Arial" w:hAnsi="Arial"/>
                <w:sz w:val="16"/>
                <w:szCs w:val="16"/>
                <w:color w:val="auto"/>
                <w:w w:val="89"/>
              </w:rPr>
              <w:t>39</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85"/>
              <w:spacing w:after="0"/>
              <w:rPr>
                <w:sz w:val="20"/>
                <w:szCs w:val="20"/>
                <w:color w:val="auto"/>
              </w:rPr>
            </w:pPr>
            <w:r>
              <w:rPr>
                <w:rFonts w:ascii="Arial" w:cs="Arial" w:eastAsia="Arial" w:hAnsi="Arial"/>
                <w:sz w:val="16"/>
                <w:szCs w:val="16"/>
                <w:color w:val="auto"/>
                <w:w w:val="89"/>
              </w:rPr>
              <w:t>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84"/>
              <w:spacing w:after="0"/>
              <w:rPr>
                <w:sz w:val="20"/>
                <w:szCs w:val="20"/>
                <w:color w:val="auto"/>
              </w:rPr>
            </w:pPr>
            <w:r>
              <w:rPr>
                <w:rFonts w:ascii="Arial" w:cs="Arial" w:eastAsia="Arial" w:hAnsi="Arial"/>
                <w:sz w:val="16"/>
                <w:szCs w:val="16"/>
                <w:color w:val="auto"/>
                <w:w w:val="89"/>
              </w:rPr>
              <w:t>33</w:t>
            </w:r>
          </w:p>
        </w:tc>
      </w:tr>
      <w:tr>
        <w:trPr>
          <w:trHeight w:val="201"/>
        </w:trPr>
        <w:tc>
          <w:tcPr>
            <w:tcW w:w="8280" w:type="dxa"/>
            <w:vAlign w:val="bottom"/>
          </w:tcPr>
          <w:p>
            <w:pPr>
              <w:ind w:left="140"/>
              <w:spacing w:after="0"/>
              <w:rPr>
                <w:sz w:val="20"/>
                <w:szCs w:val="20"/>
                <w:color w:val="auto"/>
              </w:rPr>
            </w:pPr>
            <w:r>
              <w:rPr>
                <w:rFonts w:ascii="Arial" w:cs="Arial" w:eastAsia="Arial" w:hAnsi="Arial"/>
                <w:sz w:val="16"/>
                <w:szCs w:val="16"/>
                <w:color w:val="auto"/>
              </w:rPr>
              <w:t>Subtotal</w:t>
            </w:r>
          </w:p>
        </w:tc>
        <w:tc>
          <w:tcPr>
            <w:tcW w:w="180" w:type="dxa"/>
            <w:vAlign w:val="bottom"/>
          </w:tcPr>
          <w:p>
            <w:pPr>
              <w:spacing w:after="0"/>
              <w:rPr>
                <w:sz w:val="17"/>
                <w:szCs w:val="17"/>
                <w:color w:val="auto"/>
              </w:rPr>
            </w:pPr>
          </w:p>
        </w:tc>
        <w:tc>
          <w:tcPr>
            <w:tcW w:w="1240" w:type="dxa"/>
            <w:vAlign w:val="bottom"/>
          </w:tcPr>
          <w:p>
            <w:pPr>
              <w:jc w:val="center"/>
              <w:ind w:left="885"/>
              <w:spacing w:after="0"/>
              <w:rPr>
                <w:sz w:val="20"/>
                <w:szCs w:val="20"/>
                <w:color w:val="auto"/>
              </w:rPr>
            </w:pPr>
            <w:r>
              <w:rPr>
                <w:rFonts w:ascii="Arial" w:cs="Arial" w:eastAsia="Arial" w:hAnsi="Arial"/>
                <w:sz w:val="16"/>
                <w:szCs w:val="16"/>
                <w:color w:val="auto"/>
                <w:w w:val="89"/>
              </w:rPr>
              <w:t>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left="884"/>
              <w:spacing w:after="0"/>
              <w:rPr>
                <w:sz w:val="20"/>
                <w:szCs w:val="20"/>
                <w:color w:val="auto"/>
              </w:rPr>
            </w:pPr>
            <w:r>
              <w:rPr>
                <w:rFonts w:ascii="Arial" w:cs="Arial" w:eastAsia="Arial" w:hAnsi="Arial"/>
                <w:sz w:val="16"/>
                <w:szCs w:val="16"/>
                <w:color w:val="auto"/>
                <w:w w:val="89"/>
              </w:rPr>
              <w:t>86</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45"/>
              <w:spacing w:after="0"/>
              <w:rPr>
                <w:sz w:val="20"/>
                <w:szCs w:val="20"/>
                <w:color w:val="auto"/>
              </w:rPr>
            </w:pPr>
            <w:r>
              <w:rPr>
                <w:rFonts w:ascii="Arial" w:cs="Arial" w:eastAsia="Arial" w:hAnsi="Arial"/>
                <w:sz w:val="16"/>
                <w:szCs w:val="16"/>
                <w:color w:val="auto"/>
                <w:w w:val="98"/>
              </w:rPr>
              <w:t>(10)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64"/>
              <w:spacing w:after="0"/>
              <w:rPr>
                <w:sz w:val="20"/>
                <w:szCs w:val="20"/>
                <w:color w:val="auto"/>
              </w:rPr>
            </w:pPr>
            <w:r>
              <w:rPr>
                <w:rFonts w:ascii="Arial" w:cs="Arial" w:eastAsia="Arial" w:hAnsi="Arial"/>
                <w:sz w:val="16"/>
                <w:szCs w:val="16"/>
                <w:color w:val="auto"/>
                <w:w w:val="91"/>
              </w:rPr>
              <w:t>(13)</w:t>
            </w:r>
          </w:p>
        </w:tc>
      </w:tr>
      <w:tr>
        <w:trPr>
          <w:trHeight w:val="208"/>
        </w:trPr>
        <w:tc>
          <w:tcPr>
            <w:tcW w:w="828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center"/>
              <w:ind w:left="885"/>
              <w:spacing w:after="0"/>
              <w:rPr>
                <w:sz w:val="20"/>
                <w:szCs w:val="20"/>
                <w:color w:val="auto"/>
              </w:rPr>
            </w:pPr>
            <w:r>
              <w:rPr>
                <w:rFonts w:ascii="Arial" w:cs="Arial" w:eastAsia="Arial" w:hAnsi="Arial"/>
                <w:sz w:val="16"/>
                <w:szCs w:val="16"/>
                <w:color w:val="auto"/>
                <w:w w:val="89"/>
              </w:rPr>
              <w:t>67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center"/>
              <w:ind w:left="884"/>
              <w:spacing w:after="0"/>
              <w:rPr>
                <w:sz w:val="20"/>
                <w:szCs w:val="20"/>
                <w:color w:val="auto"/>
              </w:rPr>
            </w:pPr>
            <w:r>
              <w:rPr>
                <w:rFonts w:ascii="Arial" w:cs="Arial" w:eastAsia="Arial" w:hAnsi="Arial"/>
                <w:sz w:val="16"/>
                <w:szCs w:val="16"/>
                <w:color w:val="auto"/>
                <w:w w:val="89"/>
              </w:rPr>
              <w:t>73</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-2118360</wp:posOffset>
            </wp:positionV>
            <wp:extent cx="673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-987425</wp:posOffset>
            </wp:positionV>
            <wp:extent cx="673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540" w:firstLine="316"/>
        <w:spacing w:after="0" w:line="262" w:lineRule="auto"/>
        <w:rPr>
          <w:sz w:val="20"/>
          <w:szCs w:val="20"/>
          <w:color w:val="auto"/>
        </w:rPr>
      </w:pPr>
      <w:r>
        <w:rPr>
          <w:rFonts w:ascii="Arial" w:cs="Arial" w:eastAsia="Arial" w:hAnsi="Arial"/>
          <w:sz w:val="18"/>
          <w:szCs w:val="18"/>
          <w:color w:val="auto"/>
        </w:rPr>
        <w:t>Any shortfalls or excess windfall tax benefits and tax deficiencies for shortfalls related to the vesting and exercise of stock-based awards, which are recognized as a component of the Company’s Income tax expense, were not material for the periods presented.</w:t>
      </w:r>
    </w:p>
    <w:p>
      <w:pPr>
        <w:spacing w:after="0" w:line="208" w:lineRule="exact"/>
        <w:rPr>
          <w:sz w:val="20"/>
          <w:szCs w:val="20"/>
          <w:color w:val="auto"/>
        </w:rPr>
      </w:pPr>
    </w:p>
    <w:p>
      <w:pPr>
        <w:ind w:right="260" w:firstLine="316"/>
        <w:spacing w:after="0" w:line="253" w:lineRule="auto"/>
        <w:rPr>
          <w:sz w:val="20"/>
          <w:szCs w:val="20"/>
          <w:color w:val="auto"/>
        </w:rPr>
      </w:pPr>
      <w:r>
        <w:rPr>
          <w:rFonts w:ascii="Arial" w:cs="Arial" w:eastAsia="Arial" w:hAnsi="Arial"/>
          <w:sz w:val="18"/>
          <w:szCs w:val="18"/>
          <w:color w:val="auto"/>
        </w:rPr>
        <w:t>Compensation cost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September 29, 2023:</w:t>
      </w:r>
    </w:p>
    <w:tbl>
      <w:tblPr>
        <w:tblLayout w:type="fixed"/>
        <w:tblInd w:w="0" w:type="dxa"/>
        <w:tblCellMar>
          <w:top w:w="0" w:type="dxa"/>
          <w:left w:w="0" w:type="dxa"/>
          <w:bottom w:w="0" w:type="dxa"/>
          <w:right w:w="0" w:type="dxa"/>
        </w:tblCellMar>
      </w:tblPr>
      <w:tr>
        <w:trPr>
          <w:trHeight w:val="153"/>
        </w:trPr>
        <w:tc>
          <w:tcPr>
            <w:tcW w:w="14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24"/>
              <w:spacing w:after="0" w:line="153" w:lineRule="exact"/>
              <w:rPr>
                <w:sz w:val="20"/>
                <w:szCs w:val="20"/>
                <w:color w:val="auto"/>
              </w:rPr>
            </w:pPr>
            <w:r>
              <w:rPr>
                <w:rFonts w:ascii="Arial" w:cs="Arial" w:eastAsia="Arial" w:hAnsi="Arial"/>
                <w:sz w:val="14"/>
                <w:szCs w:val="14"/>
                <w:b w:val="1"/>
                <w:bCs w:val="1"/>
                <w:color w:val="auto"/>
                <w:w w:val="91"/>
              </w:rPr>
              <w:t>Unamortized</w:t>
            </w:r>
          </w:p>
        </w:tc>
        <w:tc>
          <w:tcPr>
            <w:tcW w:w="100" w:type="dxa"/>
            <w:vAlign w:val="bottom"/>
          </w:tcPr>
          <w:p>
            <w:pPr>
              <w:spacing w:after="0"/>
              <w:rPr>
                <w:sz w:val="13"/>
                <w:szCs w:val="13"/>
                <w:color w:val="auto"/>
              </w:rPr>
            </w:pP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r>
      <w:tr>
        <w:trPr>
          <w:trHeight w:val="189"/>
        </w:trPr>
        <w:tc>
          <w:tcPr>
            <w:tcW w:w="14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Compensation Costs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06"/>
        </w:trPr>
        <w:tc>
          <w:tcPr>
            <w:tcW w:w="14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right="24"/>
              <w:spacing w:after="0"/>
              <w:rPr>
                <w:sz w:val="20"/>
                <w:szCs w:val="20"/>
                <w:color w:val="auto"/>
              </w:rPr>
            </w:pPr>
            <w:r>
              <w:rPr>
                <w:rFonts w:ascii="Arial" w:cs="Arial" w:eastAsia="Arial" w:hAnsi="Arial"/>
                <w:sz w:val="16"/>
                <w:szCs w:val="16"/>
                <w:i w:val="1"/>
                <w:iCs w:val="1"/>
                <w:color w:val="auto"/>
                <w:w w:val="96"/>
              </w:rPr>
              <w:t>(in millions)</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i w:val="1"/>
                <w:iCs w:val="1"/>
                <w:color w:val="auto"/>
                <w:w w:val="88"/>
              </w:rPr>
              <w:t>(years)</w:t>
            </w:r>
          </w:p>
        </w:tc>
      </w:tr>
      <w:tr>
        <w:trPr>
          <w:trHeight w:val="214"/>
        </w:trPr>
        <w:tc>
          <w:tcPr>
            <w:tcW w:w="828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RSUs and PSUs </w:t>
            </w:r>
            <w:r>
              <w:rPr>
                <w:rFonts w:ascii="Arial" w:cs="Arial" w:eastAsia="Arial" w:hAnsi="Arial"/>
                <w:sz w:val="20"/>
                <w:szCs w:val="20"/>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540" w:type="dxa"/>
            <w:vAlign w:val="bottom"/>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89"/>
              </w:rPr>
              <w:t>2.8</w:t>
            </w:r>
          </w:p>
        </w:tc>
      </w:tr>
      <w:tr>
        <w:trPr>
          <w:trHeight w:val="208"/>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ESPP</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540" w:type="dxa"/>
            <w:vAlign w:val="bottom"/>
            <w:tcBorders>
              <w:bottom w:val="single" w:sz="8" w:color="CCEEFF"/>
            </w:tcBorders>
            <w:gridSpan w:val="2"/>
          </w:tcPr>
          <w:p>
            <w:pPr>
              <w:jc w:val="center"/>
              <w:ind w:left="21"/>
              <w:spacing w:after="0"/>
              <w:rPr>
                <w:sz w:val="20"/>
                <w:szCs w:val="20"/>
                <w:color w:val="auto"/>
              </w:rPr>
            </w:pPr>
            <w:r>
              <w:rPr>
                <w:rFonts w:ascii="Arial" w:cs="Arial" w:eastAsia="Arial" w:hAnsi="Arial"/>
                <w:sz w:val="16"/>
                <w:szCs w:val="16"/>
                <w:color w:val="auto"/>
                <w:w w:val="89"/>
              </w:rPr>
              <w:t>1.2</w:t>
            </w:r>
          </w:p>
        </w:tc>
      </w:tr>
      <w:tr>
        <w:trPr>
          <w:trHeight w:val="233"/>
        </w:trPr>
        <w:tc>
          <w:tcPr>
            <w:tcW w:w="82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Total unamortized compensation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91"/>
        </w:trPr>
        <w:tc>
          <w:tcPr>
            <w:tcW w:w="1480" w:type="dxa"/>
            <w:vAlign w:val="bottom"/>
            <w:tcBorders>
              <w:bottom w:val="single" w:sz="8" w:color="auto"/>
            </w:tcBorders>
          </w:tcPr>
          <w:p>
            <w:pPr>
              <w:spacing w:after="0"/>
              <w:rPr>
                <w:sz w:val="7"/>
                <w:szCs w:val="7"/>
                <w:color w:val="auto"/>
              </w:rPr>
            </w:pPr>
          </w:p>
        </w:tc>
        <w:tc>
          <w:tcPr>
            <w:tcW w:w="6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r>
    </w:tbl>
    <w:p>
      <w:pPr>
        <w:spacing w:after="0" w:line="78" w:lineRule="exact"/>
        <w:rPr>
          <w:sz w:val="20"/>
          <w:szCs w:val="20"/>
          <w:color w:val="auto"/>
        </w:rPr>
      </w:pPr>
    </w:p>
    <w:p>
      <w:pPr>
        <w:ind w:left="260" w:hanging="254"/>
        <w:spacing w:after="0"/>
        <w:tabs>
          <w:tab w:leader="none" w:pos="2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Weighted average service period assumes the performance conditions are met for the PSUs.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6"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60" w:right="270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Options</w:t>
      </w:r>
    </w:p>
    <w:p>
      <w:pPr>
        <w:spacing w:after="0" w:line="241" w:lineRule="exact"/>
        <w:rPr>
          <w:sz w:val="20"/>
          <w:szCs w:val="20"/>
          <w:color w:val="auto"/>
        </w:rPr>
      </w:pPr>
    </w:p>
    <w:p>
      <w:pPr>
        <w:ind w:right="740" w:firstLine="316"/>
        <w:spacing w:after="0" w:line="261" w:lineRule="auto"/>
        <w:rPr>
          <w:sz w:val="20"/>
          <w:szCs w:val="20"/>
          <w:color w:val="auto"/>
        </w:rPr>
      </w:pPr>
      <w:r>
        <w:rPr>
          <w:rFonts w:ascii="Arial" w:cs="Arial" w:eastAsia="Arial" w:hAnsi="Arial"/>
          <w:sz w:val="18"/>
          <w:szCs w:val="18"/>
          <w:color w:val="auto"/>
        </w:rPr>
        <w:t>The following table summarizes stock option activity under the Company’s incentive plans. As of September 29, 2023, there were no remaining outstanding options.</w:t>
      </w:r>
    </w:p>
    <w:tbl>
      <w:tblPr>
        <w:tblLayout w:type="fixed"/>
        <w:tblInd w:w="0" w:type="dxa"/>
        <w:tblCellMar>
          <w:top w:w="0" w:type="dxa"/>
          <w:left w:w="0" w:type="dxa"/>
          <w:bottom w:w="0" w:type="dxa"/>
          <w:right w:w="0" w:type="dxa"/>
        </w:tblCellMar>
      </w:tblPr>
      <w:tr>
        <w:trPr>
          <w:trHeight w:val="146"/>
        </w:trPr>
        <w:tc>
          <w:tcPr>
            <w:tcW w:w="6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14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1"/>
        </w:trPr>
        <w:tc>
          <w:tcPr>
            <w:tcW w:w="6720" w:type="dxa"/>
            <w:vAlign w:val="bottom"/>
          </w:tcPr>
          <w:p>
            <w:pPr>
              <w:spacing w:after="0"/>
              <w:rPr>
                <w:sz w:val="12"/>
                <w:szCs w:val="12"/>
                <w:color w:val="auto"/>
              </w:rPr>
            </w:pPr>
          </w:p>
        </w:tc>
        <w:tc>
          <w:tcPr>
            <w:tcW w:w="14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Exercise Price Per</w:t>
            </w:r>
          </w:p>
        </w:tc>
        <w:tc>
          <w:tcPr>
            <w:tcW w:w="14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89"/>
        </w:trPr>
        <w:tc>
          <w:tcPr>
            <w:tcW w:w="6720" w:type="dxa"/>
            <w:vAlign w:val="bottom"/>
          </w:tcPr>
          <w:p>
            <w:pPr>
              <w:spacing w:after="0"/>
              <w:rPr>
                <w:sz w:val="16"/>
                <w:szCs w:val="16"/>
                <w:color w:val="auto"/>
              </w:rPr>
            </w:pPr>
          </w:p>
        </w:tc>
        <w:tc>
          <w:tcPr>
            <w:tcW w:w="1420" w:type="dxa"/>
            <w:vAlign w:val="bottom"/>
            <w:tcBorders>
              <w:top w:val="single" w:sz="8" w:color="auto"/>
            </w:tcBorders>
          </w:tcPr>
          <w:p>
            <w:pPr>
              <w:jc w:val="right"/>
              <w:ind w:right="284"/>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(in years)</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Options outstanding at June 30, 2023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44.95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0.10</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Canceled or 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5"/>
              <w:spacing w:after="0"/>
              <w:rPr>
                <w:sz w:val="20"/>
                <w:szCs w:val="20"/>
                <w:color w:val="auto"/>
              </w:rPr>
            </w:pPr>
            <w:r>
              <w:rPr>
                <w:rFonts w:ascii="Arial" w:cs="Arial" w:eastAsia="Arial" w:hAnsi="Arial"/>
                <w:sz w:val="16"/>
                <w:szCs w:val="16"/>
                <w:color w:val="auto"/>
              </w:rPr>
              <w:t>44.95</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September 29,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RSUs and PSUs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4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4"/>
                <w:szCs w:val="14"/>
                <w:color w:val="auto"/>
              </w:rPr>
            </w:pPr>
          </w:p>
        </w:tc>
        <w:tc>
          <w:tcPr>
            <w:tcW w:w="1300" w:type="dxa"/>
            <w:vAlign w:val="bottom"/>
          </w:tcPr>
          <w:p>
            <w:pPr>
              <w:jc w:val="center"/>
              <w:ind w:right="4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Grant Date Fair Value</w:t>
            </w:r>
          </w:p>
        </w:tc>
        <w:tc>
          <w:tcPr>
            <w:tcW w:w="120" w:type="dxa"/>
            <w:vAlign w:val="bottom"/>
          </w:tcPr>
          <w:p>
            <w:pPr>
              <w:spacing w:after="0"/>
              <w:rPr>
                <w:sz w:val="16"/>
                <w:szCs w:val="16"/>
                <w:color w:val="auto"/>
              </w:rPr>
            </w:pPr>
          </w:p>
        </w:tc>
        <w:tc>
          <w:tcPr>
            <w:tcW w:w="1300" w:type="dxa"/>
            <w:vAlign w:val="bottom"/>
          </w:tcPr>
          <w:p>
            <w:pPr>
              <w:jc w:val="center"/>
              <w:ind w:right="47"/>
              <w:spacing w:after="0"/>
              <w:rPr>
                <w:sz w:val="20"/>
                <w:szCs w:val="20"/>
                <w:color w:val="auto"/>
              </w:rPr>
            </w:pPr>
            <w:r>
              <w:rPr>
                <w:rFonts w:ascii="Arial" w:cs="Arial" w:eastAsia="Arial" w:hAnsi="Arial"/>
                <w:sz w:val="14"/>
                <w:szCs w:val="14"/>
                <w:b w:val="1"/>
                <w:bCs w:val="1"/>
                <w:color w:val="auto"/>
                <w:w w:val="90"/>
              </w:rPr>
              <w:t>Value at Vest Date</w:t>
            </w:r>
          </w:p>
        </w:tc>
        <w:tc>
          <w:tcPr>
            <w:tcW w:w="0" w:type="dxa"/>
            <w:vAlign w:val="bottom"/>
          </w:tcPr>
          <w:p>
            <w:pPr>
              <w:spacing w:after="0"/>
              <w:rPr>
                <w:sz w:val="1"/>
                <w:szCs w:val="1"/>
                <w:color w:val="auto"/>
              </w:rPr>
            </w:pPr>
          </w:p>
        </w:tc>
      </w:tr>
      <w:tr>
        <w:trPr>
          <w:trHeight w:val="189"/>
        </w:trPr>
        <w:tc>
          <w:tcPr>
            <w:tcW w:w="6720" w:type="dxa"/>
            <w:vAlign w:val="bottom"/>
          </w:tcPr>
          <w:p>
            <w:pPr>
              <w:spacing w:after="0"/>
              <w:rPr>
                <w:sz w:val="16"/>
                <w:szCs w:val="16"/>
                <w:color w:val="auto"/>
              </w:rPr>
            </w:pPr>
          </w:p>
        </w:tc>
        <w:tc>
          <w:tcPr>
            <w:tcW w:w="1420" w:type="dxa"/>
            <w:vAlign w:val="bottom"/>
            <w:tcBorders>
              <w:top w:val="single" w:sz="8" w:color="auto"/>
            </w:tcBorders>
          </w:tcPr>
          <w:p>
            <w:pPr>
              <w:jc w:val="right"/>
              <w:ind w:right="283"/>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47"/>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 outstanding at June 30, 2023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7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37.87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46.86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RSUs and PSUs outstanding at September 29,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43.85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34" w:lineRule="exact"/>
        <w:rPr>
          <w:sz w:val="20"/>
          <w:szCs w:val="20"/>
          <w:color w:val="auto"/>
        </w:rPr>
      </w:pPr>
    </w:p>
    <w:p>
      <w:pPr>
        <w:ind w:right="20" w:firstLine="316"/>
        <w:spacing w:after="0" w:line="266" w:lineRule="auto"/>
        <w:rPr>
          <w:sz w:val="20"/>
          <w:szCs w:val="20"/>
          <w:color w:val="auto"/>
        </w:rPr>
      </w:pPr>
      <w:r>
        <w:rPr>
          <w:rFonts w:ascii="Arial" w:cs="Arial" w:eastAsia="Arial" w:hAnsi="Arial"/>
          <w:sz w:val="16"/>
          <w:szCs w:val="16"/>
          <w:color w:val="auto"/>
        </w:rPr>
        <w:t>On January 31, 2023, the Board of Directors of the Company authorized the designation of 900,000 shares of Series A Convertible Perpetual Preferred Stock, par value $0.01 per share (the “Preferred Shares”), from the Company’s existing five million authorized but unissued shares of preferred stock and issued the Preferred Shares through a private placement for an aggregate purchase price of $900 million, less issuance costs of $24 million. The Preferred Shares accrue a cumulative preferred dividend at an annual rate of 6.25% per annum (increasing to 7.25% per annum on January 31, 2030 and to 8.25% per annum on January 31, 2033) compounded on a quarterly basis. The Preferred Shares also participate in any dividends declared for common shareholders on an as-converted equivalent basis. No dividends have been declared or paid since the issuance of the Preferred Shares. As of September 29, 2023 and June 30, 2023, unpaid and cumulative dividends payable with respect to the Preferred Shares were $39 million and $24 million, respectively.</w:t>
      </w:r>
    </w:p>
    <w:p>
      <w:pPr>
        <w:spacing w:after="0" w:line="208" w:lineRule="exact"/>
        <w:rPr>
          <w:sz w:val="20"/>
          <w:szCs w:val="20"/>
          <w:color w:val="auto"/>
        </w:rPr>
      </w:pPr>
    </w:p>
    <w:p>
      <w:pPr>
        <w:ind w:right="460" w:firstLine="316"/>
        <w:spacing w:after="0" w:line="253" w:lineRule="auto"/>
        <w:rPr>
          <w:sz w:val="20"/>
          <w:szCs w:val="20"/>
          <w:color w:val="auto"/>
        </w:rPr>
      </w:pPr>
      <w:r>
        <w:rPr>
          <w:rFonts w:ascii="Arial" w:cs="Arial" w:eastAsia="Arial" w:hAnsi="Arial"/>
          <w:sz w:val="18"/>
          <w:szCs w:val="18"/>
          <w:color w:val="auto"/>
        </w:rPr>
        <w:t>The Preferred Shares outstanding would have been convertible, if otherwise permitted, into approximately 20 million shares of common stock on September 29, 2023 and June 30, 2023 and as of September 29, 2023 and June 30, 2023, the total aggregate liquidation preference was $939 million and $924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 Expense</w:t>
      </w:r>
    </w:p>
    <w:p>
      <w:pPr>
        <w:spacing w:after="0" w:line="247" w:lineRule="exact"/>
        <w:rPr>
          <w:sz w:val="20"/>
          <w:szCs w:val="20"/>
          <w:color w:val="auto"/>
        </w:rPr>
      </w:pPr>
    </w:p>
    <w:p>
      <w:pPr>
        <w:ind w:right="100" w:firstLine="316"/>
        <w:spacing w:after="0" w:line="285" w:lineRule="auto"/>
        <w:rPr>
          <w:sz w:val="20"/>
          <w:szCs w:val="20"/>
          <w:color w:val="auto"/>
        </w:rPr>
      </w:pPr>
      <w:r>
        <w:rPr>
          <w:rFonts w:ascii="Arial" w:cs="Arial" w:eastAsia="Arial" w:hAnsi="Arial"/>
          <w:sz w:val="16"/>
          <w:szCs w:val="16"/>
          <w:color w:val="auto"/>
        </w:rPr>
        <w:t>The Tax Cuts and Jobs Act (the “2017 Act”), enacted on December 22, 2017, includes a broad range of tax reform proposals affecting businesses. The Company completed its accounting for the tax effects of the enactment of the 2017 Act during the second quarter of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179" w:lineRule="exact"/>
        <w:rPr>
          <w:sz w:val="20"/>
          <w:szCs w:val="20"/>
          <w:color w:val="auto"/>
        </w:rPr>
      </w:pPr>
    </w:p>
    <w:p>
      <w:pPr>
        <w:ind w:right="20" w:firstLine="316"/>
        <w:spacing w:after="0" w:line="235" w:lineRule="auto"/>
        <w:rPr>
          <w:sz w:val="20"/>
          <w:szCs w:val="20"/>
          <w:color w:val="auto"/>
        </w:rPr>
      </w:pPr>
      <w:r>
        <w:rPr>
          <w:rFonts w:ascii="Arial" w:cs="Arial" w:eastAsia="Arial" w:hAnsi="Arial"/>
          <w:sz w:val="18"/>
          <w:szCs w:val="18"/>
          <w:color w:val="auto"/>
        </w:rPr>
        <w:t>On August 16, 2022, President Biden signed into law the Inflation Reduction Act of 2022, which contained significant law changes related to tax, climate, energy, and health care. The tax measures include, among other things, a corporate alternative minimum tax (“CAMT”) of 15% on corporations with three-year average annual adjusted financial statement income (“AFSI”) exceeding $1.0 billion. The corporate alternative minimum tax is effective for the Company beginning with fiscal year 2024. The Company is not subject to the CAMT of 15% for fiscal year 2024 as its average annual AFSI did not exceed $1.0 billion for the preceding three-year period.</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gridSpan w:val="3"/>
          </w:tcPr>
          <w:p>
            <w:pPr>
              <w:ind w:left="740"/>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5"/>
        </w:trPr>
        <w:tc>
          <w:tcPr>
            <w:tcW w:w="8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jc w:val="center"/>
              <w:ind w:right="206"/>
              <w:spacing w:after="0" w:line="125" w:lineRule="exact"/>
              <w:rPr>
                <w:sz w:val="20"/>
                <w:szCs w:val="20"/>
                <w:color w:val="auto"/>
              </w:rPr>
            </w:pPr>
            <w:r>
              <w:rPr>
                <w:rFonts w:ascii="Arial" w:cs="Arial" w:eastAsia="Arial" w:hAnsi="Arial"/>
                <w:sz w:val="14"/>
                <w:szCs w:val="14"/>
                <w:b w:val="1"/>
                <w:bCs w:val="1"/>
                <w:color w:val="auto"/>
                <w:w w:val="89"/>
              </w:rPr>
              <w:t>September 29,</w:t>
            </w:r>
          </w:p>
        </w:tc>
        <w:tc>
          <w:tcPr>
            <w:tcW w:w="260" w:type="dxa"/>
            <w:vAlign w:val="bottom"/>
          </w:tcPr>
          <w:p>
            <w:pPr>
              <w:spacing w:after="0"/>
              <w:rPr>
                <w:sz w:val="10"/>
                <w:szCs w:val="10"/>
                <w:color w:val="auto"/>
              </w:rPr>
            </w:pPr>
          </w:p>
        </w:tc>
        <w:tc>
          <w:tcPr>
            <w:tcW w:w="1340" w:type="dxa"/>
            <w:vAlign w:val="bottom"/>
          </w:tcPr>
          <w:p>
            <w:pPr>
              <w:jc w:val="center"/>
              <w:ind w:right="124"/>
              <w:spacing w:after="0" w:line="125" w:lineRule="exact"/>
              <w:rPr>
                <w:sz w:val="20"/>
                <w:szCs w:val="20"/>
                <w:color w:val="auto"/>
              </w:rPr>
            </w:pPr>
            <w:r>
              <w:rPr>
                <w:rFonts w:ascii="Arial" w:cs="Arial" w:eastAsia="Arial" w:hAnsi="Arial"/>
                <w:sz w:val="14"/>
                <w:szCs w:val="14"/>
                <w:b w:val="1"/>
                <w:bCs w:val="1"/>
                <w:color w:val="auto"/>
                <w:w w:val="89"/>
              </w:rPr>
              <w:t>September 30,</w:t>
            </w:r>
          </w:p>
        </w:tc>
      </w:tr>
      <w:tr>
        <w:trPr>
          <w:trHeight w:val="191"/>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r>
      <w:tr>
        <w:trPr>
          <w:trHeight w:val="189"/>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3"/>
          </w:tcPr>
          <w:p>
            <w:pPr>
              <w:ind w:left="980"/>
              <w:spacing w:after="0"/>
              <w:rPr>
                <w:sz w:val="20"/>
                <w:szCs w:val="20"/>
                <w:color w:val="auto"/>
              </w:rPr>
            </w:pPr>
            <w:r>
              <w:rPr>
                <w:rFonts w:ascii="Arial" w:cs="Arial" w:eastAsia="Arial" w:hAnsi="Arial"/>
                <w:sz w:val="14"/>
                <w:szCs w:val="14"/>
                <w:i w:val="1"/>
                <w:iCs w:val="1"/>
                <w:color w:val="auto"/>
              </w:rPr>
              <w:t>($ in millions)</w:t>
            </w: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(682)</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84</w:t>
            </w:r>
          </w:p>
        </w:tc>
      </w:tr>
      <w:tr>
        <w:trPr>
          <w:trHeight w:val="208"/>
        </w:trPr>
        <w:tc>
          <w:tcPr>
            <w:tcW w:w="80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8"/>
                <w:szCs w:val="18"/>
                <w:color w:val="auto"/>
              </w:rPr>
            </w:pPr>
          </w:p>
        </w:tc>
        <w:tc>
          <w:tcPr>
            <w:tcW w:w="1380" w:type="dxa"/>
            <w:vAlign w:val="bottom"/>
          </w:tcPr>
          <w:p>
            <w:pPr>
              <w:jc w:val="right"/>
              <w:ind w:right="186"/>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1340" w:type="dxa"/>
            <w:vAlign w:val="bottom"/>
          </w:tcPr>
          <w:p>
            <w:pPr>
              <w:ind w:left="980"/>
              <w:spacing w:after="0"/>
              <w:rPr>
                <w:sz w:val="20"/>
                <w:szCs w:val="20"/>
                <w:color w:val="auto"/>
              </w:rPr>
            </w:pPr>
            <w:r>
              <w:rPr>
                <w:rFonts w:ascii="Arial" w:cs="Arial" w:eastAsia="Arial" w:hAnsi="Arial"/>
                <w:sz w:val="16"/>
                <w:szCs w:val="16"/>
                <w:color w:val="auto"/>
              </w:rPr>
              <w:t>57</w:t>
            </w:r>
          </w:p>
        </w:tc>
      </w:tr>
      <w:tr>
        <w:trPr>
          <w:trHeight w:val="214"/>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ind w:left="980"/>
              <w:spacing w:after="0"/>
              <w:rPr>
                <w:sz w:val="20"/>
                <w:szCs w:val="20"/>
                <w:color w:val="auto"/>
              </w:rPr>
            </w:pPr>
            <w:r>
              <w:rPr>
                <w:rFonts w:ascii="Arial" w:cs="Arial" w:eastAsia="Arial" w:hAnsi="Arial"/>
                <w:sz w:val="16"/>
                <w:szCs w:val="16"/>
                <w:color w:val="auto"/>
                <w:w w:val="93"/>
              </w:rPr>
              <w:t>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6083935</wp:posOffset>
            </wp:positionH>
            <wp:positionV relativeFrom="paragraph">
              <wp:posOffset>-535305</wp:posOffset>
            </wp:positionV>
            <wp:extent cx="67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1" w:lineRule="exact"/>
        <w:rPr>
          <w:sz w:val="20"/>
          <w:szCs w:val="20"/>
          <w:color w:val="auto"/>
        </w:rPr>
      </w:pPr>
    </w:p>
    <w:p>
      <w:pPr>
        <w:ind w:right="80" w:firstLine="316"/>
        <w:spacing w:after="0" w:line="238" w:lineRule="auto"/>
        <w:rPr>
          <w:sz w:val="20"/>
          <w:szCs w:val="20"/>
          <w:color w:val="auto"/>
        </w:rPr>
      </w:pPr>
      <w:r>
        <w:rPr>
          <w:rFonts w:ascii="Arial" w:cs="Arial" w:eastAsia="Arial" w:hAnsi="Arial"/>
          <w:sz w:val="18"/>
          <w:szCs w:val="18"/>
          <w:color w:val="auto"/>
        </w:rPr>
        <w:t>Beginning in 2023, the 2017 Act requires the Company to capitalize and amortize R&amp;D expenses rather than expensing them in the year incurred. The tax effects related to the capitalization of R&amp;D expenses are included in the effective tax rate for the three months ended September 29, 2023, but did not have a material impact on the Company’s effective tax rate.</w:t>
      </w:r>
    </w:p>
    <w:p>
      <w:pPr>
        <w:spacing w:after="0" w:line="215" w:lineRule="exact"/>
        <w:rPr>
          <w:sz w:val="20"/>
          <w:szCs w:val="20"/>
          <w:color w:val="auto"/>
        </w:rPr>
      </w:pPr>
    </w:p>
    <w:p>
      <w:pPr>
        <w:ind w:right="140" w:firstLine="316"/>
        <w:spacing w:after="0" w:line="270" w:lineRule="auto"/>
        <w:rPr>
          <w:sz w:val="20"/>
          <w:szCs w:val="20"/>
          <w:color w:val="auto"/>
        </w:rPr>
      </w:pPr>
      <w:r>
        <w:rPr>
          <w:rFonts w:ascii="Arial" w:cs="Arial" w:eastAsia="Arial" w:hAnsi="Arial"/>
          <w:sz w:val="16"/>
          <w:szCs w:val="16"/>
          <w:color w:val="auto"/>
        </w:rPr>
        <w:t>The primary drivers of the difference between the effective tax rate for the three months ended September 29, 2023 and the U.S. Federal statutory rate of 21% are the relative mix of earnings and losses by jurisdiction, the deduction for foreign-derived intangible income, credits, and tax holidays in Malaysia, the Philippines and Thailand that will expire at various dates during years 2024 through 2031. In addition, the effective tax rate for the three months ended September 29, 2023 includes the discrete effect of a net decrease of $30 million to the liability for unrecognized tax benefits, which includes interest and offsetting tax benefits, as a result of adjustments to align with IRS calculations.</w:t>
      </w:r>
    </w:p>
    <w:p>
      <w:pPr>
        <w:spacing w:after="0" w:line="205"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The primary drivers of the difference between the effective tax rate for three months ended September 30, 2022 and the U.S. Federal statutory rate of 21% are the relative mix of earnings and losses by jurisdiction, the deduction for foreign-derived intangible income, credits, and tax holidays in Malaysia, the Philippines and Thailand.</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Uncertain Tax Positions</w:t>
      </w:r>
    </w:p>
    <w:p>
      <w:pPr>
        <w:spacing w:after="0" w:line="241" w:lineRule="exact"/>
        <w:rPr>
          <w:sz w:val="20"/>
          <w:szCs w:val="20"/>
          <w:color w:val="auto"/>
        </w:rPr>
      </w:pPr>
    </w:p>
    <w:p>
      <w:pPr>
        <w:ind w:right="340" w:firstLine="316"/>
        <w:spacing w:after="0" w:line="262" w:lineRule="auto"/>
        <w:rPr>
          <w:sz w:val="20"/>
          <w:szCs w:val="20"/>
          <w:color w:val="auto"/>
        </w:rPr>
      </w:pPr>
      <w:r>
        <w:rPr>
          <w:rFonts w:ascii="Arial" w:cs="Arial" w:eastAsia="Arial" w:hAnsi="Arial"/>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80" w:firstLine="316"/>
        <w:spacing w:after="0" w:line="262" w:lineRule="auto"/>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 for the three months ended September 29, 2023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June 30, 2023</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r>
      <w:tr>
        <w:trPr>
          <w:trHeight w:val="214"/>
        </w:trPr>
        <w:tc>
          <w:tcPr>
            <w:tcW w:w="9700" w:type="dxa"/>
            <w:vAlign w:val="bottom"/>
          </w:tcPr>
          <w:p>
            <w:pPr>
              <w:ind w:left="220"/>
              <w:spacing w:after="0"/>
              <w:rPr>
                <w:sz w:val="20"/>
                <w:szCs w:val="20"/>
                <w:color w:val="auto"/>
              </w:rPr>
            </w:pPr>
            <w:r>
              <w:rPr>
                <w:rFonts w:ascii="Arial" w:cs="Arial" w:eastAsia="Arial" w:hAnsi="Arial"/>
                <w:sz w:val="16"/>
                <w:szCs w:val="16"/>
                <w:color w:val="auto"/>
              </w:rPr>
              <w:t>Gross increases related to current year tax positions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9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increases related to prior year tax positions</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4"/>
        </w:trPr>
        <w:tc>
          <w:tcPr>
            <w:tcW w:w="9700" w:type="dxa"/>
            <w:vAlign w:val="bottom"/>
          </w:tcPr>
          <w:p>
            <w:pPr>
              <w:ind w:left="220"/>
              <w:spacing w:after="0"/>
              <w:rPr>
                <w:sz w:val="20"/>
                <w:szCs w:val="20"/>
                <w:color w:val="auto"/>
              </w:rPr>
            </w:pPr>
            <w:r>
              <w:rPr>
                <w:rFonts w:ascii="Arial" w:cs="Arial" w:eastAsia="Arial" w:hAnsi="Arial"/>
                <w:sz w:val="16"/>
                <w:szCs w:val="16"/>
                <w:color w:val="auto"/>
              </w:rPr>
              <w:t>Gross decreases related to prior year tax positions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4"/>
        </w:trPr>
        <w:tc>
          <w:tcPr>
            <w:tcW w:w="9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17"/>
        </w:trPr>
        <w:tc>
          <w:tcPr>
            <w:tcW w:w="9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Lapse of statute of limitations</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42"/>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Accrual balance at September 29, 2023</w:t>
            </w: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00" w:firstLine="316"/>
        <w:spacing w:after="0" w:line="258" w:lineRule="auto"/>
        <w:rPr>
          <w:sz w:val="20"/>
          <w:szCs w:val="20"/>
          <w:color w:val="auto"/>
        </w:rPr>
      </w:pPr>
      <w:r>
        <w:rPr>
          <w:rFonts w:ascii="Arial" w:cs="Arial" w:eastAsia="Arial" w:hAnsi="Arial"/>
          <w:sz w:val="16"/>
          <w:szCs w:val="16"/>
          <w:color w:val="auto"/>
        </w:rPr>
        <w:t>In addition to the amounts noted above,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September 29, 2023 were $157 million. Of the aggregate unrecognized tax benefits, including interest and penalties, as of September 29, 2023, approximately $663 million could result in potential cash payments and the Company believes it is reasonably likely that payments of approximately</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$183 million may be made within the next twelve months and has classified that portion of these unrecognized tax benefits, including interest, in Income taxes payable on the Consolidated Balance Sheets as of September 29, 2023. The remaining payables related to unrecognized tax benefits are included in Other liabilities on the Condensed Consolidated Balance Sheets as of September 29, 2023.</w:t>
      </w:r>
    </w:p>
    <w:p>
      <w:pPr>
        <w:spacing w:after="0" w:line="227" w:lineRule="exact"/>
        <w:rPr>
          <w:sz w:val="20"/>
          <w:szCs w:val="20"/>
          <w:color w:val="auto"/>
        </w:rPr>
      </w:pPr>
    </w:p>
    <w:p>
      <w:pPr>
        <w:ind w:right="240" w:firstLine="316"/>
        <w:spacing w:after="0" w:line="299" w:lineRule="auto"/>
        <w:rPr>
          <w:sz w:val="20"/>
          <w:szCs w:val="20"/>
          <w:color w:val="auto"/>
        </w:rPr>
      </w:pPr>
      <w:r>
        <w:rPr>
          <w:rFonts w:ascii="Arial" w:cs="Arial" w:eastAsia="Arial" w:hAnsi="Arial"/>
          <w:sz w:val="15"/>
          <w:szCs w:val="15"/>
          <w:color w:val="auto"/>
        </w:rPr>
        <w:t>The Company reached a final agreement with the IRS regarding notices of deficiency with respect to years 2008 through 2012 and tentatively reached a basis for resolving the notices of proposed adjustments with respect to years 2013 through 2015. As of September 29, 2023, the Company has recognized a liability for tax and interest of $183 million related to all years from 2008 through 2015. The change in this liability from the prior quarter liability of</w:t>
      </w:r>
    </w:p>
    <w:p>
      <w:pPr>
        <w:ind w:right="180"/>
        <w:spacing w:after="0" w:line="310" w:lineRule="auto"/>
        <w:rPr>
          <w:sz w:val="20"/>
          <w:szCs w:val="20"/>
          <w:color w:val="auto"/>
        </w:rPr>
      </w:pPr>
      <w:r>
        <w:rPr>
          <w:rFonts w:ascii="Arial" w:cs="Arial" w:eastAsia="Arial" w:hAnsi="Arial"/>
          <w:sz w:val="16"/>
          <w:szCs w:val="16"/>
          <w:color w:val="auto"/>
        </w:rPr>
        <w:t>$753 million was the result of a payment of $363 million for tax and $160 million for interest with respect to years 2008 through 2012 as well as adjustments to align with IRS calculations. The Company expects to pay any remaining balance with respect to this matter within the next twelve months.</w:t>
      </w:r>
    </w:p>
    <w:p>
      <w:pPr>
        <w:spacing w:after="0" w:line="173" w:lineRule="exact"/>
        <w:rPr>
          <w:sz w:val="20"/>
          <w:szCs w:val="20"/>
          <w:color w:val="auto"/>
        </w:rPr>
      </w:pPr>
    </w:p>
    <w:p>
      <w:pPr>
        <w:ind w:right="400" w:firstLine="316"/>
        <w:spacing w:after="0" w:line="300" w:lineRule="auto"/>
        <w:rPr>
          <w:sz w:val="20"/>
          <w:szCs w:val="20"/>
          <w:color w:val="auto"/>
        </w:rPr>
      </w:pPr>
      <w:r>
        <w:rPr>
          <w:rFonts w:ascii="Arial" w:cs="Arial" w:eastAsia="Arial" w:hAnsi="Arial"/>
          <w:sz w:val="16"/>
          <w:szCs w:val="16"/>
          <w:color w:val="auto"/>
        </w:rPr>
        <w:t>In connection with settlements for the years 2008 through 2015, the Company expects to realize reductions to its mandatory deemed repatriation tax obligations and tax savings from interest deductions in future years aggregating to approximately $168 million. Of this amount, $34 million of the interest savings from the interest paid with respect to years 2008 through 2012 is classified as a deferred tax asset due to interest expense limitation rules.</w:t>
      </w:r>
    </w:p>
    <w:p>
      <w:pPr>
        <w:spacing w:after="0" w:line="18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September 29, 2023, with the exception of the IRS matter discussed above,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Net Income (Loss) Per Common Share</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1"/>
                <w:szCs w:val="11"/>
                <w:color w:val="auto"/>
              </w:rPr>
            </w:pPr>
          </w:p>
        </w:tc>
        <w:tc>
          <w:tcPr>
            <w:tcW w:w="1240" w:type="dxa"/>
            <w:vAlign w:val="bottom"/>
          </w:tcPr>
          <w:p>
            <w:pPr>
              <w:jc w:val="right"/>
              <w:ind w:right="202"/>
              <w:spacing w:after="0" w:line="129" w:lineRule="exact"/>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422"/>
              <w:spacing w:after="0"/>
              <w:rPr>
                <w:sz w:val="20"/>
                <w:szCs w:val="20"/>
                <w:color w:val="auto"/>
              </w:rPr>
            </w:pPr>
            <w:r>
              <w:rPr>
                <w:rFonts w:ascii="Arial" w:cs="Arial" w:eastAsia="Arial" w:hAnsi="Arial"/>
                <w:sz w:val="14"/>
                <w:szCs w:val="14"/>
                <w:i w:val="1"/>
                <w:iCs w:val="1"/>
                <w:color w:val="auto"/>
              </w:rPr>
              <w:t>(in millions, except per share data)</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Less: cumulative dividends on Preferred Stock</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Net income (loss) attributable to common shareholders</w:t>
            </w:r>
          </w:p>
        </w:tc>
        <w:tc>
          <w:tcPr>
            <w:tcW w:w="180" w:type="dxa"/>
            <w:vAlign w:val="bottom"/>
            <w:tcBorders>
              <w:bottom w:val="single" w:sz="8" w:color="auto"/>
            </w:tcBorders>
            <w:shd w:val="clear" w:color="auto" w:fill="CCEEFF"/>
          </w:tcPr>
          <w:p>
            <w:pPr>
              <w:jc w:val="right"/>
              <w:ind w:right="1"/>
              <w:spacing w:after="0" w:line="181"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1"/>
              <w:spacing w:after="0" w:line="181"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Employee stock options, RSUs, PSUs, and ESPP</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3"/>
        </w:trPr>
        <w:tc>
          <w:tcPr>
            <w:tcW w:w="8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potential common shares excluded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-1640840</wp:posOffset>
            </wp:positionV>
            <wp:extent cx="673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180" w:firstLine="316"/>
        <w:spacing w:after="0" w:line="231" w:lineRule="auto"/>
        <w:rPr>
          <w:sz w:val="20"/>
          <w:szCs w:val="20"/>
          <w:color w:val="auto"/>
        </w:rPr>
      </w:pPr>
      <w:r>
        <w:rPr>
          <w:rFonts w:ascii="Arial" w:cs="Arial" w:eastAsia="Arial" w:hAnsi="Arial"/>
          <w:sz w:val="18"/>
          <w:szCs w:val="18"/>
          <w:color w:val="auto"/>
        </w:rPr>
        <w:t>Basic net income (loss) per share attributable to common shareholders is computed using (i) net income (loss) less (ii) dividends paid to holders of Preferred Shares less (iii) net income (loss) attributable to participating securities divided by (iv) weighted average basic shares outstanding. Diluted net income or loss per share attributable to common shareholders is computed as (i) basic net income (loss) attributable to common shareholders plus (ii) diluted adjustments to income allocable to participating securities divided by (iii) weighted average diluted shares outstanding. The "if-converted" method is used to determine the dilutive impact for the 1.50% convertible notes and the Preferred Shares. The treasury stock method is used to determine the dilutive impact of unvested restricted stock.</w:t>
      </w:r>
    </w:p>
    <w:p>
      <w:pPr>
        <w:spacing w:after="0" w:line="216" w:lineRule="exact"/>
        <w:rPr>
          <w:sz w:val="20"/>
          <w:szCs w:val="20"/>
          <w:color w:val="auto"/>
        </w:rPr>
      </w:pPr>
    </w:p>
    <w:p>
      <w:pPr>
        <w:ind w:right="80" w:firstLine="316"/>
        <w:spacing w:after="0" w:line="268" w:lineRule="auto"/>
        <w:rPr>
          <w:sz w:val="20"/>
          <w:szCs w:val="20"/>
          <w:color w:val="auto"/>
        </w:rPr>
      </w:pPr>
      <w:r>
        <w:rPr>
          <w:rFonts w:ascii="Arial" w:cs="Arial" w:eastAsia="Arial" w:hAnsi="Arial"/>
          <w:sz w:val="16"/>
          <w:szCs w:val="16"/>
          <w:color w:val="auto"/>
        </w:rPr>
        <w:t>Potentially dilutive common shares include dilutive outstanding employee stock options, RSUs and PSUs, rights to purchase shares of common stock under the Company’s ESPP, shares issuable in connection with the 1.50% convertible notes due 2024, and the Preferred Shares. For the three months ended September 29, 2023, the Company recorded a net loss and all shares subject to outstanding equity awards were excluded from the calculation of diluted shares for those periods because their impact would have been anti-dilutive. For the three months ended September 30, 2022, the Company excluded common shares subject to certain outstanding equity awards from the calculation of diluted shares because their impact would have been anti-dilutive based on the Company’s average stock price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Employee Termination, Asset Impairment, and Other</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Realignment</w:t>
      </w:r>
    </w:p>
    <w:p>
      <w:pPr>
        <w:spacing w:after="0" w:line="241" w:lineRule="exact"/>
        <w:rPr>
          <w:sz w:val="20"/>
          <w:szCs w:val="20"/>
          <w:color w:val="auto"/>
        </w:rPr>
      </w:pPr>
    </w:p>
    <w:p>
      <w:pPr>
        <w:ind w:right="60" w:firstLine="316"/>
        <w:spacing w:after="0" w:line="281" w:lineRule="auto"/>
        <w:rPr>
          <w:sz w:val="20"/>
          <w:szCs w:val="20"/>
          <w:color w:val="auto"/>
        </w:rPr>
      </w:pPr>
      <w:r>
        <w:rPr>
          <w:rFonts w:ascii="Arial" w:cs="Arial" w:eastAsia="Arial" w:hAnsi="Arial"/>
          <w:sz w:val="16"/>
          <w:szCs w:val="16"/>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In this regard, in the three months ended September 29, 2023, the Company reassessed existing capacity development plans and made a decision to cancel certain projects to expand capacity in its Penang, Malaysia facility, resulting in the impairment of existing construction in progress and the recognition of a liability for certain contract termination costs. The Company has also taken actions to reduce the amount of capital invested in facilities, including the sale-leaseback of its facility in Milpitas, California in September 2023. The Company recorded the following net charges related to these actions for the periods noted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September 29,</w:t>
            </w:r>
          </w:p>
        </w:tc>
        <w:tc>
          <w:tcPr>
            <w:tcW w:w="200" w:type="dxa"/>
            <w:vAlign w:val="bottom"/>
          </w:tcPr>
          <w:p>
            <w:pPr>
              <w:spacing w:after="0"/>
              <w:rPr>
                <w:sz w:val="11"/>
                <w:szCs w:val="11"/>
                <w:color w:val="auto"/>
              </w:rPr>
            </w:pPr>
          </w:p>
        </w:tc>
        <w:tc>
          <w:tcPr>
            <w:tcW w:w="1240" w:type="dxa"/>
            <w:vAlign w:val="bottom"/>
          </w:tcPr>
          <w:p>
            <w:pPr>
              <w:jc w:val="right"/>
              <w:ind w:right="203"/>
              <w:spacing w:after="0" w:line="129" w:lineRule="exact"/>
              <w:rPr>
                <w:sz w:val="20"/>
                <w:szCs w:val="20"/>
                <w:color w:val="auto"/>
              </w:rPr>
            </w:pPr>
            <w:r>
              <w:rPr>
                <w:rFonts w:ascii="Arial" w:cs="Arial" w:eastAsia="Arial" w:hAnsi="Arial"/>
                <w:sz w:val="14"/>
                <w:szCs w:val="14"/>
                <w:b w:val="1"/>
                <w:bCs w:val="1"/>
                <w:color w:val="auto"/>
                <w:w w:val="98"/>
              </w:rPr>
              <w:t>September 30,</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63"/>
              <w:spacing w:after="0"/>
              <w:rPr>
                <w:sz w:val="20"/>
                <w:szCs w:val="20"/>
                <w:color w:val="auto"/>
              </w:rPr>
            </w:pPr>
            <w:r>
              <w:rPr>
                <w:rFonts w:ascii="Arial" w:cs="Arial" w:eastAsia="Arial" w:hAnsi="Arial"/>
                <w:sz w:val="14"/>
                <w:szCs w:val="14"/>
                <w:i w:val="1"/>
                <w:iCs w:val="1"/>
                <w:color w:val="auto"/>
              </w:rPr>
              <w:t>(in millions)</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termination benefits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center"/>
              <w:ind w:left="885"/>
              <w:spacing w:after="0"/>
              <w:rPr>
                <w:sz w:val="20"/>
                <w:szCs w:val="20"/>
                <w:color w:val="auto"/>
              </w:rPr>
            </w:pPr>
            <w:r>
              <w:rPr>
                <w:rFonts w:ascii="Arial" w:cs="Arial" w:eastAsia="Arial" w:hAnsi="Arial"/>
                <w:sz w:val="16"/>
                <w:szCs w:val="16"/>
                <w:color w:val="auto"/>
                <w:w w:val="89"/>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Contract termination and other</w:t>
            </w:r>
          </w:p>
        </w:tc>
        <w:tc>
          <w:tcPr>
            <w:tcW w:w="180" w:type="dxa"/>
            <w:vAlign w:val="bottom"/>
          </w:tcPr>
          <w:p>
            <w:pPr>
              <w:spacing w:after="0"/>
              <w:rPr>
                <w:sz w:val="18"/>
                <w:szCs w:val="18"/>
                <w:color w:val="auto"/>
              </w:rPr>
            </w:pPr>
          </w:p>
        </w:tc>
        <w:tc>
          <w:tcPr>
            <w:tcW w:w="1240" w:type="dxa"/>
            <w:vAlign w:val="bottom"/>
          </w:tcPr>
          <w:p>
            <w:pPr>
              <w:jc w:val="center"/>
              <w:ind w:left="885"/>
              <w:spacing w:after="0"/>
              <w:rPr>
                <w:sz w:val="20"/>
                <w:szCs w:val="20"/>
                <w:color w:val="auto"/>
              </w:rPr>
            </w:pPr>
            <w:r>
              <w:rPr>
                <w:rFonts w:ascii="Arial" w:cs="Arial" w:eastAsia="Arial" w:hAnsi="Arial"/>
                <w:sz w:val="16"/>
                <w:szCs w:val="16"/>
                <w:color w:val="auto"/>
                <w:w w:val="89"/>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885"/>
              <w:spacing w:after="0"/>
              <w:rPr>
                <w:sz w:val="20"/>
                <w:szCs w:val="20"/>
                <w:color w:val="auto"/>
              </w:rPr>
            </w:pPr>
            <w:r>
              <w:rPr>
                <w:rFonts w:ascii="Arial" w:cs="Arial" w:eastAsia="Arial" w:hAnsi="Arial"/>
                <w:sz w:val="16"/>
                <w:szCs w:val="16"/>
                <w:color w:val="auto"/>
                <w:w w:val="89"/>
              </w:rPr>
              <w:t>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sale-leaseback of facility</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45"/>
              <w:spacing w:after="0"/>
              <w:rPr>
                <w:sz w:val="20"/>
                <w:szCs w:val="20"/>
                <w:color w:val="auto"/>
              </w:rPr>
            </w:pPr>
            <w:r>
              <w:rPr>
                <w:rFonts w:ascii="Arial" w:cs="Arial" w:eastAsia="Arial" w:hAnsi="Arial"/>
                <w:sz w:val="16"/>
                <w:szCs w:val="16"/>
                <w:color w:val="auto"/>
                <w:w w:val="98"/>
              </w:rPr>
              <w:t>(85)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employee termination, asset impairment, and other</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center"/>
              <w:ind w:left="885"/>
              <w:spacing w:after="0"/>
              <w:rPr>
                <w:sz w:val="20"/>
                <w:szCs w:val="20"/>
                <w:color w:val="auto"/>
              </w:rPr>
            </w:pPr>
            <w:r>
              <w:rPr>
                <w:rFonts w:ascii="Arial" w:cs="Arial" w:eastAsia="Arial" w:hAnsi="Arial"/>
                <w:sz w:val="16"/>
                <w:szCs w:val="16"/>
                <w:color w:val="auto"/>
                <w:w w:val="89"/>
              </w:rPr>
              <w:t>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an analysis of the components of these activities against the reserve during the three months ended September 29, 2023: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Employee Termination</w:t>
            </w: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Contract Termination</w:t>
            </w:r>
          </w:p>
        </w:tc>
        <w:tc>
          <w:tcPr>
            <w:tcW w:w="340" w:type="dxa"/>
            <w:vAlign w:val="bottom"/>
          </w:tcPr>
          <w:p>
            <w:pPr>
              <w:spacing w:after="0"/>
              <w:rPr>
                <w:sz w:val="14"/>
                <w:szCs w:val="14"/>
                <w:color w:val="auto"/>
              </w:rPr>
            </w:pPr>
          </w:p>
        </w:tc>
        <w:tc>
          <w:tcPr>
            <w:tcW w:w="11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Benefits</w:t>
            </w:r>
          </w:p>
        </w:tc>
        <w:tc>
          <w:tcPr>
            <w:tcW w:w="26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04"/>
              <w:spacing w:after="0"/>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June 30, 2023</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743"/>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208"/>
        </w:trPr>
        <w:tc>
          <w:tcPr>
            <w:tcW w:w="6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22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743"/>
              <w:spacing w:after="0"/>
              <w:rPr>
                <w:sz w:val="20"/>
                <w:szCs w:val="20"/>
                <w:color w:val="auto"/>
              </w:rPr>
            </w:pPr>
            <w:r>
              <w:rPr>
                <w:rFonts w:ascii="Arial" w:cs="Arial" w:eastAsia="Arial" w:hAnsi="Arial"/>
                <w:sz w:val="16"/>
                <w:szCs w:val="16"/>
                <w:color w:val="auto"/>
                <w:w w:val="89"/>
              </w:rPr>
              <w:t>48</w:t>
            </w: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723"/>
              <w:spacing w:after="0"/>
              <w:rPr>
                <w:sz w:val="20"/>
                <w:szCs w:val="20"/>
                <w:color w:val="auto"/>
              </w:rPr>
            </w:pPr>
            <w:r>
              <w:rPr>
                <w:rFonts w:ascii="Arial" w:cs="Arial" w:eastAsia="Arial" w:hAnsi="Arial"/>
                <w:sz w:val="16"/>
                <w:szCs w:val="16"/>
                <w:color w:val="auto"/>
                <w:w w:val="91"/>
              </w:rPr>
              <w:t>(45)</w:t>
            </w:r>
          </w:p>
        </w:tc>
        <w:tc>
          <w:tcPr>
            <w:tcW w:w="0" w:type="dxa"/>
            <w:vAlign w:val="bottom"/>
          </w:tcPr>
          <w:p>
            <w:pPr>
              <w:spacing w:after="0"/>
              <w:rPr>
                <w:sz w:val="1"/>
                <w:szCs w:val="1"/>
                <w:color w:val="auto"/>
              </w:rPr>
            </w:pPr>
          </w:p>
        </w:tc>
      </w:tr>
      <w:tr>
        <w:trPr>
          <w:trHeight w:val="208"/>
        </w:trPr>
        <w:tc>
          <w:tcPr>
            <w:tcW w:w="6780" w:type="dxa"/>
            <w:vAlign w:val="bottom"/>
          </w:tcPr>
          <w:p>
            <w:pPr>
              <w:ind w:left="20"/>
              <w:spacing w:after="0"/>
              <w:rPr>
                <w:sz w:val="20"/>
                <w:szCs w:val="20"/>
                <w:color w:val="auto"/>
              </w:rPr>
            </w:pPr>
            <w:r>
              <w:rPr>
                <w:rFonts w:ascii="Arial" w:cs="Arial" w:eastAsia="Arial" w:hAnsi="Arial"/>
                <w:sz w:val="16"/>
                <w:szCs w:val="16"/>
                <w:color w:val="auto"/>
              </w:rPr>
              <w:t>Accrual balance at September 29, 2023</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center"/>
              <w:ind w:left="743"/>
              <w:spacing w:after="0"/>
              <w:rPr>
                <w:sz w:val="20"/>
                <w:szCs w:val="20"/>
                <w:color w:val="auto"/>
              </w:rPr>
            </w:pPr>
            <w:r>
              <w:rPr>
                <w:rFonts w:ascii="Arial" w:cs="Arial" w:eastAsia="Arial" w:hAnsi="Arial"/>
                <w:sz w:val="16"/>
                <w:szCs w:val="16"/>
                <w:color w:val="auto"/>
                <w:w w:val="89"/>
              </w:rPr>
              <w:t>39</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Supplier Finance Program</w:t>
      </w:r>
    </w:p>
    <w:p>
      <w:pPr>
        <w:spacing w:after="0" w:line="247"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The Company maintains a voluntary supplier finance program that provides participating suppliers with enhanced receivable options. The program allows participating suppliers of the Company, at their sole discretion and cost, to sell their receivables due from the Company to a third-party financial institution and receive early payment at terms negotiated between the supplier and the third-party financial institution. The Company’s vendor payment terms and amounts are not impacted by a supplier’s decision to participate in this program.</w:t>
      </w:r>
    </w:p>
    <w:p>
      <w:pPr>
        <w:spacing w:after="0" w:line="206" w:lineRule="exact"/>
        <w:rPr>
          <w:sz w:val="20"/>
          <w:szCs w:val="20"/>
          <w:color w:val="auto"/>
        </w:rPr>
      </w:pPr>
    </w:p>
    <w:p>
      <w:pPr>
        <w:ind w:right="180" w:firstLine="316"/>
        <w:spacing w:after="0" w:line="233" w:lineRule="auto"/>
        <w:rPr>
          <w:sz w:val="20"/>
          <w:szCs w:val="20"/>
          <w:color w:val="auto"/>
        </w:rPr>
      </w:pPr>
      <w:r>
        <w:rPr>
          <w:rFonts w:ascii="Arial" w:cs="Arial" w:eastAsia="Arial" w:hAnsi="Arial"/>
          <w:sz w:val="18"/>
          <w:szCs w:val="18"/>
          <w:color w:val="auto"/>
        </w:rPr>
        <w:t>The Company’s current payment terms with its suppliers under these programs generally range from 60 to 90 days and payment terms that the Company negotiates with its suppliers are not impacted by whether a supplier participates in the program. The Company does not provide any guarantees to any third parties and no assets are pledged in connection with the arrangements.</w:t>
      </w:r>
    </w:p>
    <w:p>
      <w:pPr>
        <w:spacing w:after="0" w:line="202" w:lineRule="exact"/>
        <w:rPr>
          <w:sz w:val="20"/>
          <w:szCs w:val="20"/>
          <w:color w:val="auto"/>
        </w:rPr>
      </w:pPr>
    </w:p>
    <w:p>
      <w:pPr>
        <w:jc w:val="both"/>
        <w:ind w:right="40" w:firstLine="316"/>
        <w:spacing w:after="0" w:line="326" w:lineRule="auto"/>
        <w:rPr>
          <w:sz w:val="20"/>
          <w:szCs w:val="20"/>
          <w:color w:val="auto"/>
        </w:rPr>
      </w:pPr>
      <w:r>
        <w:rPr>
          <w:rFonts w:ascii="Arial" w:cs="Arial" w:eastAsia="Arial" w:hAnsi="Arial"/>
          <w:sz w:val="15"/>
          <w:szCs w:val="15"/>
          <w:color w:val="auto"/>
        </w:rPr>
        <w:t>The Company’s outstanding payment obligations to vendors eligible to participate under its supplier finance program were $39 million and $38 million as of September 29, 2023 and June 30, 2023, respectively, and are included within Accounts payable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400" w:right="266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Legal Proceedings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w:t>
      </w:r>
    </w:p>
    <w:p>
      <w:pPr>
        <w:spacing w:after="0" w:line="228" w:lineRule="exact"/>
        <w:rPr>
          <w:sz w:val="20"/>
          <w:szCs w:val="20"/>
          <w:color w:val="auto"/>
        </w:rPr>
      </w:pPr>
    </w:p>
    <w:p>
      <w:pPr>
        <w:ind w:right="100" w:firstLine="316"/>
        <w:spacing w:after="0" w:line="247" w:lineRule="auto"/>
        <w:rPr>
          <w:sz w:val="20"/>
          <w:szCs w:val="20"/>
          <w:color w:val="auto"/>
        </w:rPr>
      </w:pPr>
      <w:r>
        <w:rPr>
          <w:rFonts w:ascii="Arial" w:cs="Arial" w:eastAsia="Arial" w:hAnsi="Arial"/>
          <w:sz w:val="18"/>
          <w:szCs w:val="18"/>
          <w:color w:val="auto"/>
        </w:rPr>
        <w:t xml:space="preserve">For disclosures regarding the status of statutory notices of deficiency issued by the IRS with regard to tax years 2008 through 2015, see Note 12,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Expense</w:t>
      </w:r>
      <w:r>
        <w:rPr>
          <w:rFonts w:ascii="Arial" w:cs="Arial" w:eastAsia="Arial" w:hAnsi="Arial"/>
          <w:sz w:val="18"/>
          <w:szCs w:val="18"/>
          <w:color w:val="auto"/>
        </w:rPr>
        <w:t>.</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Matters</w:t>
      </w:r>
    </w:p>
    <w:p>
      <w:pPr>
        <w:spacing w:after="0" w:line="241" w:lineRule="exact"/>
        <w:rPr>
          <w:sz w:val="20"/>
          <w:szCs w:val="20"/>
          <w:color w:val="auto"/>
        </w:rPr>
      </w:pPr>
    </w:p>
    <w:p>
      <w:pPr>
        <w:ind w:firstLine="316"/>
        <w:spacing w:after="0" w:line="249"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35" w:lineRule="exact"/>
        <w:rPr>
          <w:sz w:val="20"/>
          <w:szCs w:val="20"/>
          <w:color w:val="auto"/>
        </w:rPr>
      </w:pPr>
    </w:p>
    <w:p>
      <w:pPr>
        <w:jc w:val="center"/>
        <w:ind w:left="340" w:right="2720"/>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Subsequent Events</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Separation of Business Units</w:t>
      </w:r>
    </w:p>
    <w:p>
      <w:pPr>
        <w:spacing w:after="0" w:line="228" w:lineRule="exact"/>
        <w:rPr>
          <w:sz w:val="20"/>
          <w:szCs w:val="20"/>
          <w:color w:val="auto"/>
        </w:rPr>
      </w:pPr>
    </w:p>
    <w:p>
      <w:pPr>
        <w:ind w:right="20" w:firstLine="316"/>
        <w:spacing w:after="0" w:line="283" w:lineRule="auto"/>
        <w:rPr>
          <w:sz w:val="20"/>
          <w:szCs w:val="20"/>
          <w:color w:val="auto"/>
        </w:rPr>
      </w:pPr>
      <w:r>
        <w:rPr>
          <w:rFonts w:ascii="Arial" w:cs="Arial" w:eastAsia="Arial" w:hAnsi="Arial"/>
          <w:sz w:val="16"/>
          <w:szCs w:val="16"/>
          <w:color w:val="auto"/>
        </w:rPr>
        <w:t>On October 30, 2023, the Company announced that its Board of Directors authorized management to pursue a plan to separate its HDD and Flash business units into two independent public companies. The completion of the separation is subject to certain conditions, including final approval by its Board of Directors. The Company is targeting to complete the separation of the business units in the second half of calendar year 2024.</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Convertible Notes and Related Capped Call Transactions</w:t>
      </w:r>
    </w:p>
    <w:p>
      <w:pPr>
        <w:spacing w:after="0" w:line="228" w:lineRule="exact"/>
        <w:rPr>
          <w:sz w:val="20"/>
          <w:szCs w:val="20"/>
          <w:color w:val="auto"/>
        </w:rPr>
      </w:pPr>
    </w:p>
    <w:p>
      <w:pPr>
        <w:ind w:firstLine="316"/>
        <w:spacing w:after="0" w:line="232" w:lineRule="auto"/>
        <w:rPr>
          <w:sz w:val="20"/>
          <w:szCs w:val="20"/>
          <w:color w:val="auto"/>
        </w:rPr>
      </w:pPr>
      <w:r>
        <w:rPr>
          <w:rFonts w:ascii="Arial" w:cs="Arial" w:eastAsia="Arial" w:hAnsi="Arial"/>
          <w:sz w:val="18"/>
          <w:szCs w:val="18"/>
          <w:color w:val="auto"/>
        </w:rPr>
        <w:t>On November 3, 2023, the Company issued $1.60 billion aggregate principal amount of convertible senior notes which bear interest at an annual rate of 3.00% and mature on November 15, 2028, unless earlier repurchased, redeemed or converted (the “2028 Convertible Notes”). The 2028 Convertible Notes are jointly and severally guaranteed by each of the Company’s wholly-owned subsidiaries that guarantees the 2026 Notes (currently, Western Digital Technologies, Inc.).</w:t>
      </w:r>
    </w:p>
    <w:p>
      <w:pPr>
        <w:spacing w:after="0" w:line="215" w:lineRule="exact"/>
        <w:rPr>
          <w:sz w:val="20"/>
          <w:szCs w:val="20"/>
          <w:color w:val="auto"/>
        </w:rPr>
      </w:pPr>
    </w:p>
    <w:p>
      <w:pPr>
        <w:ind w:right="60" w:firstLine="316"/>
        <w:spacing w:after="0" w:line="235" w:lineRule="auto"/>
        <w:rPr>
          <w:sz w:val="20"/>
          <w:szCs w:val="20"/>
          <w:color w:val="auto"/>
        </w:rPr>
      </w:pPr>
      <w:r>
        <w:rPr>
          <w:rFonts w:ascii="Arial" w:cs="Arial" w:eastAsia="Arial" w:hAnsi="Arial"/>
          <w:sz w:val="18"/>
          <w:szCs w:val="18"/>
          <w:color w:val="auto"/>
        </w:rPr>
        <w:t>The 2028 Convertible Notes are convertible at an initial conversion price of approximately $52.20 per share of common stock. Prior to August 15, 2028, the 2028 Convertible Notes are convertible only upon the occurrence of certain events and during certain periods. Upon any conversion of the 2028 Convertible Notes, the Company will pay cash up to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w:t>
      </w:r>
    </w:p>
    <w:p>
      <w:pPr>
        <w:spacing w:after="0" w:line="213" w:lineRule="exact"/>
        <w:rPr>
          <w:sz w:val="20"/>
          <w:szCs w:val="20"/>
          <w:color w:val="auto"/>
        </w:rPr>
      </w:pPr>
    </w:p>
    <w:p>
      <w:pPr>
        <w:ind w:right="40" w:firstLine="316"/>
        <w:spacing w:after="0" w:line="238" w:lineRule="auto"/>
        <w:rPr>
          <w:sz w:val="20"/>
          <w:szCs w:val="20"/>
          <w:color w:val="auto"/>
        </w:rPr>
      </w:pPr>
      <w:r>
        <w:rPr>
          <w:rFonts w:ascii="Arial" w:cs="Arial" w:eastAsia="Arial" w:hAnsi="Arial"/>
          <w:sz w:val="18"/>
          <w:szCs w:val="18"/>
          <w:color w:val="auto"/>
        </w:rPr>
        <w:t>In connection with the debt issuance, the Company used approximately $155 million of the net proceeds of the 2028 Convertible Notes offering to pay the cost of entering into capped call contracts with a cap price of approximately $70.26 per share to hedge the potential dilution impact of the notes’ conversion feature.</w:t>
      </w:r>
    </w:p>
    <w:p>
      <w:pPr>
        <w:spacing w:after="0" w:line="215" w:lineRule="exact"/>
        <w:rPr>
          <w:sz w:val="20"/>
          <w:szCs w:val="20"/>
          <w:color w:val="auto"/>
        </w:rPr>
      </w:pPr>
    </w:p>
    <w:p>
      <w:pPr>
        <w:ind w:right="160" w:firstLine="316"/>
        <w:spacing w:after="0" w:line="238" w:lineRule="auto"/>
        <w:rPr>
          <w:sz w:val="20"/>
          <w:szCs w:val="20"/>
          <w:color w:val="auto"/>
        </w:rPr>
      </w:pPr>
      <w:r>
        <w:rPr>
          <w:rFonts w:ascii="Arial" w:cs="Arial" w:eastAsia="Arial" w:hAnsi="Arial"/>
          <w:sz w:val="18"/>
          <w:szCs w:val="18"/>
          <w:color w:val="auto"/>
        </w:rPr>
        <w:t>Contemporaneously with the issuance of the 2028 Convertible Notes, the Company entered into individually negotiated transactions with certain holders of the Company’s existing 2024 Convertible Notes to repurchase approximately $508 million aggregate principal amount of such notes at an immaterial discount.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47" w:lineRule="exact"/>
        <w:rPr>
          <w:sz w:val="20"/>
          <w:szCs w:val="20"/>
          <w:color w:val="auto"/>
        </w:rPr>
      </w:pPr>
    </w:p>
    <w:p>
      <w:pPr>
        <w:ind w:right="140" w:firstLine="316"/>
        <w:spacing w:after="0" w:line="214"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June 30, 2023. See also “Forward-Looking Statements” immediately prior to Part I, Item 1 in this Quarterly Report on Form 10-Q.</w:t>
      </w:r>
    </w:p>
    <w:p>
      <w:pPr>
        <w:spacing w:after="0" w:line="227" w:lineRule="exact"/>
        <w:rPr>
          <w:sz w:val="20"/>
          <w:szCs w:val="20"/>
          <w:color w:val="auto"/>
        </w:rPr>
      </w:pPr>
    </w:p>
    <w:p>
      <w:pPr>
        <w:ind w:firstLine="316"/>
        <w:spacing w:after="0" w:line="262"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34" w:lineRule="exact"/>
        <w:rPr>
          <w:sz w:val="20"/>
          <w:szCs w:val="20"/>
          <w:color w:val="auto"/>
        </w:rPr>
      </w:pPr>
    </w:p>
    <w:p>
      <w:pPr>
        <w:ind w:right="160" w:firstLine="316"/>
        <w:spacing w:after="0" w:line="235" w:lineRule="auto"/>
        <w:rPr>
          <w:sz w:val="20"/>
          <w:szCs w:val="20"/>
          <w:color w:val="auto"/>
        </w:rPr>
      </w:pPr>
      <w:r>
        <w:rPr>
          <w:rFonts w:ascii="Arial" w:cs="Arial" w:eastAsia="Arial" w:hAnsi="Arial"/>
          <w:sz w:val="18"/>
          <w:szCs w:val="18"/>
          <w:color w:val="auto"/>
        </w:rPr>
        <w:t>We are on a mission to unlock the potential of data by harnessing the possibility to use it. We are a leading developer, manufacturer, and provider of data storage devices based on both NAND flash and hard disk drive technologies. With dedicated flash-based products (“Flash”) and hard disk drives (“HDD”) business units driving advancements in storage technologies, our broad and ever-expanding portfolio delivers powerful Flash and HDD storage solutions for everyone from students, gamers, and home offices to the largest enterprises and public clouds to capture, preserve, access, and transform an ever-increasing diversity of data.</w:t>
      </w:r>
    </w:p>
    <w:p>
      <w:pPr>
        <w:spacing w:after="0" w:line="213" w:lineRule="exact"/>
        <w:rPr>
          <w:sz w:val="20"/>
          <w:szCs w:val="20"/>
          <w:color w:val="auto"/>
        </w:rPr>
      </w:pPr>
    </w:p>
    <w:p>
      <w:pPr>
        <w:ind w:right="100" w:firstLine="316"/>
        <w:spacing w:after="0" w:line="264" w:lineRule="auto"/>
        <w:rPr>
          <w:sz w:val="20"/>
          <w:szCs w:val="20"/>
          <w:color w:val="auto"/>
        </w:rPr>
      </w:pPr>
      <w:r>
        <w:rPr>
          <w:rFonts w:ascii="Arial" w:cs="Arial" w:eastAsia="Arial" w:hAnsi="Arial"/>
          <w:sz w:val="16"/>
          <w:szCs w:val="16"/>
          <w:color w:val="auto"/>
        </w:rPr>
        <w:t>Our broad portfolio of technology and products address our multiple end markets: “Cloud”, “Client” and “Consumer”. Cloud represents a large and growing end market comprised primarily of products for public or private cloud environments and enterprise customers, which we believe we are uniquely positioned to address as the only provider of both Flash and HDD. Through the Client end market, we provide our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210" w:lineRule="exact"/>
        <w:rPr>
          <w:sz w:val="20"/>
          <w:szCs w:val="20"/>
          <w:color w:val="auto"/>
        </w:rPr>
      </w:pPr>
    </w:p>
    <w:p>
      <w:pPr>
        <w:jc w:val="both"/>
        <w:ind w:right="40" w:firstLine="316"/>
        <w:spacing w:after="0" w:line="253"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 2024, which will end on June 28, 2024, and fiscal year 2023, which ended June 30, 2023, are each comprised of 52 weeks, with all quarters presented consisting of 13 weeks.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Separation of Business Units</w:t>
      </w:r>
    </w:p>
    <w:p>
      <w:pPr>
        <w:spacing w:after="0" w:line="215" w:lineRule="exact"/>
        <w:rPr>
          <w:sz w:val="20"/>
          <w:szCs w:val="20"/>
          <w:color w:val="auto"/>
        </w:rPr>
      </w:pPr>
    </w:p>
    <w:p>
      <w:pPr>
        <w:ind w:firstLine="316"/>
        <w:spacing w:after="0" w:line="234" w:lineRule="auto"/>
        <w:rPr>
          <w:sz w:val="20"/>
          <w:szCs w:val="20"/>
          <w:color w:val="auto"/>
        </w:rPr>
      </w:pPr>
      <w:r>
        <w:rPr>
          <w:rFonts w:ascii="Arial" w:cs="Arial" w:eastAsia="Arial" w:hAnsi="Arial"/>
          <w:sz w:val="18"/>
          <w:szCs w:val="18"/>
          <w:color w:val="auto"/>
        </w:rPr>
        <w:t>On October 30, 2023, we announced that our Board of Directors had completed its strategic review of our business and, after evaluating a comprehensive range of alternatives, authorized us to pursue a plan to separate our HDD and Flash business units to create two independent, public companies. We believe the separation will better position each business unit to execute innovative technology and product development, capitalize on unique growth opportunities, extend respective leadership positions, and operate more efficiently with distinct capital structures. The completion of the planned separation is subject to certain conditions, including final approval by our Board of Directors. We are targeting to complete the separation of the businesses in the second half of calendar year 2024.</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15" w:lineRule="exact"/>
        <w:rPr>
          <w:sz w:val="20"/>
          <w:szCs w:val="20"/>
          <w:color w:val="auto"/>
        </w:rPr>
      </w:pPr>
    </w:p>
    <w:p>
      <w:pPr>
        <w:jc w:val="both"/>
        <w:ind w:right="160" w:firstLine="316"/>
        <w:spacing w:after="0" w:line="236" w:lineRule="auto"/>
        <w:rPr>
          <w:sz w:val="20"/>
          <w:szCs w:val="20"/>
          <w:color w:val="auto"/>
        </w:rPr>
      </w:pPr>
      <w:r>
        <w:rPr>
          <w:rFonts w:ascii="Arial" w:cs="Arial" w:eastAsia="Arial" w:hAnsi="Arial"/>
          <w:sz w:val="18"/>
          <w:szCs w:val="18"/>
          <w:color w:val="auto"/>
        </w:rPr>
        <w:t>In August 2023, we drew $600 million principal amount (the “Delayed Draw Term Loan”) under a loan agreement we entered into in January 2023 and amended in June 2023 (the “Delayed Draw Term Loan Agreement”), which allowed us to draw a single loan of up to $600 million through August 14, 2023. Proceeds from this loan were primarily used for payments on tax liability to the IRS for the years 2008 through 2012. Borrowings on this loan will mature on June 28, 2024.</w:t>
      </w:r>
    </w:p>
    <w:p>
      <w:pPr>
        <w:spacing w:after="0" w:line="215" w:lineRule="exact"/>
        <w:rPr>
          <w:sz w:val="20"/>
          <w:szCs w:val="20"/>
          <w:color w:val="auto"/>
        </w:rPr>
      </w:pPr>
    </w:p>
    <w:p>
      <w:pPr>
        <w:ind w:right="40" w:firstLine="316"/>
        <w:spacing w:after="0" w:line="262" w:lineRule="auto"/>
        <w:rPr>
          <w:sz w:val="20"/>
          <w:szCs w:val="20"/>
          <w:color w:val="auto"/>
        </w:rPr>
      </w:pPr>
      <w:r>
        <w:rPr>
          <w:rFonts w:ascii="Arial" w:cs="Arial" w:eastAsia="Arial" w:hAnsi="Arial"/>
          <w:sz w:val="16"/>
          <w:szCs w:val="16"/>
          <w:color w:val="auto"/>
        </w:rPr>
        <w:t>On November 3, 2023, we issued $1.60 billion aggregate principal amount of convertible senior notes which bear interest at an annual rate of 3.00% and mature on November 15, 2028, unless earlier repurchased, redeemed or converted (the “2028 Convertible Notes”). We received net proceeds of approximately $1.56 billion after issuance costs. Contemporaneously with the issuance of the 2028 Convertible Notes, we entered into individually negotiated transactions with certain holders of our existing 1.50% convertible senior notes due 2024 (the “2024 Convertible Notes”), which mature on February 1, 2024, to repurchase approximately $508 million aggregate principal amount of such notes at an immaterial discount using net proceeds from the offering of the 2028 Convertible Notes. In connection with the issuance of the 2028 Convertible Notes, we also used approximately $155 million of the net proceeds from the offering to pay the cost of entering into capped call contracts with a cap price of approximately $70.26 to hedge the potential dilution impact of the conversion feature. The remaining net proceeds from the offering of the 2028 Convertible Notes will be used primarily to settle the remaining 2024 Convertible Notes.</w:t>
      </w:r>
    </w:p>
    <w:p>
      <w:pPr>
        <w:spacing w:after="0" w:line="200" w:lineRule="exact"/>
        <w:rPr>
          <w:sz w:val="20"/>
          <w:szCs w:val="20"/>
          <w:color w:val="auto"/>
        </w:rPr>
      </w:pPr>
    </w:p>
    <w:p>
      <w:pPr>
        <w:ind w:right="180" w:firstLine="316"/>
        <w:spacing w:after="0" w:line="270" w:lineRule="auto"/>
        <w:rPr>
          <w:sz w:val="20"/>
          <w:szCs w:val="20"/>
          <w:color w:val="auto"/>
        </w:rPr>
      </w:pPr>
      <w:r>
        <w:rPr>
          <w:rFonts w:ascii="Arial" w:cs="Arial" w:eastAsia="Arial" w:hAnsi="Arial"/>
          <w:sz w:val="16"/>
          <w:szCs w:val="16"/>
          <w:color w:val="auto"/>
        </w:rPr>
        <w:t xml:space="preserve">Additional information regarding our indebtedness, including the principal repayment terms, interest rates, covenants and other key terms of our outstanding indebtedness, and additional information on the terms of our convertible preferred shares and the 2028 Convertible Notes is included in Part II, Item 8,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and Note 13, </w:t>
      </w:r>
      <w:r>
        <w:rPr>
          <w:rFonts w:ascii="Arial" w:cs="Arial" w:eastAsia="Arial" w:hAnsi="Arial"/>
          <w:sz w:val="16"/>
          <w:szCs w:val="16"/>
          <w:i w:val="1"/>
          <w:iCs w:val="1"/>
          <w:color w:val="auto"/>
        </w:rPr>
        <w:t>Shareholders’ Equity and Convertible Preferred Stock</w:t>
      </w:r>
      <w:r>
        <w:rPr>
          <w:rFonts w:ascii="Arial" w:cs="Arial" w:eastAsia="Arial" w:hAnsi="Arial"/>
          <w:sz w:val="16"/>
          <w:szCs w:val="16"/>
          <w:color w:val="auto"/>
        </w:rPr>
        <w:t xml:space="preserve">, of the Notes to Consolidated Financial Statements in our Annual Report on Form 10-K for the fiscal year ended June 30, 2023 and Note 17,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of the Notes to Condensed Consolidated Financial Statements included in Part I, Item 1 of this Quarterly Report on Form 10-Q.</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Sale-Leaseback</w:t>
      </w:r>
    </w:p>
    <w:p>
      <w:pPr>
        <w:spacing w:after="0" w:line="241" w:lineRule="exact"/>
        <w:rPr>
          <w:sz w:val="20"/>
          <w:szCs w:val="20"/>
          <w:color w:val="auto"/>
        </w:rPr>
      </w:pPr>
    </w:p>
    <w:p>
      <w:pPr>
        <w:ind w:right="120" w:firstLine="316"/>
        <w:spacing w:after="0" w:line="250" w:lineRule="auto"/>
        <w:rPr>
          <w:sz w:val="20"/>
          <w:szCs w:val="20"/>
          <w:color w:val="auto"/>
        </w:rPr>
      </w:pPr>
      <w:r>
        <w:rPr>
          <w:rFonts w:ascii="Arial" w:cs="Arial" w:eastAsia="Arial" w:hAnsi="Arial"/>
          <w:sz w:val="18"/>
          <w:szCs w:val="18"/>
          <w:color w:val="auto"/>
        </w:rPr>
        <w:t>In September 2023, we completed a sale and leaseback of our facility in Milpitas, California. We received net proceeds of $191 million in cash and recorded a gain of $85 million on the sale. We are leasing back the facility at an annual lease rate of $16 million for the first year, increasing by 3% per year thereafter through January 1, 2039. The lease includes three 5-year renewal options and one 4-year renewal option for the ability to extend through December 2057.</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Asset Impairment and Contract Termination Costs</w:t>
      </w:r>
    </w:p>
    <w:p>
      <w:pPr>
        <w:spacing w:after="0" w:line="228" w:lineRule="exact"/>
        <w:rPr>
          <w:sz w:val="20"/>
          <w:szCs w:val="20"/>
          <w:color w:val="auto"/>
        </w:rPr>
      </w:pPr>
    </w:p>
    <w:p>
      <w:pPr>
        <w:jc w:val="both"/>
        <w:ind w:right="60" w:firstLine="316"/>
        <w:spacing w:after="0" w:line="238" w:lineRule="auto"/>
        <w:rPr>
          <w:sz w:val="20"/>
          <w:szCs w:val="20"/>
          <w:color w:val="auto"/>
        </w:rPr>
      </w:pPr>
      <w:r>
        <w:rPr>
          <w:rFonts w:ascii="Arial" w:cs="Arial" w:eastAsia="Arial" w:hAnsi="Arial"/>
          <w:sz w:val="18"/>
          <w:szCs w:val="18"/>
          <w:color w:val="auto"/>
        </w:rPr>
        <w:t>During the three months ended September 29, 2023, we reassessed our existing capacity development plans and made a decision to cancel certain projects to expand capacity in our Penang, Malaysia facility, resulting in a $94 million impairment of existing construction in progress and recognition of a $29 million liability for certain contract termination costs.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 Resolution</w:t>
      </w:r>
    </w:p>
    <w:p>
      <w:pPr>
        <w:spacing w:after="0" w:line="228" w:lineRule="exact"/>
        <w:rPr>
          <w:sz w:val="20"/>
          <w:szCs w:val="20"/>
          <w:color w:val="auto"/>
        </w:rPr>
      </w:pPr>
    </w:p>
    <w:p>
      <w:pPr>
        <w:ind w:right="80" w:firstLine="316"/>
        <w:spacing w:after="0" w:line="265" w:lineRule="auto"/>
        <w:rPr>
          <w:sz w:val="20"/>
          <w:szCs w:val="20"/>
          <w:color w:val="auto"/>
        </w:rPr>
      </w:pPr>
      <w:r>
        <w:rPr>
          <w:rFonts w:ascii="Arial" w:cs="Arial" w:eastAsia="Arial" w:hAnsi="Arial"/>
          <w:sz w:val="16"/>
          <w:szCs w:val="16"/>
          <w:color w:val="auto"/>
        </w:rPr>
        <w:t xml:space="preserve">As previously disclosed, we reached a final agreement with the IRS and received notices of deficiency with respect to years 2008 through 2012 and have tentatively reached a basis for resolving the notices of proposed adjustments with respect to years 2013 through 2015. During the three months ended September 29, 2023, we made payments aggregating $523 million for tax and interest with respect to years 2008 through 2012 and have a remaining liability of $183 million as of September 29, 2023 related to all years from 2008 through 2015. We expect to pay any remaining balance with respect to this matter within the next twelve months. Additional information regarding these settlements and our assessment of the potential tax and interest payments we expect to pay in connection with the settlements is provided in our discussion of Income tax expense in our results of operations below, as well as in Part I, Item 1, Note 12,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of the Notes to the Condensed Consolidated Financial Statements, and in the “Short- and Long-term Liquidity - </w:t>
      </w:r>
      <w:r>
        <w:rPr>
          <w:rFonts w:ascii="Arial" w:cs="Arial" w:eastAsia="Arial" w:hAnsi="Arial"/>
          <w:sz w:val="16"/>
          <w:szCs w:val="16"/>
          <w:i w:val="1"/>
          <w:iCs w:val="1"/>
          <w:color w:val="auto"/>
        </w:rPr>
        <w:t>Unrecognized Tax</w:t>
      </w:r>
      <w:r>
        <w:rPr>
          <w:rFonts w:ascii="Arial" w:cs="Arial" w:eastAsia="Arial" w:hAnsi="Arial"/>
          <w:sz w:val="16"/>
          <w:szCs w:val="16"/>
          <w:color w:val="auto"/>
        </w:rPr>
        <w:t xml:space="preserve"> </w:t>
      </w:r>
      <w:r>
        <w:rPr>
          <w:rFonts w:ascii="Arial" w:cs="Arial" w:eastAsia="Arial" w:hAnsi="Arial"/>
          <w:sz w:val="16"/>
          <w:szCs w:val="16"/>
          <w:i w:val="1"/>
          <w:iCs w:val="1"/>
          <w:color w:val="auto"/>
        </w:rPr>
        <w:t>Benefits</w:t>
      </w:r>
      <w:r>
        <w:rPr>
          <w:rFonts w:ascii="Arial" w:cs="Arial" w:eastAsia="Arial" w:hAnsi="Arial"/>
          <w:sz w:val="16"/>
          <w:szCs w:val="16"/>
          <w:color w:val="auto"/>
        </w:rPr>
        <w:t>” section below.</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Operational Update</w:t>
      </w:r>
    </w:p>
    <w:p>
      <w:pPr>
        <w:spacing w:after="0" w:line="215" w:lineRule="exact"/>
        <w:rPr>
          <w:sz w:val="20"/>
          <w:szCs w:val="20"/>
          <w:color w:val="auto"/>
        </w:rPr>
      </w:pPr>
    </w:p>
    <w:p>
      <w:pPr>
        <w:ind w:firstLine="316"/>
        <w:spacing w:after="0" w:line="263" w:lineRule="auto"/>
        <w:rPr>
          <w:sz w:val="20"/>
          <w:szCs w:val="20"/>
          <w:color w:val="auto"/>
        </w:rPr>
      </w:pPr>
      <w:r>
        <w:rPr>
          <w:rFonts w:ascii="Arial" w:cs="Arial" w:eastAsia="Arial" w:hAnsi="Arial"/>
          <w:sz w:val="16"/>
          <w:szCs w:val="16"/>
          <w:color w:val="auto"/>
        </w:rPr>
        <w:t>Macroeconomic factors such as inflation, higher interest rates and recession concerns have softened demand for our products, with certain customers reducing purchases as they adjust their production levels and right-size their inventories. As a result, we and our industry have been experiencing a supply-demand imbalance, which has resulted in reduced shipments and negatively impacted pricing, particularly in Flash. While the supply-demand imbalance has recently started to show signs of stabilization, particularly in Client and Consumer, we continue to face a dynamic market environment. To adapt to these conditions, we have scaled back on capital expenditures, consolidated production lines and reduced production bit growth since the beginning of 2023 in order to better align with market demand and have also implemented measures to reduce operating expenses. These actions have resulted in incremental charges for employee termination, asset impairment and other, and manufacturing underutilization charges in Flash and HDD, and are expected to continue to negatively impact near-term results. Notwithstanding the current supply-demand imbalance, we believe digital transformation will continue to drive long-term growth for data storage in both Flash and HDD and believe that the actions we are taking will position us to capitalize on market conditions when they improve to address long-term growth opportunities in data storage across all our end markets.</w:t>
      </w:r>
    </w:p>
    <w:p>
      <w:pPr>
        <w:spacing w:after="0" w:line="200" w:lineRule="exact"/>
        <w:rPr>
          <w:sz w:val="20"/>
          <w:szCs w:val="20"/>
          <w:color w:val="auto"/>
        </w:rPr>
      </w:pPr>
    </w:p>
    <w:p>
      <w:pPr>
        <w:ind w:right="60" w:firstLine="316"/>
        <w:spacing w:after="0" w:line="236" w:lineRule="auto"/>
        <w:rPr>
          <w:sz w:val="20"/>
          <w:szCs w:val="20"/>
          <w:color w:val="auto"/>
        </w:rPr>
      </w:pPr>
      <w:r>
        <w:rPr>
          <w:rFonts w:ascii="Arial" w:cs="Arial" w:eastAsia="Arial" w:hAnsi="Arial"/>
          <w:sz w:val="18"/>
          <w:szCs w:val="18"/>
          <w:color w:val="auto"/>
        </w:rPr>
        <w:t>We will continue to actively monitor developments impacting our business and may take additional responsive actions that we determine to be in the best interest of our business and stakeholders.</w:t>
      </w:r>
    </w:p>
    <w:p>
      <w:pPr>
        <w:spacing w:after="0" w:line="213" w:lineRule="exact"/>
        <w:rPr>
          <w:sz w:val="20"/>
          <w:szCs w:val="20"/>
          <w:color w:val="auto"/>
        </w:rPr>
      </w:pPr>
    </w:p>
    <w:p>
      <w:pPr>
        <w:ind w:right="60" w:firstLine="316"/>
        <w:spacing w:after="0" w:line="247" w:lineRule="auto"/>
        <w:rPr>
          <w:sz w:val="20"/>
          <w:szCs w:val="20"/>
          <w:color w:val="auto"/>
        </w:rPr>
      </w:pPr>
      <w:r>
        <w:rPr>
          <w:rFonts w:ascii="Arial" w:cs="Arial" w:eastAsia="Arial" w:hAnsi="Arial"/>
          <w:sz w:val="18"/>
          <w:szCs w:val="18"/>
          <w:color w:val="auto"/>
        </w:rPr>
        <w:t xml:space="preserve">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Annual Report on Form 10-K for the year ended June 30, 2023 for more information regarding the risks we face as a result of macroeconomic conditions and supply chain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First Quarter Overview</w:t>
      </w:r>
    </w:p>
    <w:p>
      <w:pPr>
        <w:spacing w:after="0" w:line="241" w:lineRule="exact"/>
        <w:rPr>
          <w:sz w:val="20"/>
          <w:szCs w:val="20"/>
          <w:color w:val="auto"/>
        </w:rPr>
      </w:pPr>
    </w:p>
    <w:p>
      <w:pPr>
        <w:ind w:right="220" w:firstLine="316"/>
        <w:spacing w:after="0" w:line="243"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3"/>
          </w:tcPr>
          <w:p>
            <w:pPr>
              <w:jc w:val="right"/>
              <w:ind w:right="541"/>
              <w:spacing w:after="0" w:line="13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1"/>
                <w:szCs w:val="11"/>
                <w:color w:val="auto"/>
              </w:rPr>
            </w:pPr>
          </w:p>
        </w:tc>
        <w:tc>
          <w:tcPr>
            <w:tcW w:w="1720" w:type="dxa"/>
            <w:vAlign w:val="bottom"/>
            <w:gridSpan w:val="3"/>
          </w:tcPr>
          <w:p>
            <w:pPr>
              <w:jc w:val="right"/>
              <w:ind w:right="501"/>
              <w:spacing w:after="0" w:line="13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9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w w:val="95"/>
              </w:rPr>
              <w:t>$ Change</w:t>
            </w:r>
          </w:p>
        </w:tc>
        <w:tc>
          <w:tcPr>
            <w:tcW w:w="10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841"/>
              <w:spacing w:after="0"/>
              <w:rPr>
                <w:sz w:val="20"/>
                <w:szCs w:val="20"/>
                <w:color w:val="auto"/>
              </w:rPr>
            </w:pPr>
            <w:r>
              <w:rPr>
                <w:rFonts w:ascii="Arial" w:cs="Arial" w:eastAsia="Arial" w:hAnsi="Arial"/>
                <w:sz w:val="14"/>
                <w:szCs w:val="14"/>
                <w:b w:val="1"/>
                <w:bCs w:val="1"/>
                <w:color w:val="auto"/>
                <w:w w:val="83"/>
              </w:rPr>
              <w:t>2023</w:t>
            </w: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781"/>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481"/>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2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100.0 %</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(986)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8"/>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2,651</w:t>
            </w: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96.4</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w:t>
            </w: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73.7</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(104)</w:t>
            </w:r>
          </w:p>
        </w:tc>
        <w:tc>
          <w:tcPr>
            <w:tcW w:w="104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4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0" w:type="dxa"/>
            <w:vAlign w:val="bottom"/>
            <w:gridSpan w:val="2"/>
            <w:shd w:val="clear" w:color="auto" w:fill="CCEEFF"/>
          </w:tcPr>
          <w:p>
            <w:pPr>
              <w:jc w:val="right"/>
              <w:ind w:right="221"/>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26.3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(882)</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4"/>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0" w:type="dxa"/>
            <w:vAlign w:val="bottom"/>
            <w:gridSpan w:val="2"/>
            <w:shd w:val="clear" w:color="auto" w:fill="CCEEFF"/>
          </w:tcPr>
          <w:p>
            <w:pPr>
              <w:jc w:val="right"/>
              <w:ind w:right="221"/>
              <w:spacing w:after="0"/>
              <w:rPr>
                <w:sz w:val="20"/>
                <w:szCs w:val="20"/>
                <w:color w:val="auto"/>
              </w:rPr>
            </w:pPr>
            <w:r>
              <w:rPr>
                <w:rFonts w:ascii="Arial" w:cs="Arial" w:eastAsia="Arial" w:hAnsi="Arial"/>
                <w:sz w:val="16"/>
                <w:szCs w:val="16"/>
                <w:color w:val="auto"/>
              </w:rPr>
              <w:t>15.7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14.8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(121)</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8"/>
        </w:trPr>
        <w:tc>
          <w:tcPr>
            <w:tcW w:w="498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207</w:t>
            </w:r>
          </w:p>
        </w:tc>
        <w:tc>
          <w:tcPr>
            <w:tcW w:w="1200" w:type="dxa"/>
            <w:vAlign w:val="bottom"/>
            <w:gridSpan w:val="2"/>
          </w:tcPr>
          <w:p>
            <w:pPr>
              <w:jc w:val="right"/>
              <w:ind w:right="221"/>
              <w:spacing w:after="0"/>
              <w:rPr>
                <w:sz w:val="20"/>
                <w:szCs w:val="20"/>
                <w:color w:val="auto"/>
              </w:rPr>
            </w:pPr>
            <w:r>
              <w:rPr>
                <w:rFonts w:ascii="Arial" w:cs="Arial" w:eastAsia="Arial" w:hAnsi="Arial"/>
                <w:sz w:val="16"/>
                <w:szCs w:val="16"/>
                <w:color w:val="auto"/>
              </w:rPr>
              <w:t>7.5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247</w:t>
            </w:r>
          </w:p>
        </w:tc>
        <w:tc>
          <w:tcPr>
            <w:tcW w:w="1160" w:type="dxa"/>
            <w:vAlign w:val="bottom"/>
            <w:gridSpan w:val="2"/>
          </w:tcPr>
          <w:p>
            <w:pPr>
              <w:jc w:val="right"/>
              <w:ind w:right="161"/>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(40)</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4"/>
        </w:trPr>
        <w:tc>
          <w:tcPr>
            <w:tcW w:w="4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tcBorders>
              <w:bottom w:val="single" w:sz="8" w:color="auto"/>
            </w:tcBorders>
            <w:shd w:val="clear" w:color="auto" w:fill="CCEEFF"/>
          </w:tcPr>
          <w:p>
            <w:pPr>
              <w:spacing w:after="0"/>
              <w:rPr>
                <w:sz w:val="18"/>
                <w:szCs w:val="18"/>
                <w:color w:val="auto"/>
              </w:rPr>
            </w:pP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0" w:type="dxa"/>
            <w:vAlign w:val="bottom"/>
            <w:tcBorders>
              <w:bottom w:val="single" w:sz="8" w:color="auto"/>
            </w:tcBorders>
            <w:shd w:val="clear" w:color="auto" w:fill="CCEEFF"/>
          </w:tcPr>
          <w:p>
            <w:pPr>
              <w:spacing w:after="0"/>
              <w:rPr>
                <w:sz w:val="18"/>
                <w:szCs w:val="18"/>
                <w:color w:val="auto"/>
              </w:rPr>
            </w:pP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33</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1"/>
        </w:trPr>
        <w:tc>
          <w:tcPr>
            <w:tcW w:w="4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25.3</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22.0</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(128)</w:t>
            </w:r>
          </w:p>
        </w:tc>
        <w:tc>
          <w:tcPr>
            <w:tcW w:w="104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(21.7)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(754)</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04"/>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0" w:type="dxa"/>
            <w:vAlign w:val="bottom"/>
            <w:gridSpan w:val="2"/>
            <w:shd w:val="clear" w:color="auto" w:fill="CCEEFF"/>
          </w:tcPr>
          <w:p>
            <w:pPr>
              <w:jc w:val="right"/>
              <w:ind w:right="221"/>
              <w:spacing w:after="0"/>
              <w:rPr>
                <w:sz w:val="20"/>
                <w:szCs w:val="20"/>
                <w:color w:val="auto"/>
              </w:rPr>
            </w:pPr>
            <w:r>
              <w:rPr>
                <w:rFonts w:ascii="Arial" w:cs="Arial" w:eastAsia="Arial" w:hAnsi="Arial"/>
                <w:sz w:val="16"/>
                <w:szCs w:val="16"/>
                <w:color w:val="auto"/>
              </w:rPr>
              <w:t>0.3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6</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8"/>
        </w:trPr>
        <w:tc>
          <w:tcPr>
            <w:tcW w:w="4980" w:type="dxa"/>
            <w:vAlign w:val="bottom"/>
            <w:gridSpan w:val="2"/>
          </w:tcPr>
          <w:p>
            <w:pPr>
              <w:ind w:left="1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w:t>
            </w:r>
          </w:p>
        </w:tc>
        <w:tc>
          <w:tcPr>
            <w:tcW w:w="1200" w:type="dxa"/>
            <w:vAlign w:val="bottom"/>
            <w:gridSpan w:val="2"/>
          </w:tcPr>
          <w:p>
            <w:pPr>
              <w:jc w:val="right"/>
              <w:ind w:right="181"/>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w:t>
            </w:r>
          </w:p>
        </w:tc>
        <w:tc>
          <w:tcPr>
            <w:tcW w:w="1160" w:type="dxa"/>
            <w:vAlign w:val="bottom"/>
            <w:gridSpan w:val="2"/>
          </w:tcPr>
          <w:p>
            <w:pPr>
              <w:jc w:val="right"/>
              <w:ind w:right="121"/>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(28)</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4"/>
        </w:trPr>
        <w:tc>
          <w:tcPr>
            <w:tcW w:w="4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11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auto"/>
            </w:tcBorders>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1"/>
        </w:trPr>
        <w:tc>
          <w:tcPr>
            <w:tcW w:w="4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(12)</w:t>
            </w:r>
          </w:p>
        </w:tc>
        <w:tc>
          <w:tcPr>
            <w:tcW w:w="10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(24.8)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(766)</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08"/>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(54)</w:t>
            </w:r>
          </w:p>
        </w:tc>
        <w:tc>
          <w:tcPr>
            <w:tcW w:w="104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(24.9)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(712)</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8"/>
        </w:trPr>
        <w:tc>
          <w:tcPr>
            <w:tcW w:w="4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Less: cumulative dividends allocated to preferred shareholders</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15</w:t>
            </w:r>
          </w:p>
        </w:tc>
        <w:tc>
          <w:tcPr>
            <w:tcW w:w="10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shareholders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(25.5)%</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(727)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54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hanging="254"/>
        <w:spacing w:after="0"/>
        <w:tabs>
          <w:tab w:leader="none" w:pos="2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for the periods presented, a summary of our segment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9"/>
        </w:trPr>
        <w:tc>
          <w:tcPr>
            <w:tcW w:w="7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September 29,</w:t>
            </w:r>
          </w:p>
        </w:tc>
        <w:tc>
          <w:tcPr>
            <w:tcW w:w="320" w:type="dxa"/>
            <w:vAlign w:val="bottom"/>
          </w:tcPr>
          <w:p>
            <w:pPr>
              <w:spacing w:after="0"/>
              <w:rPr>
                <w:sz w:val="11"/>
                <w:szCs w:val="11"/>
                <w:color w:val="auto"/>
              </w:rPr>
            </w:pPr>
          </w:p>
        </w:tc>
        <w:tc>
          <w:tcPr>
            <w:tcW w:w="1200" w:type="dxa"/>
            <w:vAlign w:val="bottom"/>
          </w:tcPr>
          <w:p>
            <w:pPr>
              <w:jc w:val="right"/>
              <w:ind w:right="242"/>
              <w:spacing w:after="0" w:line="129" w:lineRule="exact"/>
              <w:rPr>
                <w:sz w:val="20"/>
                <w:szCs w:val="20"/>
                <w:color w:val="auto"/>
              </w:rPr>
            </w:pPr>
            <w:r>
              <w:rPr>
                <w:rFonts w:ascii="Arial" w:cs="Arial" w:eastAsia="Arial" w:hAnsi="Arial"/>
                <w:sz w:val="14"/>
                <w:szCs w:val="14"/>
                <w:b w:val="1"/>
                <w:bCs w:val="1"/>
                <w:color w:val="auto"/>
                <w:w w:val="89"/>
              </w:rPr>
              <w:t>September 30,</w:t>
            </w:r>
          </w:p>
        </w:tc>
      </w:tr>
      <w:tr>
        <w:trPr>
          <w:trHeight w:val="189"/>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r>
      <w:tr>
        <w:trPr>
          <w:trHeight w:val="187"/>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millions</w:t>
            </w:r>
          </w:p>
        </w:tc>
        <w:tc>
          <w:tcPr>
            <w:tcW w:w="1200" w:type="dxa"/>
            <w:vAlign w:val="bottom"/>
          </w:tcPr>
          <w:p>
            <w:pPr>
              <w:spacing w:after="0"/>
              <w:rPr>
                <w:sz w:val="16"/>
                <w:szCs w:val="16"/>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8"/>
        </w:trPr>
        <w:tc>
          <w:tcPr>
            <w:tcW w:w="7800" w:type="dxa"/>
            <w:vAlign w:val="bottom"/>
          </w:tcPr>
          <w:p>
            <w:pPr>
              <w:ind w:left="120"/>
              <w:spacing w:after="0"/>
              <w:rPr>
                <w:sz w:val="20"/>
                <w:szCs w:val="20"/>
                <w:color w:val="auto"/>
              </w:rPr>
            </w:pPr>
            <w:r>
              <w:rPr>
                <w:rFonts w:ascii="Arial" w:cs="Arial" w:eastAsia="Arial" w:hAnsi="Arial"/>
                <w:sz w:val="16"/>
                <w:szCs w:val="16"/>
                <w:color w:val="auto"/>
              </w:rPr>
              <w:t>Flash</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3"/>
              <w:spacing w:after="0"/>
              <w:rPr>
                <w:sz w:val="20"/>
                <w:szCs w:val="20"/>
                <w:color w:val="auto"/>
              </w:rPr>
            </w:pPr>
            <w:r>
              <w:rPr>
                <w:rFonts w:ascii="Arial" w:cs="Arial" w:eastAsia="Arial" w:hAnsi="Arial"/>
                <w:sz w:val="16"/>
                <w:szCs w:val="16"/>
                <w:color w:val="auto"/>
              </w:rPr>
              <w:t>1,556</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1,722</w:t>
            </w:r>
          </w:p>
        </w:tc>
      </w:tr>
      <w:tr>
        <w:trPr>
          <w:trHeight w:val="214"/>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2,014</w:t>
            </w:r>
          </w:p>
        </w:tc>
      </w:tr>
      <w:tr>
        <w:trPr>
          <w:trHeight w:val="201"/>
        </w:trPr>
        <w:tc>
          <w:tcPr>
            <w:tcW w:w="7800" w:type="dxa"/>
            <w:vAlign w:val="bottom"/>
          </w:tcPr>
          <w:p>
            <w:pPr>
              <w:ind w:left="240"/>
              <w:spacing w:after="0"/>
              <w:rPr>
                <w:sz w:val="20"/>
                <w:szCs w:val="20"/>
                <w:color w:val="auto"/>
              </w:rPr>
            </w:pPr>
            <w:r>
              <w:rPr>
                <w:rFonts w:ascii="Arial" w:cs="Arial" w:eastAsia="Arial" w:hAnsi="Arial"/>
                <w:sz w:val="16"/>
                <w:szCs w:val="16"/>
                <w:color w:val="auto"/>
              </w:rPr>
              <w:t>Total net revenue</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3,736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78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8"/>
        </w:trPr>
        <w:tc>
          <w:tcPr>
            <w:tcW w:w="7800" w:type="dxa"/>
            <w:vAlign w:val="bottom"/>
          </w:tcPr>
          <w:p>
            <w:pPr>
              <w:ind w:left="120"/>
              <w:spacing w:after="0"/>
              <w:rPr>
                <w:sz w:val="20"/>
                <w:szCs w:val="20"/>
                <w:color w:val="auto"/>
              </w:rPr>
            </w:pPr>
            <w:r>
              <w:rPr>
                <w:rFonts w:ascii="Arial" w:cs="Arial" w:eastAsia="Arial" w:hAnsi="Arial"/>
                <w:sz w:val="16"/>
                <w:szCs w:val="16"/>
                <w:color w:val="auto"/>
              </w:rPr>
              <w:t>Flash</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422</w:t>
            </w:r>
          </w:p>
        </w:tc>
      </w:tr>
      <w:tr>
        <w:trPr>
          <w:trHeight w:val="214"/>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574</w:t>
            </w:r>
          </w:p>
        </w:tc>
      </w:tr>
      <w:tr>
        <w:trPr>
          <w:trHeight w:val="208"/>
        </w:trPr>
        <w:tc>
          <w:tcPr>
            <w:tcW w:w="7800" w:type="dxa"/>
            <w:vAlign w:val="bottom"/>
          </w:tcPr>
          <w:p>
            <w:pPr>
              <w:ind w:left="120"/>
              <w:spacing w:after="0"/>
              <w:rPr>
                <w:sz w:val="20"/>
                <w:szCs w:val="20"/>
                <w:color w:val="auto"/>
              </w:rPr>
            </w:pPr>
            <w:r>
              <w:rPr>
                <w:rFonts w:ascii="Arial" w:cs="Arial" w:eastAsia="Arial" w:hAnsi="Arial"/>
                <w:sz w:val="16"/>
                <w:szCs w:val="16"/>
                <w:color w:val="auto"/>
              </w:rPr>
              <w:t>Unallocated corporate items: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w:t>
            </w:r>
          </w:p>
        </w:tc>
      </w:tr>
      <w:tr>
        <w:trPr>
          <w:trHeight w:val="208"/>
        </w:trPr>
        <w:tc>
          <w:tcPr>
            <w:tcW w:w="7800" w:type="dxa"/>
            <w:vAlign w:val="bottom"/>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2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w:t>
            </w:r>
          </w:p>
        </w:tc>
      </w:tr>
      <w:tr>
        <w:trPr>
          <w:trHeight w:val="208"/>
        </w:trPr>
        <w:tc>
          <w:tcPr>
            <w:tcW w:w="78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unallocated corporate items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(15)</w:t>
            </w:r>
          </w:p>
        </w:tc>
      </w:tr>
      <w:tr>
        <w:trPr>
          <w:trHeight w:val="201"/>
        </w:trPr>
        <w:tc>
          <w:tcPr>
            <w:tcW w:w="7800" w:type="dxa"/>
            <w:vAlign w:val="bottom"/>
          </w:tcPr>
          <w:p>
            <w:pPr>
              <w:ind w:left="440"/>
              <w:spacing w:after="0"/>
              <w:rPr>
                <w:sz w:val="20"/>
                <w:szCs w:val="20"/>
                <w:color w:val="auto"/>
              </w:rPr>
            </w:pPr>
            <w:r>
              <w:rPr>
                <w:rFonts w:ascii="Arial" w:cs="Arial" w:eastAsia="Arial" w:hAnsi="Arial"/>
                <w:sz w:val="16"/>
                <w:szCs w:val="16"/>
                <w:color w:val="auto"/>
              </w:rPr>
              <w:t>Consolidated gross profit</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981</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78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8"/>
        </w:trPr>
        <w:tc>
          <w:tcPr>
            <w:tcW w:w="7800" w:type="dxa"/>
            <w:vAlign w:val="bottom"/>
          </w:tcPr>
          <w:p>
            <w:pPr>
              <w:ind w:left="120"/>
              <w:spacing w:after="0"/>
              <w:rPr>
                <w:sz w:val="20"/>
                <w:szCs w:val="20"/>
                <w:color w:val="auto"/>
              </w:rPr>
            </w:pPr>
            <w:r>
              <w:rPr>
                <w:rFonts w:ascii="Arial" w:cs="Arial" w:eastAsia="Arial" w:hAnsi="Arial"/>
                <w:sz w:val="16"/>
                <w:szCs w:val="16"/>
                <w:color w:val="auto"/>
              </w:rPr>
              <w:t>Flash</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24.5 %</w:t>
            </w:r>
          </w:p>
        </w:tc>
      </w:tr>
      <w:tr>
        <w:trPr>
          <w:trHeight w:val="214"/>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28.5 %</w:t>
            </w:r>
          </w:p>
        </w:tc>
      </w:tr>
      <w:tr>
        <w:trPr>
          <w:trHeight w:val="204"/>
        </w:trPr>
        <w:tc>
          <w:tcPr>
            <w:tcW w:w="7800" w:type="dxa"/>
            <w:vAlign w:val="bottom"/>
          </w:tcPr>
          <w:p>
            <w:pPr>
              <w:ind w:left="120"/>
              <w:spacing w:after="0"/>
              <w:rPr>
                <w:sz w:val="20"/>
                <w:szCs w:val="20"/>
                <w:color w:val="auto"/>
              </w:rPr>
            </w:pPr>
            <w:r>
              <w:rPr>
                <w:rFonts w:ascii="Arial" w:cs="Arial" w:eastAsia="Arial" w:hAnsi="Arial"/>
                <w:sz w:val="16"/>
                <w:szCs w:val="16"/>
                <w:color w:val="auto"/>
              </w:rPr>
              <w:t>Consolidated gross margin</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5908040</wp:posOffset>
            </wp:positionH>
            <wp:positionV relativeFrom="paragraph">
              <wp:posOffset>-2331720</wp:posOffset>
            </wp:positionV>
            <wp:extent cx="673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for the periods presented, summary information regarding our disaggregated revenue: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5"/>
        </w:trPr>
        <w:tc>
          <w:tcPr>
            <w:tcW w:w="8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ind w:left="100"/>
              <w:spacing w:after="0" w:line="125"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0"/>
                <w:szCs w:val="10"/>
                <w:color w:val="auto"/>
              </w:rPr>
            </w:pPr>
          </w:p>
        </w:tc>
        <w:tc>
          <w:tcPr>
            <w:tcW w:w="1240" w:type="dxa"/>
            <w:vAlign w:val="bottom"/>
          </w:tcPr>
          <w:p>
            <w:pPr>
              <w:jc w:val="right"/>
              <w:ind w:right="203"/>
              <w:spacing w:after="0" w:line="125" w:lineRule="exact"/>
              <w:rPr>
                <w:sz w:val="20"/>
                <w:szCs w:val="20"/>
                <w:color w:val="auto"/>
              </w:rPr>
            </w:pPr>
            <w:r>
              <w:rPr>
                <w:rFonts w:ascii="Arial" w:cs="Arial" w:eastAsia="Arial" w:hAnsi="Arial"/>
                <w:sz w:val="14"/>
                <w:szCs w:val="14"/>
                <w:b w:val="1"/>
                <w:bCs w:val="1"/>
                <w:color w:val="auto"/>
                <w:w w:val="98"/>
              </w:rPr>
              <w:t>September 30,</w:t>
            </w: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208"/>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right"/>
              <w:ind w:right="1023"/>
              <w:spacing w:after="0"/>
              <w:rPr>
                <w:sz w:val="20"/>
                <w:szCs w:val="20"/>
                <w:color w:val="auto"/>
              </w:rPr>
            </w:pPr>
            <w:r>
              <w:rPr>
                <w:rFonts w:ascii="Arial" w:cs="Arial" w:eastAsia="Arial" w:hAnsi="Arial"/>
                <w:sz w:val="16"/>
                <w:szCs w:val="16"/>
                <w:i w:val="1"/>
                <w:iCs w:val="1"/>
                <w:color w:val="auto"/>
              </w:rPr>
              <w:t>(in millions)</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Cloud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1,829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r>
      <w:tr>
        <w:trPr>
          <w:trHeight w:val="23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Asia</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1,686</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Americas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Europe, Middle East and Africa</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Revenue</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Comparison of Three Months Ended September 29, 2023 to Three Months Ended September 30, 2022</w:t>
      </w:r>
    </w:p>
    <w:p>
      <w:pPr>
        <w:spacing w:after="0" w:line="228" w:lineRule="exact"/>
        <w:rPr>
          <w:sz w:val="20"/>
          <w:szCs w:val="20"/>
          <w:color w:val="auto"/>
        </w:rPr>
      </w:pPr>
    </w:p>
    <w:p>
      <w:pPr>
        <w:jc w:val="both"/>
        <w:ind w:firstLine="316"/>
        <w:spacing w:after="0" w:line="247" w:lineRule="auto"/>
        <w:rPr>
          <w:sz w:val="20"/>
          <w:szCs w:val="20"/>
          <w:color w:val="auto"/>
        </w:rPr>
      </w:pPr>
      <w:r>
        <w:rPr>
          <w:rFonts w:ascii="Arial" w:cs="Arial" w:eastAsia="Arial" w:hAnsi="Arial"/>
          <w:sz w:val="18"/>
          <w:szCs w:val="18"/>
          <w:color w:val="auto"/>
        </w:rPr>
        <w:t>The decrease in consolidated net revenue for the three months ended September 29, 2023 from the comparable period in the prior year reflected the current supply-demand imbalance and macroeconomic pressures described in “</w:t>
      </w:r>
      <w:r>
        <w:rPr>
          <w:rFonts w:ascii="Arial" w:cs="Arial" w:eastAsia="Arial" w:hAnsi="Arial"/>
          <w:sz w:val="18"/>
          <w:szCs w:val="18"/>
          <w:i w:val="1"/>
          <w:iCs w:val="1"/>
          <w:color w:val="auto"/>
        </w:rPr>
        <w:t>Operational Update</w:t>
      </w:r>
      <w:r>
        <w:rPr>
          <w:rFonts w:ascii="Arial" w:cs="Arial" w:eastAsia="Arial" w:hAnsi="Arial"/>
          <w:sz w:val="18"/>
          <w:szCs w:val="18"/>
          <w:color w:val="auto"/>
        </w:rPr>
        <w:t>” above.</w:t>
      </w:r>
    </w:p>
    <w:p>
      <w:pPr>
        <w:spacing w:after="0" w:line="207" w:lineRule="exact"/>
        <w:rPr>
          <w:sz w:val="20"/>
          <w:szCs w:val="20"/>
          <w:color w:val="auto"/>
        </w:rPr>
      </w:pPr>
    </w:p>
    <w:p>
      <w:pPr>
        <w:ind w:right="160" w:firstLine="316"/>
        <w:spacing w:after="0" w:line="345" w:lineRule="auto"/>
        <w:rPr>
          <w:sz w:val="20"/>
          <w:szCs w:val="20"/>
          <w:color w:val="auto"/>
        </w:rPr>
      </w:pPr>
      <w:r>
        <w:rPr>
          <w:rFonts w:ascii="Arial" w:cs="Arial" w:eastAsia="Arial" w:hAnsi="Arial"/>
          <w:sz w:val="15"/>
          <w:szCs w:val="15"/>
          <w:color w:val="auto"/>
        </w:rPr>
        <w:t>Flash revenue decreased 10% for the three months ended September 29, 2023 from the comparable period in the prior year primarily as a result of a 39% decline in average selling prices per gigabyte caused by the macroeconomic pressures noted previously, partially offset by an increase in exabytes shipped.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right="120" w:firstLine="316"/>
        <w:spacing w:after="0" w:line="308" w:lineRule="auto"/>
        <w:rPr>
          <w:sz w:val="20"/>
          <w:szCs w:val="20"/>
          <w:color w:val="auto"/>
        </w:rPr>
      </w:pPr>
      <w:r>
        <w:rPr>
          <w:rFonts w:ascii="Arial" w:cs="Arial" w:eastAsia="Arial" w:hAnsi="Arial"/>
          <w:sz w:val="16"/>
          <w:szCs w:val="16"/>
          <w:color w:val="auto"/>
        </w:rPr>
        <w:t>HDD revenue decreased 41% for the three months ended September 29, 2023, from the comparable period in the prior year primarily as a result of a 42% decline in exabytes shipped, which was substantially all driven by lower shipments to customers in our Cloud end market.</w:t>
      </w:r>
    </w:p>
    <w:p>
      <w:pPr>
        <w:spacing w:after="0" w:line="161" w:lineRule="exact"/>
        <w:rPr>
          <w:sz w:val="20"/>
          <w:szCs w:val="20"/>
          <w:color w:val="auto"/>
        </w:rPr>
      </w:pPr>
    </w:p>
    <w:p>
      <w:pPr>
        <w:ind w:right="20" w:firstLine="316"/>
        <w:spacing w:after="0" w:line="223" w:lineRule="auto"/>
        <w:rPr>
          <w:sz w:val="20"/>
          <w:szCs w:val="20"/>
          <w:color w:val="auto"/>
        </w:rPr>
      </w:pPr>
      <w:r>
        <w:rPr>
          <w:rFonts w:ascii="Arial" w:cs="Arial" w:eastAsia="Arial" w:hAnsi="Arial"/>
          <w:sz w:val="18"/>
          <w:szCs w:val="18"/>
          <w:color w:val="auto"/>
        </w:rPr>
        <w:t>The 52% decrease in Cloud revenue for the three months ended September 29, 2023 from the comparable period in the prior year was substantially all driven by lower volume in HDD and Flash. In Client, the 7% decrease in revenue for the three months ended September 29, 2023 from the comparable period in the prior year primarily reflected approximately 57 percentage points of decline from lower pricing, driven by Flash, which was largely offset by an increase in volume, also in Flash. In Consumer, the 8% increase in revenue for the three months ended September 29, 2023 from the comparable period in the prior year primarily reflected approximately 44 percentage points of increase from higher volume, driven by Flash,which was largely offset by a decline in pricing, also in Flash.</w:t>
      </w:r>
    </w:p>
    <w:p>
      <w:pPr>
        <w:spacing w:after="0" w:line="218" w:lineRule="exact"/>
        <w:rPr>
          <w:sz w:val="20"/>
          <w:szCs w:val="20"/>
          <w:color w:val="auto"/>
        </w:rPr>
      </w:pPr>
    </w:p>
    <w:p>
      <w:pPr>
        <w:ind w:firstLine="316"/>
        <w:spacing w:after="0" w:line="253" w:lineRule="auto"/>
        <w:rPr>
          <w:sz w:val="20"/>
          <w:szCs w:val="20"/>
          <w:color w:val="auto"/>
        </w:rPr>
      </w:pPr>
      <w:r>
        <w:rPr>
          <w:rFonts w:ascii="Arial" w:cs="Arial" w:eastAsia="Arial" w:hAnsi="Arial"/>
          <w:sz w:val="18"/>
          <w:szCs w:val="18"/>
          <w:color w:val="auto"/>
        </w:rPr>
        <w:t>The changes in net revenue by geography for the three months ended September 29, 2023 from the comparable period in the prior year reflected a larger decline in Americas from lower Cloud revenue in this region as our Cloud customers reduced purchases to align with current market demand, as well as routine variations in the mix of business.</w:t>
      </w:r>
    </w:p>
    <w:p>
      <w:pPr>
        <w:spacing w:after="0" w:line="216" w:lineRule="exact"/>
        <w:rPr>
          <w:sz w:val="20"/>
          <w:szCs w:val="20"/>
          <w:color w:val="auto"/>
        </w:rPr>
      </w:pPr>
    </w:p>
    <w:p>
      <w:pPr>
        <w:jc w:val="both"/>
        <w:ind w:right="160" w:firstLine="316"/>
        <w:spacing w:after="0" w:line="253" w:lineRule="auto"/>
        <w:rPr>
          <w:sz w:val="20"/>
          <w:szCs w:val="20"/>
          <w:color w:val="auto"/>
        </w:rPr>
      </w:pPr>
      <w:r>
        <w:rPr>
          <w:rFonts w:ascii="Arial" w:cs="Arial" w:eastAsia="Arial" w:hAnsi="Arial"/>
          <w:sz w:val="18"/>
          <w:szCs w:val="18"/>
          <w:color w:val="auto"/>
        </w:rPr>
        <w:t>Our top 10 customers accounted for 44% of our net revenue for the three months ended September 29, 2023, compared to 52% of our net revenue for the three months ended September 30, 2022. For each of the three months ended September 29, 2023 and September 30, 2022, no single customer accounted for 10% or more of our net revenue.</w:t>
      </w:r>
    </w:p>
    <w:p>
      <w:pPr>
        <w:spacing w:after="0" w:line="216" w:lineRule="exact"/>
        <w:rPr>
          <w:sz w:val="20"/>
          <w:szCs w:val="20"/>
          <w:color w:val="auto"/>
        </w:rPr>
      </w:pPr>
    </w:p>
    <w:p>
      <w:pPr>
        <w:ind w:right="20" w:firstLine="316"/>
        <w:spacing w:after="0" w:line="248" w:lineRule="auto"/>
        <w:rPr>
          <w:sz w:val="20"/>
          <w:szCs w:val="20"/>
          <w:color w:val="auto"/>
        </w:rPr>
      </w:pPr>
      <w:r>
        <w:rPr>
          <w:rFonts w:ascii="Arial" w:cs="Arial" w:eastAsia="Arial" w:hAnsi="Arial"/>
          <w:sz w:val="18"/>
          <w:szCs w:val="18"/>
          <w:color w:val="auto"/>
        </w:rPr>
        <w:t>Consistent with standard industry practice, we have sales incentive and marketing programs that provide customers with price protection and other incentives or reimbursements that are recorded as a reduction to gross revenue. These programs represented 20% of gross revenue for the three months ended September 29, 2023, and 19% of gross revenue for the three months ended September 30, 2022.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Gross Profit and Gross Margin</w:t>
      </w:r>
    </w:p>
    <w:p>
      <w:pPr>
        <w:spacing w:after="0" w:line="241" w:lineRule="exact"/>
        <w:rPr>
          <w:sz w:val="20"/>
          <w:szCs w:val="20"/>
          <w:color w:val="auto"/>
        </w:rPr>
      </w:pPr>
    </w:p>
    <w:p>
      <w:pPr>
        <w:ind w:right="80" w:firstLine="316"/>
        <w:spacing w:after="0" w:line="303" w:lineRule="auto"/>
        <w:rPr>
          <w:sz w:val="20"/>
          <w:szCs w:val="20"/>
          <w:color w:val="auto"/>
        </w:rPr>
      </w:pPr>
      <w:r>
        <w:rPr>
          <w:rFonts w:ascii="Arial" w:cs="Arial" w:eastAsia="Arial" w:hAnsi="Arial"/>
          <w:sz w:val="15"/>
          <w:szCs w:val="15"/>
          <w:color w:val="auto"/>
        </w:rPr>
        <w:t>Consolidated gross profit decreased by $882 million for the three months ended September 29, 2023 from the comparable period in the prior year, which primarily reflected the decrease in revenue described above as well as charges of approximately $225 million for manufacturing underutilization and related charges ($142 million in Flash and $83 million in HDD) and a write down of certain Flash inventory to the lower of cost or market value during the three months ended September 29, 2023. Consolidated gross margin decreased 23 percentage points for the three months ended September 29, 2023 from the comparable period in the prior year, with approximately 8 percentage points of the decline due to the net charges noted above and the remainder primarily driven by the lower average selling prices per gigabyte in Flash. Flash gross margin decreased by approximately 35 percentage points year over year, with approximately 9 percentage points of the decline due to the net charges noted above and the remainder driven by the lower average selling prices per gigabyte. HDD gross margin decreased by 6 percentage points year over year, with approximately 6 percentage points of the decline due to the net charges noted above.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Expenses</w:t>
      </w:r>
    </w:p>
    <w:p>
      <w:pPr>
        <w:spacing w:after="0" w:line="241" w:lineRule="exact"/>
        <w:rPr>
          <w:sz w:val="20"/>
          <w:szCs w:val="20"/>
          <w:color w:val="auto"/>
        </w:rPr>
      </w:pPr>
    </w:p>
    <w:p>
      <w:pPr>
        <w:ind w:right="200" w:firstLine="316"/>
        <w:spacing w:after="0" w:line="253" w:lineRule="auto"/>
        <w:rPr>
          <w:sz w:val="20"/>
          <w:szCs w:val="20"/>
          <w:color w:val="auto"/>
        </w:rPr>
      </w:pPr>
      <w:r>
        <w:rPr>
          <w:rFonts w:ascii="Arial" w:cs="Arial" w:eastAsia="Arial" w:hAnsi="Arial"/>
          <w:sz w:val="18"/>
          <w:szCs w:val="18"/>
          <w:color w:val="auto"/>
        </w:rPr>
        <w:t>Research and development (“R&amp;D”) expense decreased $121 million for the three months ended September 29, 2023 from the comparable period in the prior year. The decline was primarily driven by reductions in variable compensation expenses, headcount, and material use as we took actions to reduce expenses in the current environment.</w:t>
      </w:r>
    </w:p>
    <w:p>
      <w:pPr>
        <w:spacing w:after="0" w:line="216" w:lineRule="exact"/>
        <w:rPr>
          <w:sz w:val="20"/>
          <w:szCs w:val="20"/>
          <w:color w:val="auto"/>
        </w:rPr>
      </w:pPr>
    </w:p>
    <w:p>
      <w:pPr>
        <w:ind w:right="80" w:firstLine="316"/>
        <w:spacing w:after="0" w:line="253" w:lineRule="auto"/>
        <w:rPr>
          <w:sz w:val="20"/>
          <w:szCs w:val="20"/>
          <w:color w:val="auto"/>
        </w:rPr>
      </w:pPr>
      <w:r>
        <w:rPr>
          <w:rFonts w:ascii="Arial" w:cs="Arial" w:eastAsia="Arial" w:hAnsi="Arial"/>
          <w:sz w:val="18"/>
          <w:szCs w:val="18"/>
          <w:color w:val="auto"/>
        </w:rPr>
        <w:t>Selling, general and administrative (“SG&amp;A”) expense decreased $40 million for the three months ended September 29, 2023 from the comparable period in the prior year. The decline was primarily driven by reductions in headcount, variable compensation expenses, and a decrease in intangible amortization expense.</w:t>
      </w:r>
    </w:p>
    <w:p>
      <w:pPr>
        <w:spacing w:after="0" w:line="216" w:lineRule="exact"/>
        <w:rPr>
          <w:sz w:val="20"/>
          <w:szCs w:val="20"/>
          <w:color w:val="auto"/>
        </w:rPr>
      </w:pPr>
    </w:p>
    <w:p>
      <w:pPr>
        <w:jc w:val="both"/>
        <w:ind w:right="140" w:firstLine="316"/>
        <w:spacing w:after="0" w:line="280" w:lineRule="auto"/>
        <w:rPr>
          <w:sz w:val="20"/>
          <w:szCs w:val="20"/>
          <w:color w:val="auto"/>
        </w:rPr>
      </w:pPr>
      <w:r>
        <w:rPr>
          <w:rFonts w:ascii="Arial" w:cs="Arial" w:eastAsia="Arial" w:hAnsi="Arial"/>
          <w:sz w:val="16"/>
          <w:szCs w:val="16"/>
          <w:color w:val="auto"/>
        </w:rPr>
        <w:t xml:space="preserve">Employee termination, asset impairment and other increased $33 million for the three months ended September 29, 2023 from the comparable period in the prior year. The increase was primarily driven by asset impairments caused by project cancellations, partially offset by a gain on the sale-leaseback of our Milpitas, California facility. For information regarding Employee termination, asset impairment and other, see Part I, Item 1, Note 14, </w:t>
      </w:r>
      <w:r>
        <w:rPr>
          <w:rFonts w:ascii="Arial" w:cs="Arial" w:eastAsia="Arial" w:hAnsi="Arial"/>
          <w:sz w:val="16"/>
          <w:szCs w:val="16"/>
          <w:i w:val="1"/>
          <w:iCs w:val="1"/>
          <w:color w:val="auto"/>
        </w:rPr>
        <w:t>Employee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 Impairment, and Other </w:t>
      </w:r>
      <w:r>
        <w:rPr>
          <w:rFonts w:ascii="Arial" w:cs="Arial" w:eastAsia="Arial" w:hAnsi="Arial"/>
          <w:sz w:val="16"/>
          <w:szCs w:val="16"/>
          <w:color w:val="auto"/>
        </w:rPr>
        <w:t>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and Other Income (Expense)</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interest and other expense, net increased $12 million for the three months ended September 29, 2023 from the comparable period in the prior year,</w:t>
      </w:r>
    </w:p>
    <w:p>
      <w:pPr>
        <w:spacing w:after="0" w:line="53" w:lineRule="exact"/>
        <w:rPr>
          <w:sz w:val="20"/>
          <w:szCs w:val="20"/>
          <w:color w:val="auto"/>
        </w:rPr>
      </w:pPr>
    </w:p>
    <w:p>
      <w:pPr>
        <w:ind w:right="960"/>
        <w:spacing w:after="0" w:line="247" w:lineRule="auto"/>
        <w:rPr>
          <w:sz w:val="20"/>
          <w:szCs w:val="20"/>
          <w:color w:val="auto"/>
        </w:rPr>
      </w:pPr>
      <w:r>
        <w:rPr>
          <w:rFonts w:ascii="Arial" w:cs="Arial" w:eastAsia="Arial" w:hAnsi="Arial"/>
          <w:sz w:val="18"/>
          <w:szCs w:val="18"/>
          <w:color w:val="auto"/>
        </w:rPr>
        <w:t>reflecting higher interest expenses resulting from increases in interest rates and the drawdown of our Delayed Draw Term Loan discussed in “Key Developments-</w:t>
      </w:r>
      <w:r>
        <w:rPr>
          <w:rFonts w:ascii="Arial" w:cs="Arial" w:eastAsia="Arial" w:hAnsi="Arial"/>
          <w:sz w:val="18"/>
          <w:szCs w:val="18"/>
          <w:i w:val="1"/>
          <w:iCs w:val="1"/>
          <w:color w:val="auto"/>
        </w:rPr>
        <w:t>Financing Activities</w:t>
      </w:r>
      <w:r>
        <w:rPr>
          <w:rFonts w:ascii="Arial" w:cs="Arial" w:eastAsia="Arial" w:hAnsi="Arial"/>
          <w:sz w:val="18"/>
          <w:szCs w:val="18"/>
          <w:color w:val="auto"/>
        </w:rPr>
        <w:t>” above.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41" w:lineRule="exact"/>
        <w:rPr>
          <w:sz w:val="20"/>
          <w:szCs w:val="20"/>
          <w:color w:val="auto"/>
        </w:rPr>
      </w:pPr>
    </w:p>
    <w:p>
      <w:pPr>
        <w:jc w:val="both"/>
        <w:ind w:right="40" w:firstLine="316"/>
        <w:spacing w:after="0" w:line="287" w:lineRule="auto"/>
        <w:rPr>
          <w:sz w:val="20"/>
          <w:szCs w:val="20"/>
          <w:color w:val="auto"/>
        </w:rPr>
      </w:pPr>
      <w:r>
        <w:rPr>
          <w:rFonts w:ascii="Arial" w:cs="Arial" w:eastAsia="Arial" w:hAnsi="Arial"/>
          <w:sz w:val="16"/>
          <w:szCs w:val="16"/>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192" w:lineRule="exact"/>
        <w:rPr>
          <w:sz w:val="20"/>
          <w:szCs w:val="20"/>
          <w:color w:val="auto"/>
        </w:rPr>
      </w:pPr>
    </w:p>
    <w:p>
      <w:pPr>
        <w:ind w:right="40" w:firstLine="316"/>
        <w:spacing w:after="0" w:line="292" w:lineRule="auto"/>
        <w:rPr>
          <w:sz w:val="20"/>
          <w:szCs w:val="20"/>
          <w:color w:val="auto"/>
        </w:rPr>
      </w:pPr>
      <w:r>
        <w:rPr>
          <w:rFonts w:ascii="Arial" w:cs="Arial" w:eastAsia="Arial" w:hAnsi="Arial"/>
          <w:sz w:val="16"/>
          <w:szCs w:val="16"/>
          <w:color w:val="auto"/>
        </w:rPr>
        <w:t>On August 16, 2022, President Biden signed into law the Inflation Reduction Act of 2022, which contained significant legal changes related to tax, climate, energy, and health care. The tax measures include, among other things, a corporate alternative minimum tax (“CAMT”) of 15% on corporations with three-year average annual adjusted financial statement income (“AFSI”) exceeding $1.0 billion. The CAMT is effective for us beginning with fiscal year 2024. We are not subject to the CAMT of 15% for fiscal year 2024 as our annual average AFSI did not exceed $1.0 billion for the preceding three-year period.</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Income tax information from our Condensed Consolidated Statements of Operations by dollar and effective tax rate: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gridSpan w:val="3"/>
          </w:tcPr>
          <w:p>
            <w:pPr>
              <w:jc w:val="center"/>
              <w:ind w:right="144"/>
              <w:spacing w:after="0"/>
              <w:rPr>
                <w:sz w:val="20"/>
                <w:szCs w:val="20"/>
                <w:color w:val="auto"/>
              </w:rPr>
            </w:pPr>
            <w:r>
              <w:rPr>
                <w:rFonts w:ascii="Arial" w:cs="Arial" w:eastAsia="Arial" w:hAnsi="Arial"/>
                <w:sz w:val="14"/>
                <w:szCs w:val="14"/>
                <w:b w:val="1"/>
                <w:bCs w:val="1"/>
                <w:color w:val="auto"/>
                <w:w w:val="92"/>
              </w:rPr>
              <w:t>Three Months Ended</w:t>
            </w:r>
          </w:p>
        </w:tc>
      </w:tr>
      <w:tr>
        <w:trPr>
          <w:trHeight w:val="24"/>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5"/>
        </w:trPr>
        <w:tc>
          <w:tcPr>
            <w:tcW w:w="8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jc w:val="center"/>
              <w:ind w:right="205"/>
              <w:spacing w:after="0" w:line="125" w:lineRule="exact"/>
              <w:rPr>
                <w:sz w:val="20"/>
                <w:szCs w:val="20"/>
                <w:color w:val="auto"/>
              </w:rPr>
            </w:pPr>
            <w:r>
              <w:rPr>
                <w:rFonts w:ascii="Arial" w:cs="Arial" w:eastAsia="Arial" w:hAnsi="Arial"/>
                <w:sz w:val="14"/>
                <w:szCs w:val="14"/>
                <w:b w:val="1"/>
                <w:bCs w:val="1"/>
                <w:color w:val="auto"/>
                <w:w w:val="89"/>
              </w:rPr>
              <w:t>September 29,</w:t>
            </w:r>
          </w:p>
        </w:tc>
        <w:tc>
          <w:tcPr>
            <w:tcW w:w="400" w:type="dxa"/>
            <w:vAlign w:val="bottom"/>
          </w:tcPr>
          <w:p>
            <w:pPr>
              <w:spacing w:after="0"/>
              <w:rPr>
                <w:sz w:val="10"/>
                <w:szCs w:val="10"/>
                <w:color w:val="auto"/>
              </w:rPr>
            </w:pPr>
          </w:p>
        </w:tc>
        <w:tc>
          <w:tcPr>
            <w:tcW w:w="1200" w:type="dxa"/>
            <w:vAlign w:val="bottom"/>
          </w:tcPr>
          <w:p>
            <w:pPr>
              <w:jc w:val="center"/>
              <w:ind w:right="264"/>
              <w:spacing w:after="0" w:line="125" w:lineRule="exact"/>
              <w:rPr>
                <w:sz w:val="20"/>
                <w:szCs w:val="20"/>
                <w:color w:val="auto"/>
              </w:rPr>
            </w:pPr>
            <w:r>
              <w:rPr>
                <w:rFonts w:ascii="Arial" w:cs="Arial" w:eastAsia="Arial" w:hAnsi="Arial"/>
                <w:sz w:val="14"/>
                <w:szCs w:val="14"/>
                <w:b w:val="1"/>
                <w:bCs w:val="1"/>
                <w:color w:val="auto"/>
                <w:w w:val="89"/>
              </w:rPr>
              <w:t>September 30,</w:t>
            </w:r>
          </w:p>
        </w:tc>
      </w:tr>
      <w:tr>
        <w:trPr>
          <w:trHeight w:val="191"/>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r>
      <w:tr>
        <w:trPr>
          <w:trHeight w:val="208"/>
        </w:trPr>
        <w:tc>
          <w:tcPr>
            <w:tcW w:w="8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left="905"/>
              <w:spacing w:after="0"/>
              <w:rPr>
                <w:sz w:val="20"/>
                <w:szCs w:val="20"/>
                <w:color w:val="auto"/>
              </w:rPr>
            </w:pPr>
            <w:r>
              <w:rPr>
                <w:rFonts w:ascii="Arial" w:cs="Arial" w:eastAsia="Arial" w:hAnsi="Arial"/>
                <w:sz w:val="16"/>
                <w:szCs w:val="16"/>
                <w:i w:val="1"/>
                <w:iCs w:val="1"/>
                <w:color w:val="auto"/>
                <w:w w:val="95"/>
              </w:rPr>
              <w:t>$ in millions</w:t>
            </w:r>
          </w:p>
        </w:tc>
        <w:tc>
          <w:tcPr>
            <w:tcW w:w="1200" w:type="dxa"/>
            <w:vAlign w:val="bottom"/>
          </w:tcPr>
          <w:p>
            <w:pPr>
              <w:spacing w:after="0"/>
              <w:rPr>
                <w:sz w:val="18"/>
                <w:szCs w:val="18"/>
                <w:color w:val="auto"/>
              </w:rPr>
            </w:pPr>
          </w:p>
        </w:tc>
      </w:tr>
      <w:tr>
        <w:trPr>
          <w:trHeight w:val="214"/>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(682)</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840"/>
              <w:spacing w:after="0"/>
              <w:rPr>
                <w:sz w:val="20"/>
                <w:szCs w:val="20"/>
                <w:color w:val="auto"/>
              </w:rPr>
            </w:pPr>
            <w:r>
              <w:rPr>
                <w:rFonts w:ascii="Arial" w:cs="Arial" w:eastAsia="Arial" w:hAnsi="Arial"/>
                <w:sz w:val="16"/>
                <w:szCs w:val="16"/>
                <w:color w:val="auto"/>
              </w:rPr>
              <w:t>84</w:t>
            </w:r>
          </w:p>
        </w:tc>
      </w:tr>
      <w:tr>
        <w:trPr>
          <w:trHeight w:val="208"/>
        </w:trPr>
        <w:tc>
          <w:tcPr>
            <w:tcW w:w="80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8"/>
                <w:szCs w:val="18"/>
                <w:color w:val="auto"/>
              </w:rPr>
            </w:pPr>
          </w:p>
        </w:tc>
        <w:tc>
          <w:tcPr>
            <w:tcW w:w="1380" w:type="dxa"/>
            <w:vAlign w:val="bottom"/>
          </w:tcPr>
          <w:p>
            <w:pPr>
              <w:jc w:val="right"/>
              <w:ind w:right="185"/>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8"/>
                <w:szCs w:val="18"/>
                <w:color w:val="auto"/>
              </w:rPr>
            </w:pPr>
          </w:p>
        </w:tc>
        <w:tc>
          <w:tcPr>
            <w:tcW w:w="1200" w:type="dxa"/>
            <w:vAlign w:val="bottom"/>
          </w:tcPr>
          <w:p>
            <w:pPr>
              <w:ind w:left="840"/>
              <w:spacing w:after="0"/>
              <w:rPr>
                <w:sz w:val="20"/>
                <w:szCs w:val="20"/>
                <w:color w:val="auto"/>
              </w:rPr>
            </w:pPr>
            <w:r>
              <w:rPr>
                <w:rFonts w:ascii="Arial" w:cs="Arial" w:eastAsia="Arial" w:hAnsi="Arial"/>
                <w:sz w:val="16"/>
                <w:szCs w:val="16"/>
                <w:color w:val="auto"/>
              </w:rPr>
              <w:t>57</w:t>
            </w:r>
          </w:p>
        </w:tc>
      </w:tr>
      <w:tr>
        <w:trPr>
          <w:trHeight w:val="214"/>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 %</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6"/>
                <w:szCs w:val="16"/>
                <w:color w:val="auto"/>
                <w:w w:val="93"/>
              </w:rPr>
              <w:t>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6083935</wp:posOffset>
            </wp:positionH>
            <wp:positionV relativeFrom="paragraph">
              <wp:posOffset>-543560</wp:posOffset>
            </wp:positionV>
            <wp:extent cx="673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1" w:lineRule="exact"/>
        <w:rPr>
          <w:sz w:val="20"/>
          <w:szCs w:val="20"/>
          <w:color w:val="auto"/>
        </w:rPr>
      </w:pPr>
    </w:p>
    <w:p>
      <w:pPr>
        <w:ind w:firstLine="316"/>
        <w:spacing w:after="0" w:line="266" w:lineRule="auto"/>
        <w:rPr>
          <w:sz w:val="20"/>
          <w:szCs w:val="20"/>
          <w:color w:val="auto"/>
        </w:rPr>
      </w:pPr>
      <w:r>
        <w:rPr>
          <w:rFonts w:ascii="Arial" w:cs="Arial" w:eastAsia="Arial" w:hAnsi="Arial"/>
          <w:sz w:val="16"/>
          <w:szCs w:val="16"/>
          <w:color w:val="auto"/>
        </w:rPr>
        <w:t>Since the beginning of fiscal year 2023, the 2017 Act has required us to capitalize and amortize R&amp;D expenses rather than expensing them in the year incurred. The tax effects related to the capitalization of R&amp;D expenses are included in the effective tax rate for the three months ended September 29, 2023, but did not have a material impact on our effective tax rate. The primary drivers of the difference between the effective tax rate for the three months ended September 29, 2023 and the U.S. Federal statutory rate of 21% are the relative mix of earnings and losses by jurisdiction, the deduction for foreign-derived intangible income, credits, and tax holidays in Malaysia, the Philippines and Thailand that will expire at various dates during fiscal years 2024 through 2031. In addition, the effective tax rate for the three months ended September 29, 2023 includes the discrete effect of a net decrease of $30 million to the liability for unrecognized tax benefits, which includes interest and offsetting tax benefits, as a result of adjustments to align with IRS calculations.</w:t>
      </w:r>
    </w:p>
    <w:p>
      <w:pPr>
        <w:spacing w:after="0" w:line="208" w:lineRule="exact"/>
        <w:rPr>
          <w:sz w:val="20"/>
          <w:szCs w:val="20"/>
          <w:color w:val="auto"/>
        </w:rPr>
      </w:pPr>
    </w:p>
    <w:p>
      <w:pPr>
        <w:ind w:right="40" w:firstLine="316"/>
        <w:spacing w:after="0" w:line="253" w:lineRule="auto"/>
        <w:rPr>
          <w:sz w:val="20"/>
          <w:szCs w:val="20"/>
          <w:color w:val="auto"/>
        </w:rPr>
      </w:pPr>
      <w:r>
        <w:rPr>
          <w:rFonts w:ascii="Arial" w:cs="Arial" w:eastAsia="Arial" w:hAnsi="Arial"/>
          <w:sz w:val="18"/>
          <w:szCs w:val="18"/>
          <w:color w:val="auto"/>
        </w:rPr>
        <w:t>The primary drivers of the difference between the effective tax rate for the three months ended September 30, 2022 and the U.S. Federal statutory rate of 21% were the relative mix of earnings and losses by jurisdiction, the deduction for foreign derived intangible income, credits, and tax holidays in Malaysia, the Philippines and Thailand.</w:t>
      </w:r>
    </w:p>
    <w:p>
      <w:pPr>
        <w:spacing w:after="0" w:line="203" w:lineRule="exact"/>
        <w:rPr>
          <w:sz w:val="20"/>
          <w:szCs w:val="20"/>
          <w:color w:val="auto"/>
        </w:rPr>
      </w:pPr>
    </w:p>
    <w:p>
      <w:pPr>
        <w:ind w:right="60" w:firstLine="316"/>
        <w:spacing w:after="0" w:line="231" w:lineRule="auto"/>
        <w:rPr>
          <w:sz w:val="20"/>
          <w:szCs w:val="20"/>
          <w:color w:val="auto"/>
        </w:rPr>
      </w:pPr>
      <w:r>
        <w:rPr>
          <w:rFonts w:ascii="Arial" w:cs="Arial" w:eastAsia="Arial" w:hAnsi="Arial"/>
          <w:sz w:val="18"/>
          <w:szCs w:val="18"/>
          <w:color w:val="auto"/>
        </w:rPr>
        <w:t>Our future effective tax rate is subject to future regulatory developments and changes in the mix of our U.S. earnings compared to foreign earnings. The 2017 Act requires us to capitalize and amortize R&amp;D expenses rather than expensing them in the year incurred. As described above, these capitalized expenses are included in our effective tax rate for the three months ended September 29, 2023, but did not have a material impact on the effective tax rate in those periods due to our reduced profitability. Mandatory capitalization of R&amp;D is expected to materially increase our effective tax rate and taxes paid in future periods, if not repealed or otherwise modified. In addition, our total tax expense in future years may also vary as a result of discrete items such as excess tax benefits or deficiencies.</w:t>
      </w:r>
    </w:p>
    <w:p>
      <w:pPr>
        <w:spacing w:after="0" w:line="216" w:lineRule="exact"/>
        <w:rPr>
          <w:sz w:val="20"/>
          <w:szCs w:val="20"/>
          <w:color w:val="auto"/>
        </w:rPr>
      </w:pPr>
    </w:p>
    <w:p>
      <w:pPr>
        <w:ind w:right="520" w:firstLine="316"/>
        <w:spacing w:after="0" w:line="247" w:lineRule="auto"/>
        <w:rPr>
          <w:sz w:val="20"/>
          <w:szCs w:val="20"/>
          <w:color w:val="auto"/>
        </w:rPr>
      </w:pPr>
      <w:r>
        <w:rPr>
          <w:rFonts w:ascii="Arial" w:cs="Arial" w:eastAsia="Arial" w:hAnsi="Arial"/>
          <w:sz w:val="18"/>
          <w:szCs w:val="18"/>
          <w:color w:val="auto"/>
        </w:rPr>
        <w:t xml:space="preserve">For additional information regarding Income tax expense, see Part I, Item 1, Note 12,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1"/>
                <w:szCs w:val="11"/>
                <w:color w:val="auto"/>
              </w:rPr>
            </w:pPr>
          </w:p>
        </w:tc>
        <w:tc>
          <w:tcPr>
            <w:tcW w:w="1240" w:type="dxa"/>
            <w:vAlign w:val="bottom"/>
          </w:tcPr>
          <w:p>
            <w:pPr>
              <w:jc w:val="right"/>
              <w:ind w:right="203"/>
              <w:spacing w:after="0" w:line="129" w:lineRule="exact"/>
              <w:rPr>
                <w:sz w:val="20"/>
                <w:szCs w:val="20"/>
                <w:color w:val="auto"/>
              </w:rPr>
            </w:pPr>
            <w:r>
              <w:rPr>
                <w:rFonts w:ascii="Arial" w:cs="Arial" w:eastAsia="Arial" w:hAnsi="Arial"/>
                <w:sz w:val="14"/>
                <w:szCs w:val="14"/>
                <w:b w:val="1"/>
                <w:bCs w:val="1"/>
                <w:color w:val="auto"/>
                <w:w w:val="98"/>
              </w:rPr>
              <w:t>September 30,</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187"/>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63"/>
              <w:spacing w:after="0"/>
              <w:rPr>
                <w:sz w:val="20"/>
                <w:szCs w:val="20"/>
                <w:color w:val="auto"/>
              </w:rPr>
            </w:pPr>
            <w:r>
              <w:rPr>
                <w:rFonts w:ascii="Arial" w:cs="Arial" w:eastAsia="Arial" w:hAnsi="Arial"/>
                <w:sz w:val="14"/>
                <w:szCs w:val="14"/>
                <w:i w:val="1"/>
                <w:iCs w:val="1"/>
                <w:color w:val="auto"/>
              </w:rPr>
              <w:t>(in millions)</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-979170</wp:posOffset>
            </wp:positionV>
            <wp:extent cx="673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4" w:lineRule="exact"/>
        <w:rPr>
          <w:sz w:val="20"/>
          <w:szCs w:val="20"/>
          <w:color w:val="auto"/>
        </w:rPr>
      </w:pPr>
    </w:p>
    <w:p>
      <w:pPr>
        <w:ind w:right="20" w:firstLine="316"/>
        <w:spacing w:after="0" w:line="266" w:lineRule="auto"/>
        <w:rPr>
          <w:sz w:val="20"/>
          <w:szCs w:val="20"/>
          <w:color w:val="auto"/>
        </w:rPr>
      </w:pPr>
      <w:r>
        <w:rPr>
          <w:rFonts w:ascii="Arial" w:cs="Arial" w:eastAsia="Arial" w:hAnsi="Arial"/>
          <w:sz w:val="16"/>
          <w:szCs w:val="16"/>
          <w:color w:val="auto"/>
        </w:rPr>
        <w:t>We reached a final agreement with the IRS and received notices of deficiency with respect to years 2008 through 2012 and have tentatively reached a basis for resolving the notices of proposed adjustments with respect to years 2013 through 2015. During the three months ended September 29, 2023, the Company made payments of $363 million for tax and $160 million for interest with respect to years 2008 through 2012 and recorded adjustments to align with IRS calculations, resulting in remaining liability of $183 million as of September 29, 2023, related to all years from 2008 through 2015. The Company expects to pay any remaining balance with respect to this matter within the next twelve months.</w:t>
      </w:r>
    </w:p>
    <w:p>
      <w:pPr>
        <w:spacing w:after="0" w:line="194" w:lineRule="exact"/>
        <w:rPr>
          <w:sz w:val="20"/>
          <w:szCs w:val="20"/>
          <w:color w:val="auto"/>
        </w:rPr>
      </w:pPr>
    </w:p>
    <w:p>
      <w:pPr>
        <w:ind w:firstLine="316"/>
        <w:spacing w:after="0" w:line="274" w:lineRule="auto"/>
        <w:rPr>
          <w:sz w:val="20"/>
          <w:szCs w:val="20"/>
          <w:color w:val="auto"/>
        </w:rPr>
      </w:pPr>
      <w:r>
        <w:rPr>
          <w:rFonts w:ascii="Arial" w:cs="Arial" w:eastAsia="Arial" w:hAnsi="Arial"/>
          <w:sz w:val="16"/>
          <w:szCs w:val="16"/>
          <w:color w:val="auto"/>
        </w:rPr>
        <w:t xml:space="preserve">In connection with settlements for the years 2008 through 2015, we expect to realize reductions to our mandatory deemed repatriation tax obligations and tax savings from interest deductions in future years aggregating to $168 million. Of this amount, $34 million of interest savings from the interest paid with respect to years 2008 through 2012 is classified as a deferred tax asset due to interest expense limitation rules. See Part I, Item 1, Note 12,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Condensed Consolidated Financial Statements included in this Quarterly Report on Form 10-Q for further details.</w:t>
      </w:r>
    </w:p>
    <w:p>
      <w:pPr>
        <w:spacing w:after="0" w:line="202" w:lineRule="exact"/>
        <w:rPr>
          <w:sz w:val="20"/>
          <w:szCs w:val="20"/>
          <w:color w:val="auto"/>
        </w:rPr>
      </w:pPr>
    </w:p>
    <w:p>
      <w:pPr>
        <w:ind w:right="240" w:firstLine="316"/>
        <w:spacing w:after="0" w:line="287" w:lineRule="auto"/>
        <w:rPr>
          <w:sz w:val="20"/>
          <w:szCs w:val="20"/>
          <w:color w:val="auto"/>
        </w:rPr>
      </w:pPr>
      <w:r>
        <w:rPr>
          <w:rFonts w:ascii="Arial" w:cs="Arial" w:eastAsia="Arial" w:hAnsi="Arial"/>
          <w:sz w:val="16"/>
          <w:szCs w:val="16"/>
          <w:color w:val="auto"/>
        </w:rPr>
        <w:t>We have an existing shelf registration statement (the “Shelf Registration Statement”) filed with the Securities and Exchange Commission that expires in August 2024, which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179" w:lineRule="exact"/>
        <w:rPr>
          <w:sz w:val="20"/>
          <w:szCs w:val="20"/>
          <w:color w:val="auto"/>
        </w:rPr>
      </w:pPr>
    </w:p>
    <w:p>
      <w:pPr>
        <w:ind w:right="280" w:firstLine="316"/>
        <w:spacing w:after="0" w:line="234" w:lineRule="auto"/>
        <w:rPr>
          <w:sz w:val="20"/>
          <w:szCs w:val="20"/>
          <w:color w:val="auto"/>
        </w:rPr>
      </w:pPr>
      <w:r>
        <w:rPr>
          <w:rFonts w:ascii="Arial" w:cs="Arial" w:eastAsia="Arial" w:hAnsi="Arial"/>
          <w:sz w:val="18"/>
          <w:szCs w:val="18"/>
          <w:color w:val="auto"/>
        </w:rPr>
        <w:t>As noted previously, we have been scaling back on capital expenditures, consolidating production lines and reducing bit growth to align with market demand. We reduced our expenditures for property, plant and equipment for our company plus our portion of the capital expenditures by our Flash Ventures joint venture with Kioxia for its operations to approximately $1.4 billion in 2023 from approximately $1.5 billion in 2022. After consideration of the Flash Ventures’ lease financing of its capital expenditures and net operating cash flow, we reduced our net cash used for our purchases of property, plant and equipment and net activity in notes receivable relating to Flash Ventures to $793 million in 2023 from $1.2 billion in 2022. We currently expect the capital expenditures for 2024 to be less than 2023.</w:t>
      </w:r>
    </w:p>
    <w:p>
      <w:pPr>
        <w:spacing w:after="0" w:line="253" w:lineRule="exact"/>
        <w:rPr>
          <w:sz w:val="20"/>
          <w:szCs w:val="20"/>
          <w:color w:val="auto"/>
        </w:rPr>
      </w:pPr>
    </w:p>
    <w:p>
      <w:pPr>
        <w:ind w:right="20" w:firstLine="316"/>
        <w:spacing w:after="0" w:line="299" w:lineRule="auto"/>
        <w:rPr>
          <w:sz w:val="20"/>
          <w:szCs w:val="20"/>
          <w:color w:val="auto"/>
        </w:rPr>
      </w:pPr>
      <w:r>
        <w:rPr>
          <w:rFonts w:ascii="Arial" w:cs="Arial" w:eastAsia="Arial" w:hAnsi="Arial"/>
          <w:sz w:val="15"/>
          <w:szCs w:val="15"/>
          <w:color w:val="auto"/>
        </w:rPr>
        <w:t>We believe our Cash and cash equivalents, including the proceeds from the drawdown of the Delayed Draw Term Loan, the net proceeds we received from the sale and leaseback of our Milpitas facility, and the proceeds from the issuance of the 2028 Convertible Notes, each as discussed in “Key Developments” above, and our available revolving credit facility will be sufficient to meet our working capital, debt and capital expenditure needs for at least the next twelve months and for the foreseeable future thereafter, as we navigate the current market downturn before returning to profitable operations and positive cash flows when the market normalizes. We believe we can also access the various debt capital markets to further supplement our liquidity position if necessary. Our ability to sustain our working capital position is subject to a number of risks that we discuss in Part II, Item 1A, Risk Factors, in this Quarterly Report on Form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10-Q and in Part I, Item 1A, </w:t>
      </w:r>
      <w:r>
        <w:rPr>
          <w:rFonts w:ascii="Arial" w:cs="Arial" w:eastAsia="Arial" w:hAnsi="Arial"/>
          <w:sz w:val="18"/>
          <w:szCs w:val="18"/>
          <w:i w:val="1"/>
          <w:iCs w:val="1"/>
          <w:color w:val="auto"/>
        </w:rPr>
        <w:t>Risk Factors</w:t>
      </w:r>
      <w:r>
        <w:rPr>
          <w:rFonts w:ascii="Arial" w:cs="Arial" w:eastAsia="Arial" w:hAnsi="Arial"/>
          <w:sz w:val="21"/>
          <w:szCs w:val="21"/>
          <w:i w:val="1"/>
          <w:iCs w:val="1"/>
          <w:color w:val="auto"/>
        </w:rPr>
        <w:t>,</w:t>
      </w:r>
      <w:r>
        <w:rPr>
          <w:rFonts w:ascii="Arial" w:cs="Arial" w:eastAsia="Arial" w:hAnsi="Arial"/>
          <w:sz w:val="18"/>
          <w:szCs w:val="18"/>
          <w:color w:val="auto"/>
        </w:rPr>
        <w:t xml:space="preserve"> in our Annual Report on Form 10-K for the year ended June 30, 2023.</w:t>
      </w:r>
    </w:p>
    <w:p>
      <w:pPr>
        <w:spacing w:after="0" w:line="235" w:lineRule="exact"/>
        <w:rPr>
          <w:sz w:val="20"/>
          <w:szCs w:val="20"/>
          <w:color w:val="auto"/>
        </w:rPr>
      </w:pPr>
    </w:p>
    <w:p>
      <w:pPr>
        <w:ind w:right="340" w:firstLine="316"/>
        <w:spacing w:after="0" w:line="325" w:lineRule="auto"/>
        <w:rPr>
          <w:sz w:val="20"/>
          <w:szCs w:val="20"/>
          <w:color w:val="auto"/>
        </w:rPr>
      </w:pPr>
      <w:r>
        <w:rPr>
          <w:rFonts w:ascii="Arial" w:cs="Arial" w:eastAsia="Arial" w:hAnsi="Arial"/>
          <w:sz w:val="16"/>
          <w:szCs w:val="16"/>
          <w:color w:val="auto"/>
        </w:rPr>
        <w:t>A total of $1.43 billion and $1.28 billion of our Cash and cash equivalents was held by our foreign subsidiaries as of September 29, 2023 and June 30, 2023, respectively. There are no material tax consequences that were not previously accrued for on the repatriation of this cash.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40" w:firstLine="316"/>
        <w:spacing w:after="0" w:line="325" w:lineRule="auto"/>
        <w:rPr>
          <w:sz w:val="20"/>
          <w:szCs w:val="20"/>
          <w:color w:val="auto"/>
        </w:rPr>
      </w:pPr>
      <w:r>
        <w:rPr>
          <w:rFonts w:ascii="Arial" w:cs="Arial" w:eastAsia="Arial" w:hAnsi="Arial"/>
          <w:sz w:val="16"/>
          <w:szCs w:val="16"/>
          <w:color w:val="auto"/>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Activities</w:t>
      </w:r>
    </w:p>
    <w:p>
      <w:pPr>
        <w:spacing w:after="0" w:line="241" w:lineRule="exact"/>
        <w:rPr>
          <w:sz w:val="20"/>
          <w:szCs w:val="20"/>
          <w:color w:val="auto"/>
        </w:rPr>
      </w:pPr>
    </w:p>
    <w:p>
      <w:pPr>
        <w:ind w:right="40" w:firstLine="316"/>
        <w:spacing w:after="0" w:line="280" w:lineRule="auto"/>
        <w:rPr>
          <w:sz w:val="20"/>
          <w:szCs w:val="20"/>
          <w:color w:val="auto"/>
        </w:rPr>
      </w:pPr>
      <w:r>
        <w:rPr>
          <w:rFonts w:ascii="Arial" w:cs="Arial" w:eastAsia="Arial" w:hAnsi="Arial"/>
          <w:sz w:val="16"/>
          <w:szCs w:val="16"/>
          <w:color w:val="auto"/>
        </w:rPr>
        <w:t>Net cash provided by or used in operating activities primarily consists of net income or loss, adjusted for non-cash charges, plus or minus changes in operating assets and liabilities. Net cash used for changes in operating assets and liabilities was $132 million for the three months ended September 29, 2023, as compared to $329 million for the three months ended September 30, 2022, which largely reflects the reduction in operating assets resulting from the reduction in volume of our business, partially offset by payments made on the IRS matter, as discussed above. Changes in our operating assets and liabilities are largely affected by our working capital requirements, which are dependent on our volume of business and the effective management of our cash conversion cycle as well as timing of payments for taxes. Our cash conversion cycle measures how quickly we can convert our products into cash through sales. The cash conversion cycles were as follows (in days):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960" w:type="dxa"/>
            <w:vAlign w:val="bottom"/>
            <w:gridSpan w:val="3"/>
          </w:tcPr>
          <w:p>
            <w:pPr>
              <w:jc w:val="right"/>
              <w:ind w:right="764"/>
              <w:spacing w:after="0"/>
              <w:rPr>
                <w:sz w:val="20"/>
                <w:szCs w:val="20"/>
                <w:color w:val="auto"/>
              </w:rPr>
            </w:pPr>
            <w:r>
              <w:rPr>
                <w:rFonts w:ascii="Arial" w:cs="Arial" w:eastAsia="Arial" w:hAnsi="Arial"/>
                <w:sz w:val="14"/>
                <w:szCs w:val="14"/>
                <w:b w:val="1"/>
                <w:bCs w:val="1"/>
                <w:color w:val="auto"/>
              </w:rPr>
              <w:t>Three Months Ended</w:t>
            </w:r>
          </w:p>
        </w:tc>
      </w:tr>
      <w:tr>
        <w:trPr>
          <w:trHeight w:val="24"/>
        </w:trPr>
        <w:tc>
          <w:tcPr>
            <w:tcW w:w="828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29"/>
        </w:trPr>
        <w:tc>
          <w:tcPr>
            <w:tcW w:w="8280" w:type="dxa"/>
            <w:vAlign w:val="bottom"/>
          </w:tcPr>
          <w:p>
            <w:pPr>
              <w:spacing w:after="0"/>
              <w:rPr>
                <w:sz w:val="11"/>
                <w:szCs w:val="11"/>
                <w:color w:val="auto"/>
              </w:rPr>
            </w:pPr>
          </w:p>
        </w:tc>
        <w:tc>
          <w:tcPr>
            <w:tcW w:w="152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September 29,</w:t>
            </w:r>
          </w:p>
        </w:tc>
        <w:tc>
          <w:tcPr>
            <w:tcW w:w="1440" w:type="dxa"/>
            <w:vAlign w:val="bottom"/>
          </w:tcPr>
          <w:p>
            <w:pPr>
              <w:jc w:val="right"/>
              <w:ind w:right="204"/>
              <w:spacing w:after="0" w:line="129"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82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sales outstanding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Days in inventory</w:t>
            </w:r>
          </w:p>
        </w:tc>
        <w:tc>
          <w:tcPr>
            <w:tcW w:w="14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Days payable outstanding</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Cash conversion cycle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20"/>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firstLine="316"/>
        <w:spacing w:after="0" w:line="287" w:lineRule="auto"/>
        <w:rPr>
          <w:sz w:val="20"/>
          <w:szCs w:val="20"/>
          <w:color w:val="auto"/>
        </w:rPr>
      </w:pPr>
      <w:r>
        <w:rPr>
          <w:rFonts w:ascii="Arial" w:cs="Arial" w:eastAsia="Arial" w:hAnsi="Arial"/>
          <w:sz w:val="16"/>
          <w:szCs w:val="16"/>
          <w:color w:val="auto"/>
        </w:rPr>
        <w:t>Changes in days sales outstanding (“DSO”) are generally due to the timing of shipments. Changes in days in inventory (“DIO”) are generally related to the timing of inventory builds, including staging of inventory to meet expected future demand. Changes in days payable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payment term modifications through negotiations with our vendors or by granting to, or receiving from, our vendors’ payment term accommodations.</w:t>
      </w:r>
    </w:p>
    <w:p>
      <w:pPr>
        <w:spacing w:after="0" w:line="179" w:lineRule="exact"/>
        <w:rPr>
          <w:sz w:val="20"/>
          <w:szCs w:val="20"/>
          <w:color w:val="auto"/>
        </w:rPr>
      </w:pPr>
    </w:p>
    <w:p>
      <w:pPr>
        <w:jc w:val="both"/>
        <w:ind w:right="120" w:firstLine="316"/>
        <w:spacing w:after="0" w:line="269" w:lineRule="auto"/>
        <w:rPr>
          <w:sz w:val="20"/>
          <w:szCs w:val="20"/>
          <w:color w:val="auto"/>
        </w:rPr>
      </w:pPr>
      <w:r>
        <w:rPr>
          <w:rFonts w:ascii="Arial" w:cs="Arial" w:eastAsia="Arial" w:hAnsi="Arial"/>
          <w:sz w:val="16"/>
          <w:szCs w:val="16"/>
          <w:color w:val="auto"/>
        </w:rPr>
        <w:t>For the three months ended September 29, 2023, DSO decreased by 11 days from the comparable period in the prior year, primarily reflecting the timing of shipments and customer collections. DIO decreased by 8 days from the comparable period in the prior year, primarily reflecting lower production volumes in the current year and an increase in products shipped. DPO decreased by 11 days from the comparable period in the prior year primarily due to reductions in production volume and capital expenditures as well as routine variations in the timing of purchases and payments during the period.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Investing Activities</w:t>
      </w:r>
    </w:p>
    <w:p>
      <w:pPr>
        <w:spacing w:after="0" w:line="241" w:lineRule="exact"/>
        <w:rPr>
          <w:sz w:val="20"/>
          <w:szCs w:val="20"/>
          <w:color w:val="auto"/>
        </w:rPr>
      </w:pPr>
    </w:p>
    <w:p>
      <w:pPr>
        <w:ind w:right="100" w:firstLine="316"/>
        <w:spacing w:after="0" w:line="292" w:lineRule="auto"/>
        <w:rPr>
          <w:sz w:val="20"/>
          <w:szCs w:val="20"/>
          <w:color w:val="auto"/>
        </w:rPr>
      </w:pPr>
      <w:r>
        <w:rPr>
          <w:rFonts w:ascii="Arial" w:cs="Arial" w:eastAsia="Arial" w:hAnsi="Arial"/>
          <w:sz w:val="16"/>
          <w:szCs w:val="16"/>
          <w:color w:val="auto"/>
        </w:rPr>
        <w:t>Net cash provided by investing activities for the three months ended September 29, 2023 primarily consisted of $69 million in proceeds from disposals of assets, which includes the proceeds from our sale-leaseback of our Milpitas, California facility, net of capital expenditures, and $13 million in proceeds from net activity related to Flash Ventures. Net cash used in investing activities for the three months ended September 30, 2022 primarily consisted of $320 million in capital expenditures, net of disposals, partially offset by $99 million in proceeds from activity related to Flash Ventures.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28" w:lineRule="exact"/>
        <w:rPr>
          <w:sz w:val="20"/>
          <w:szCs w:val="20"/>
          <w:color w:val="auto"/>
        </w:rPr>
      </w:pPr>
    </w:p>
    <w:p>
      <w:pPr>
        <w:ind w:right="80" w:firstLine="316"/>
        <w:spacing w:after="0" w:line="274" w:lineRule="auto"/>
        <w:rPr>
          <w:sz w:val="20"/>
          <w:szCs w:val="20"/>
          <w:color w:val="auto"/>
        </w:rPr>
      </w:pPr>
      <w:r>
        <w:rPr>
          <w:rFonts w:ascii="Arial" w:cs="Arial" w:eastAsia="Arial" w:hAnsi="Arial"/>
          <w:sz w:val="16"/>
          <w:szCs w:val="16"/>
          <w:color w:val="auto"/>
        </w:rPr>
        <w:t>During the three months ended September 29, 2023, net cash provided by financing activities primarily consisted of $600 million in proceeds from the drawdown of the Delayed Draw Term Loan, partially offset by $43 million used for taxes paid on vested stock awards under employee stock plans. During the three months ended September 30, 2022 cash flows from financing activities primarily consisted of $50 million used for taxes paid on vested stock awards under employee stock plans, while we drew and repaid $300 million under our revolving credit facility within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 xml:space="preserve">Other than the commitments related to Flash Ventures incurred in the normal course of business and certain indemnification provisions (see “Short and Long-term Liquidity-Purchase Obligations and Other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9,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Material Cash Requirements</w:t>
      </w:r>
    </w:p>
    <w:p>
      <w:pPr>
        <w:spacing w:after="0" w:line="228" w:lineRule="exact"/>
        <w:rPr>
          <w:sz w:val="20"/>
          <w:szCs w:val="20"/>
          <w:color w:val="auto"/>
        </w:rPr>
      </w:pPr>
    </w:p>
    <w:p>
      <w:pPr>
        <w:ind w:right="500" w:firstLine="316"/>
        <w:spacing w:after="0" w:line="285" w:lineRule="auto"/>
        <w:rPr>
          <w:sz w:val="20"/>
          <w:szCs w:val="20"/>
          <w:color w:val="auto"/>
        </w:rPr>
      </w:pPr>
      <w:r>
        <w:rPr>
          <w:rFonts w:ascii="Arial" w:cs="Arial" w:eastAsia="Arial" w:hAnsi="Arial"/>
          <w:sz w:val="16"/>
          <w:szCs w:val="16"/>
          <w:color w:val="auto"/>
        </w:rPr>
        <w:t>In addition to cash requirements for unrecognized tax benefits and dividend rights with respect to the Series A Preferred Stock discussed below, the following is a summary of our known material cash requirements, including those for capital expenditures, as of September 29, 2023:</w:t>
      </w:r>
    </w:p>
    <w:tbl>
      <w:tblPr>
        <w:tblLayout w:type="fixed"/>
        <w:tblInd w:w="0" w:type="dxa"/>
        <w:tblCellMar>
          <w:top w:w="0" w:type="dxa"/>
          <w:left w:w="0" w:type="dxa"/>
          <w:bottom w:w="0" w:type="dxa"/>
          <w:right w:w="0" w:type="dxa"/>
        </w:tblCellMar>
      </w:tblPr>
      <w:tr>
        <w:trPr>
          <w:trHeight w:val="146"/>
        </w:trPr>
        <w:tc>
          <w:tcPr>
            <w:tcW w:w="15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1 Year (Remaining</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2-3 Years (2025-</w:t>
            </w:r>
          </w:p>
        </w:tc>
        <w:tc>
          <w:tcPr>
            <w:tcW w:w="10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4-5 Years (2027-</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More than 5 Years</w:t>
            </w:r>
          </w:p>
        </w:tc>
        <w:tc>
          <w:tcPr>
            <w:tcW w:w="0" w:type="dxa"/>
            <w:vAlign w:val="bottom"/>
          </w:tcPr>
          <w:p>
            <w:pPr>
              <w:spacing w:after="0"/>
              <w:rPr>
                <w:sz w:val="1"/>
                <w:szCs w:val="1"/>
                <w:color w:val="auto"/>
              </w:rPr>
            </w:pPr>
          </w:p>
        </w:tc>
      </w:tr>
      <w:tr>
        <w:trPr>
          <w:trHeight w:val="141"/>
        </w:trPr>
        <w:tc>
          <w:tcPr>
            <w:tcW w:w="15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Nine Months of</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2026)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1"/>
              </w:rPr>
              <w:t>(Beyond 2028)</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0"/>
                <w:szCs w:val="20"/>
                <w:color w:val="auto"/>
                <w:vertAlign w:val="superscript"/>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8"/>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4"/>
        </w:trPr>
        <w:tc>
          <w:tcPr>
            <w:tcW w:w="476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0"/>
                <w:szCs w:val="20"/>
                <w:color w:val="auto"/>
                <w:vertAlign w:val="superscript"/>
              </w:rPr>
              <w:t>(2)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4"/>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 obligations and other commitments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8"/>
        </w:trPr>
        <w:tc>
          <w:tcPr>
            <w:tcW w:w="4760" w:type="dxa"/>
            <w:vAlign w:val="bottom"/>
            <w:gridSpan w:val="2"/>
          </w:tcPr>
          <w:p>
            <w:pPr>
              <w:ind w:left="20"/>
              <w:spacing w:after="0"/>
              <w:rPr>
                <w:sz w:val="20"/>
                <w:szCs w:val="20"/>
                <w:color w:val="auto"/>
              </w:rPr>
            </w:pPr>
            <w:r>
              <w:rPr>
                <w:rFonts w:ascii="Arial" w:cs="Arial" w:eastAsia="Arial" w:hAnsi="Arial"/>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14,692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6268085</wp:posOffset>
            </wp:positionH>
            <wp:positionV relativeFrom="paragraph">
              <wp:posOffset>-1196975</wp:posOffset>
            </wp:positionV>
            <wp:extent cx="673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-1196975</wp:posOffset>
            </wp:positionV>
            <wp:extent cx="673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-1196975</wp:posOffset>
            </wp:positionV>
            <wp:extent cx="673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-1196975</wp:posOffset>
            </wp:positionV>
            <wp:extent cx="673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44" w:lineRule="exact"/>
        <w:rPr>
          <w:sz w:val="20"/>
          <w:szCs w:val="20"/>
          <w:color w:val="auto"/>
        </w:rPr>
      </w:pPr>
    </w:p>
    <w:p>
      <w:pPr>
        <w:ind w:left="300" w:hanging="294"/>
        <w:spacing w:after="0"/>
        <w:tabs>
          <w:tab w:leader="none" w:pos="30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w:t>
      </w:r>
    </w:p>
    <w:p>
      <w:pPr>
        <w:spacing w:after="0" w:line="2" w:lineRule="exact"/>
        <w:rPr>
          <w:rFonts w:ascii="Arial" w:cs="Arial" w:eastAsia="Arial" w:hAnsi="Arial"/>
          <w:sz w:val="23"/>
          <w:szCs w:val="23"/>
          <w:color w:val="auto"/>
          <w:vertAlign w:val="superscript"/>
        </w:rPr>
      </w:pPr>
    </w:p>
    <w:p>
      <w:pPr>
        <w:ind w:left="320" w:right="40" w:hanging="314"/>
        <w:spacing w:after="0" w:line="223" w:lineRule="auto"/>
        <w:tabs>
          <w:tab w:leader="none" w:pos="30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Dividend rights</w:t>
      </w:r>
    </w:p>
    <w:p>
      <w:pPr>
        <w:spacing w:after="0" w:line="228" w:lineRule="exact"/>
        <w:rPr>
          <w:sz w:val="20"/>
          <w:szCs w:val="20"/>
          <w:color w:val="auto"/>
        </w:rPr>
      </w:pPr>
    </w:p>
    <w:p>
      <w:pPr>
        <w:ind w:right="60" w:firstLine="316"/>
        <w:spacing w:after="0" w:line="274" w:lineRule="auto"/>
        <w:rPr>
          <w:sz w:val="20"/>
          <w:szCs w:val="20"/>
          <w:color w:val="auto"/>
        </w:rPr>
      </w:pPr>
      <w:r>
        <w:rPr>
          <w:rFonts w:ascii="Arial" w:cs="Arial" w:eastAsia="Arial" w:hAnsi="Arial"/>
          <w:sz w:val="16"/>
          <w:szCs w:val="16"/>
          <w:color w:val="auto"/>
        </w:rPr>
        <w:t xml:space="preserve">On January 31, 2023, we issued an aggregate of 900,000 shares of Series A Preferred Stock for an aggregate purchase price of $900 million. These shares are entitled to cumulative preferred dividends. See Part I, Item 1, Note 11, </w:t>
      </w:r>
      <w:r>
        <w:rPr>
          <w:rFonts w:ascii="Arial" w:cs="Arial" w:eastAsia="Arial" w:hAnsi="Arial"/>
          <w:sz w:val="16"/>
          <w:szCs w:val="16"/>
          <w:i w:val="1"/>
          <w:iCs w:val="1"/>
          <w:color w:val="auto"/>
        </w:rPr>
        <w:t>Shareholders’ Equity and Convertible Preferred Stock</w:t>
      </w:r>
      <w:r>
        <w:rPr>
          <w:rFonts w:ascii="Arial" w:cs="Arial" w:eastAsia="Arial" w:hAnsi="Arial"/>
          <w:sz w:val="16"/>
          <w:szCs w:val="16"/>
          <w:color w:val="auto"/>
        </w:rPr>
        <w:t>, of the Notes to Condensed Consolidated Financial Statements included in this Quarterly Report on Form 10-Q for more information regarding the dividend provisions.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w:t>
      </w:r>
    </w:p>
    <w:p>
      <w:pPr>
        <w:spacing w:after="0" w:line="228" w:lineRule="exact"/>
        <w:rPr>
          <w:sz w:val="20"/>
          <w:szCs w:val="20"/>
          <w:color w:val="auto"/>
        </w:rPr>
      </w:pPr>
    </w:p>
    <w:p>
      <w:pPr>
        <w:ind w:right="20" w:firstLine="316"/>
        <w:spacing w:after="0" w:line="262" w:lineRule="auto"/>
        <w:rPr>
          <w:sz w:val="20"/>
          <w:szCs w:val="20"/>
          <w:color w:val="auto"/>
        </w:rPr>
      </w:pPr>
      <w:r>
        <w:rPr>
          <w:rFonts w:ascii="Arial" w:cs="Arial" w:eastAsia="Arial" w:hAnsi="Arial"/>
          <w:sz w:val="16"/>
          <w:szCs w:val="16"/>
          <w:color w:val="auto"/>
        </w:rPr>
        <w:t>In addition to our existing debt, as of September 29, 2023, we had $2.25 billion available for borrowing under our revolving credit facility until January 2027, subject to customary conditions under the loan agreement. Furthermore, we issued 2028 Convertible Notes as noted in “Key Developments-</w:t>
      </w:r>
      <w:r>
        <w:rPr>
          <w:rFonts w:ascii="Arial" w:cs="Arial" w:eastAsia="Arial" w:hAnsi="Arial"/>
          <w:sz w:val="16"/>
          <w:szCs w:val="16"/>
          <w:i w:val="1"/>
          <w:iCs w:val="1"/>
          <w:color w:val="auto"/>
        </w:rPr>
        <w:t>Financing</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w:t>
      </w:r>
      <w:r>
        <w:rPr>
          <w:rFonts w:ascii="Arial" w:cs="Arial" w:eastAsia="Arial" w:hAnsi="Arial"/>
          <w:sz w:val="16"/>
          <w:szCs w:val="16"/>
          <w:color w:val="auto"/>
        </w:rPr>
        <w:t>” above. The agreements governing our credit facilities each include limits on secured indebtedness and certain types of unsecured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indebtedness and require us and certain of our subsidiaries to provide guarantees and collateral to the extent the conditions providing for such guarantees and collateral are met. Additional information regarding our indebtedness, including information about availability under our revolving credit facility and the principal repayment terms, interest rates, covenants, collateral and other key terms of our outstanding indebtedness, is included in Part II, Item 8,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of the Notes to Consolidated Financial Statements included in our Annual Report on Form 10-K for the year ended June 30, 2023 and Note 17, </w:t>
      </w:r>
      <w:r>
        <w:rPr>
          <w:rFonts w:ascii="Arial" w:cs="Arial" w:eastAsia="Arial" w:hAnsi="Arial"/>
          <w:sz w:val="16"/>
          <w:szCs w:val="16"/>
          <w:i w:val="1"/>
          <w:iCs w:val="1"/>
          <w:color w:val="auto"/>
        </w:rPr>
        <w:t>Subsequent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Events, </w:t>
      </w:r>
      <w:r>
        <w:rPr>
          <w:rFonts w:ascii="Arial" w:cs="Arial" w:eastAsia="Arial" w:hAnsi="Arial"/>
          <w:sz w:val="16"/>
          <w:szCs w:val="16"/>
          <w:color w:val="auto"/>
        </w:rPr>
        <w:t>of the Notes to Condensed Consolidated Financial Statements included in Part I, Item 1 of this Quarterly Report on Form 10-Q.</w:t>
      </w:r>
    </w:p>
    <w:p>
      <w:pPr>
        <w:spacing w:after="0" w:line="200" w:lineRule="exact"/>
        <w:rPr>
          <w:sz w:val="20"/>
          <w:szCs w:val="20"/>
          <w:color w:val="auto"/>
        </w:rPr>
      </w:pPr>
    </w:p>
    <w:p>
      <w:pPr>
        <w:ind w:right="180" w:firstLine="316"/>
        <w:spacing w:after="0" w:line="238" w:lineRule="auto"/>
        <w:rPr>
          <w:sz w:val="20"/>
          <w:szCs w:val="20"/>
          <w:color w:val="auto"/>
        </w:rPr>
      </w:pPr>
      <w:r>
        <w:rPr>
          <w:rFonts w:ascii="Arial" w:cs="Arial" w:eastAsia="Arial" w:hAnsi="Arial"/>
          <w:sz w:val="18"/>
          <w:szCs w:val="18"/>
          <w:color w:val="auto"/>
        </w:rPr>
        <w:t>The loan agreements governing our revolving credit facility, our Term Loan A-2 due 2027, and our Delayed Draw Term Loan require us to comply with certain financial covenants, consisting of a leverage ratio, a minimum liquidity and a free cash flow requirement. As of September 29, 2023, we were in compliance with these financial covenants.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September 29, 2023, we were in compliance with all covenants under these Japanese lease facilities. See Part I, Item 1, Note 9,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 for information regarding Flash Ventures.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41" w:lineRule="exact"/>
        <w:rPr>
          <w:sz w:val="20"/>
          <w:szCs w:val="20"/>
          <w:color w:val="auto"/>
        </w:rPr>
      </w:pPr>
    </w:p>
    <w:p>
      <w:pPr>
        <w:ind w:right="280" w:firstLine="316"/>
        <w:spacing w:after="0" w:line="287"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Deemed Repatriation Tax</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estimated mandatory deemed repatriation tax obligations that are payable in the following years: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05"/>
              <w:spacing w:after="0"/>
              <w:rPr>
                <w:sz w:val="20"/>
                <w:szCs w:val="20"/>
                <w:color w:val="auto"/>
              </w:rPr>
            </w:pPr>
            <w:r>
              <w:rPr>
                <w:rFonts w:ascii="Arial" w:cs="Arial" w:eastAsia="Arial" w:hAnsi="Arial"/>
                <w:sz w:val="14"/>
                <w:szCs w:val="14"/>
                <w:b w:val="1"/>
                <w:bCs w:val="1"/>
                <w:color w:val="auto"/>
                <w:w w:val="89"/>
              </w:rPr>
              <w:t>September 29,</w:t>
            </w:r>
          </w:p>
        </w:tc>
      </w:tr>
      <w:tr>
        <w:trPr>
          <w:trHeight w:val="189"/>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2023</w:t>
            </w:r>
          </w:p>
        </w:tc>
      </w:tr>
      <w:tr>
        <w:trPr>
          <w:trHeight w:val="187"/>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i w:val="1"/>
                <w:iCs w:val="1"/>
                <w:color w:val="auto"/>
                <w:w w:val="96"/>
              </w:rPr>
              <w:t>(in millions)</w:t>
            </w:r>
          </w:p>
        </w:tc>
      </w:tr>
      <w:tr>
        <w:trPr>
          <w:trHeight w:val="22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8"/>
        </w:trPr>
        <w:tc>
          <w:tcPr>
            <w:tcW w:w="9800" w:type="dxa"/>
            <w:vAlign w:val="bottom"/>
          </w:tcPr>
          <w:p>
            <w:pPr>
              <w:ind w:left="20"/>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11"/>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Unrecognized Tax Benefits</w:t>
      </w:r>
    </w:p>
    <w:p>
      <w:pPr>
        <w:spacing w:after="0" w:line="241" w:lineRule="exact"/>
        <w:rPr>
          <w:sz w:val="20"/>
          <w:szCs w:val="20"/>
          <w:color w:val="auto"/>
        </w:rPr>
      </w:pPr>
    </w:p>
    <w:p>
      <w:pPr>
        <w:ind w:right="300" w:firstLine="316"/>
        <w:spacing w:after="0" w:line="250" w:lineRule="auto"/>
        <w:rPr>
          <w:sz w:val="20"/>
          <w:szCs w:val="20"/>
          <w:color w:val="auto"/>
        </w:rPr>
      </w:pPr>
      <w:r>
        <w:rPr>
          <w:rFonts w:ascii="Arial" w:cs="Arial" w:eastAsia="Arial" w:hAnsi="Arial"/>
          <w:sz w:val="18"/>
          <w:szCs w:val="18"/>
          <w:color w:val="auto"/>
        </w:rPr>
        <w:t>As of September 29, 2023, the liability for unrecognized tax benefits (excluding accrued interest and penalties) was $672 million.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September 29, 2023 was $157 million. Of these amounts, approximately $663 million could result in potential cash payments.</w:t>
      </w:r>
    </w:p>
    <w:p>
      <w:pPr>
        <w:spacing w:after="0" w:line="206" w:lineRule="exact"/>
        <w:rPr>
          <w:sz w:val="20"/>
          <w:szCs w:val="20"/>
          <w:color w:val="auto"/>
        </w:rPr>
      </w:pPr>
    </w:p>
    <w:p>
      <w:pPr>
        <w:ind w:right="20" w:firstLine="316"/>
        <w:spacing w:after="0" w:line="266" w:lineRule="auto"/>
        <w:rPr>
          <w:sz w:val="20"/>
          <w:szCs w:val="20"/>
          <w:color w:val="auto"/>
        </w:rPr>
      </w:pPr>
      <w:r>
        <w:rPr>
          <w:rFonts w:ascii="Arial" w:cs="Arial" w:eastAsia="Arial" w:hAnsi="Arial"/>
          <w:sz w:val="16"/>
          <w:szCs w:val="16"/>
          <w:color w:val="auto"/>
        </w:rPr>
        <w:t>As noted above, we reached a final agreement with the IRS regarding notices of deficiency with respect to years 2008 through 2012 and have tentatively reached a basis for resolving the notices of proposed adjustments with respect to years 2013 through 2015. During the three months ended September 29, 2023, we made payments of $363 million for tax and $160 million for interest with respect to years 2008 through 2012 and recorded adjustments to align with IRS calculations, resulting in remaining liability of $183 million as of September 29, 2023 related to all years from 2008 through 2015. We expect to pay any remaining balance with respect to this matter within the next twelve months.</w:t>
      </w:r>
    </w:p>
    <w:p>
      <w:pPr>
        <w:spacing w:after="0" w:line="194" w:lineRule="exact"/>
        <w:rPr>
          <w:sz w:val="20"/>
          <w:szCs w:val="20"/>
          <w:color w:val="auto"/>
        </w:rPr>
      </w:pPr>
    </w:p>
    <w:p>
      <w:pPr>
        <w:ind w:firstLine="316"/>
        <w:spacing w:after="0" w:line="283" w:lineRule="auto"/>
        <w:rPr>
          <w:sz w:val="20"/>
          <w:szCs w:val="20"/>
          <w:color w:val="auto"/>
        </w:rPr>
      </w:pPr>
      <w:r>
        <w:rPr>
          <w:rFonts w:ascii="Arial" w:cs="Arial" w:eastAsia="Arial" w:hAnsi="Arial"/>
          <w:sz w:val="16"/>
          <w:szCs w:val="16"/>
          <w:color w:val="auto"/>
        </w:rPr>
        <w:t>In connection with settlements for the years 2008 through 2015, we expect to realize reductions to our mandatory deemed repatriation tax obligations and tax savings from interest deductions in future years aggregating to approximately $168 million. Of this amount, $34 million of interest savings from the interest paid with respect to years 2008 through 2012 is classified as a deferred tax asset due to interest expense limitation rules.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Research and Development Expense Capitalization</w:t>
      </w:r>
    </w:p>
    <w:p>
      <w:pPr>
        <w:spacing w:after="0" w:line="228" w:lineRule="exact"/>
        <w:rPr>
          <w:sz w:val="20"/>
          <w:szCs w:val="20"/>
          <w:color w:val="auto"/>
        </w:rPr>
      </w:pPr>
    </w:p>
    <w:p>
      <w:pPr>
        <w:ind w:right="460" w:firstLine="316"/>
        <w:spacing w:after="0" w:line="308" w:lineRule="auto"/>
        <w:rPr>
          <w:sz w:val="20"/>
          <w:szCs w:val="20"/>
          <w:color w:val="auto"/>
        </w:rPr>
      </w:pPr>
      <w:r>
        <w:rPr>
          <w:rFonts w:ascii="Arial" w:cs="Arial" w:eastAsia="Arial" w:hAnsi="Arial"/>
          <w:sz w:val="16"/>
          <w:szCs w:val="16"/>
          <w:color w:val="auto"/>
        </w:rPr>
        <w:t>Since the beginning of 2023, the 2017 Act has required us to capitalize and amortize R&amp;D expenses rather than expensing them in the year incurred, which is expected to result in materially higher cash tax payments in future periods, if not repealed or otherwise modified.</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Exchange Contracts</w:t>
      </w:r>
    </w:p>
    <w:p>
      <w:pPr>
        <w:spacing w:after="0" w:line="241" w:lineRule="exact"/>
        <w:rPr>
          <w:sz w:val="20"/>
          <w:szCs w:val="20"/>
          <w:color w:val="auto"/>
        </w:rPr>
      </w:pPr>
    </w:p>
    <w:p>
      <w:pPr>
        <w:ind w:right="100" w:firstLine="316"/>
        <w:spacing w:after="0" w:line="253"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included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Indemnifications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200" w:firstLine="316"/>
        <w:spacing w:after="0" w:line="300" w:lineRule="auto"/>
        <w:rPr>
          <w:sz w:val="20"/>
          <w:szCs w:val="20"/>
          <w:color w:val="auto"/>
        </w:rPr>
      </w:pPr>
      <w:r>
        <w:rPr>
          <w:rFonts w:ascii="Arial" w:cs="Arial" w:eastAsia="Arial" w:hAnsi="Arial"/>
          <w:sz w:val="16"/>
          <w:szCs w:val="16"/>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16"/>
        <w:spacing w:after="0" w:line="316" w:lineRule="auto"/>
        <w:rPr>
          <w:sz w:val="20"/>
          <w:szCs w:val="20"/>
          <w:color w:val="auto"/>
        </w:rPr>
      </w:pPr>
      <w:r>
        <w:rPr>
          <w:rFonts w:ascii="Arial" w:cs="Arial" w:eastAsia="Arial" w:hAnsi="Arial"/>
          <w:sz w:val="15"/>
          <w:szCs w:val="15"/>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3" w:lineRule="exact"/>
        <w:rPr>
          <w:sz w:val="20"/>
          <w:szCs w:val="20"/>
          <w:color w:val="auto"/>
        </w:rPr>
      </w:pPr>
    </w:p>
    <w:p>
      <w:pPr>
        <w:jc w:val="both"/>
        <w:ind w:right="220" w:firstLine="316"/>
        <w:spacing w:after="0" w:line="215" w:lineRule="exact"/>
        <w:rPr>
          <w:sz w:val="20"/>
          <w:szCs w:val="20"/>
          <w:color w:val="auto"/>
        </w:rPr>
      </w:pPr>
      <w:r>
        <w:rPr>
          <w:rFonts w:ascii="Arial" w:cs="Arial" w:eastAsia="Arial" w:hAnsi="Arial"/>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June 30, 2023. Please refer to Part II, Item 7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June 30, 2023 for a discussion of our critical accounting policies and estimates.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7" w:lineRule="exact"/>
        <w:rPr>
          <w:sz w:val="20"/>
          <w:szCs w:val="20"/>
          <w:color w:val="auto"/>
        </w:rPr>
      </w:pPr>
    </w:p>
    <w:p>
      <w:pPr>
        <w:ind w:right="100" w:firstLine="316"/>
        <w:spacing w:after="0" w:line="253" w:lineRule="auto"/>
        <w:rPr>
          <w:sz w:val="20"/>
          <w:szCs w:val="20"/>
          <w:color w:val="auto"/>
        </w:rPr>
      </w:pPr>
      <w:r>
        <w:rPr>
          <w:rFonts w:ascii="Arial" w:cs="Arial" w:eastAsia="Arial" w:hAnsi="Arial"/>
          <w:sz w:val="18"/>
          <w:szCs w:val="18"/>
          <w:color w:val="212529"/>
        </w:rPr>
        <w:t xml:space="preserve">Except as disclosed below, there have been no material changes to our market risk during the </w:t>
      </w:r>
      <w:r>
        <w:rPr>
          <w:rFonts w:ascii="Arial" w:cs="Arial" w:eastAsia="Arial" w:hAnsi="Arial"/>
          <w:sz w:val="18"/>
          <w:szCs w:val="18"/>
          <w:color w:val="000000"/>
        </w:rPr>
        <w:t>three months ended September 29, 2023</w:t>
      </w:r>
      <w:r>
        <w:rPr>
          <w:rFonts w:ascii="Arial" w:cs="Arial" w:eastAsia="Arial" w:hAnsi="Arial"/>
          <w:sz w:val="18"/>
          <w:szCs w:val="18"/>
          <w:color w:val="212529"/>
        </w:rPr>
        <w:t xml:space="preserve">. See Part II, Item 7A, </w:t>
      </w:r>
      <w:r>
        <w:rPr>
          <w:rFonts w:ascii="Arial" w:cs="Arial" w:eastAsia="Arial" w:hAnsi="Arial"/>
          <w:sz w:val="18"/>
          <w:szCs w:val="18"/>
          <w:i w:val="1"/>
          <w:iCs w:val="1"/>
          <w:color w:val="212529"/>
        </w:rPr>
        <w:t>Quantitative and Qualitative Disclosures About Market Risk</w:t>
      </w:r>
      <w:r>
        <w:rPr>
          <w:rFonts w:ascii="Arial" w:cs="Arial" w:eastAsia="Arial" w:hAnsi="Arial"/>
          <w:sz w:val="18"/>
          <w:szCs w:val="18"/>
          <w:color w:val="212529"/>
        </w:rPr>
        <w:t xml:space="preserve"> in our Annual Report on Form 10-K for the year ended </w:t>
      </w:r>
      <w:r>
        <w:rPr>
          <w:rFonts w:ascii="Arial" w:cs="Arial" w:eastAsia="Arial" w:hAnsi="Arial"/>
          <w:sz w:val="18"/>
          <w:szCs w:val="18"/>
          <w:color w:val="000000"/>
        </w:rPr>
        <w:t>June 30, 2023</w:t>
      </w:r>
      <w:r>
        <w:rPr>
          <w:rFonts w:ascii="Arial" w:cs="Arial" w:eastAsia="Arial" w:hAnsi="Arial"/>
          <w:sz w:val="18"/>
          <w:szCs w:val="18"/>
          <w:color w:val="212529"/>
        </w:rPr>
        <w:t xml:space="preserve"> for further information about our exposure to market risk.</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Currency Risk</w:t>
      </w:r>
    </w:p>
    <w:p>
      <w:pPr>
        <w:spacing w:after="0" w:line="241" w:lineRule="exact"/>
        <w:rPr>
          <w:sz w:val="20"/>
          <w:szCs w:val="20"/>
          <w:color w:val="auto"/>
        </w:rPr>
      </w:pPr>
    </w:p>
    <w:p>
      <w:pPr>
        <w:ind w:right="80" w:firstLine="316"/>
        <w:spacing w:after="0" w:line="285" w:lineRule="auto"/>
        <w:rPr>
          <w:sz w:val="20"/>
          <w:szCs w:val="20"/>
          <w:color w:val="auto"/>
        </w:rPr>
      </w:pPr>
      <w:r>
        <w:rPr>
          <w:rFonts w:ascii="Arial" w:cs="Arial" w:eastAsia="Arial" w:hAnsi="Arial"/>
          <w:sz w:val="16"/>
          <w:szCs w:val="16"/>
          <w:color w:val="auto"/>
        </w:rPr>
        <w:t>We have performed sensitivity analyses as of September 29, 2023 and June 30, 2023 using a modeling technique that measures the change in the fair values arising from a hypothetical 10% adverse moveme</w:t>
      </w:r>
      <w:r>
        <w:rPr>
          <w:rFonts w:ascii="Arial" w:cs="Arial" w:eastAsia="Arial" w:hAnsi="Arial"/>
          <w:sz w:val="16"/>
          <w:szCs w:val="16"/>
          <w:color w:val="212529"/>
        </w:rPr>
        <w:t>nt in the levels of foreign currency exchange rates relative to the U.S. dollar, with all other variables</w:t>
      </w:r>
      <w:r>
        <w:rPr>
          <w:rFonts w:ascii="Arial" w:cs="Arial" w:eastAsia="Arial" w:hAnsi="Arial"/>
          <w:sz w:val="16"/>
          <w:szCs w:val="16"/>
          <w:color w:val="auto"/>
        </w:rPr>
        <w:t xml:space="preserve"> </w:t>
      </w:r>
      <w:r>
        <w:rPr>
          <w:rFonts w:ascii="Arial" w:cs="Arial" w:eastAsia="Arial" w:hAnsi="Arial"/>
          <w:sz w:val="16"/>
          <w:szCs w:val="16"/>
          <w:color w:val="212529"/>
        </w:rPr>
        <w:t xml:space="preserve">held constant. The analyses cover all of our foreign currency derivative contracts used to offset the underlying exposures. The foreign currency exchange rates used in performing the sensitivity analyses were based on market rates in effect at </w:t>
      </w:r>
      <w:r>
        <w:rPr>
          <w:rFonts w:ascii="Arial" w:cs="Arial" w:eastAsia="Arial" w:hAnsi="Arial"/>
          <w:sz w:val="16"/>
          <w:szCs w:val="16"/>
          <w:color w:val="000000"/>
        </w:rPr>
        <w:t>September 29, 2023</w:t>
      </w:r>
      <w:r>
        <w:rPr>
          <w:rFonts w:ascii="Arial" w:cs="Arial" w:eastAsia="Arial" w:hAnsi="Arial"/>
          <w:sz w:val="16"/>
          <w:szCs w:val="16"/>
          <w:color w:val="212529"/>
        </w:rPr>
        <w:t xml:space="preserve"> and </w:t>
      </w:r>
      <w:r>
        <w:rPr>
          <w:rFonts w:ascii="Arial" w:cs="Arial" w:eastAsia="Arial" w:hAnsi="Arial"/>
          <w:sz w:val="16"/>
          <w:szCs w:val="16"/>
          <w:color w:val="000000"/>
        </w:rPr>
        <w:t>June 30, 2023</w:t>
      </w:r>
      <w:r>
        <w:rPr>
          <w:rFonts w:ascii="Arial" w:cs="Arial" w:eastAsia="Arial" w:hAnsi="Arial"/>
          <w:sz w:val="16"/>
          <w:szCs w:val="16"/>
          <w:color w:val="212529"/>
        </w:rPr>
        <w:t xml:space="preserve">. The sensitivity analyses indicated that a hypothetical 10% adverse movement in foreign currency exchange rates relative to the U.S. dollar would result in a foreign exchange fair value loss of </w:t>
      </w:r>
      <w:r>
        <w:rPr>
          <w:rFonts w:ascii="Arial" w:cs="Arial" w:eastAsia="Arial" w:hAnsi="Arial"/>
          <w:sz w:val="16"/>
          <w:szCs w:val="16"/>
          <w:color w:val="000000"/>
        </w:rPr>
        <w:t xml:space="preserve">$250 </w:t>
      </w:r>
      <w:r>
        <w:rPr>
          <w:rFonts w:ascii="Arial" w:cs="Arial" w:eastAsia="Arial" w:hAnsi="Arial"/>
          <w:sz w:val="16"/>
          <w:szCs w:val="16"/>
          <w:color w:val="212529"/>
        </w:rPr>
        <w:t>million and $285 million at</w:t>
      </w:r>
      <w:r>
        <w:rPr>
          <w:rFonts w:ascii="Arial" w:cs="Arial" w:eastAsia="Arial" w:hAnsi="Arial"/>
          <w:sz w:val="16"/>
          <w:szCs w:val="16"/>
          <w:color w:val="000000"/>
        </w:rPr>
        <w:t xml:space="preserve"> September 29, 2023 </w:t>
      </w:r>
      <w:r>
        <w:rPr>
          <w:rFonts w:ascii="Arial" w:cs="Arial" w:eastAsia="Arial" w:hAnsi="Arial"/>
          <w:sz w:val="16"/>
          <w:szCs w:val="16"/>
          <w:color w:val="212529"/>
        </w:rPr>
        <w:t>and</w:t>
      </w:r>
      <w:r>
        <w:rPr>
          <w:rFonts w:ascii="Arial" w:cs="Arial" w:eastAsia="Arial" w:hAnsi="Arial"/>
          <w:sz w:val="16"/>
          <w:szCs w:val="16"/>
          <w:color w:val="000000"/>
        </w:rPr>
        <w:t xml:space="preserve"> June 30, 2023</w:t>
      </w:r>
      <w:r>
        <w:rPr>
          <w:rFonts w:ascii="Arial" w:cs="Arial" w:eastAsia="Arial" w:hAnsi="Arial"/>
          <w:sz w:val="16"/>
          <w:szCs w:val="16"/>
          <w:color w:val="212529"/>
        </w:rPr>
        <w:t>, respectively.</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 Risk</w:t>
      </w:r>
    </w:p>
    <w:p>
      <w:pPr>
        <w:spacing w:after="0" w:line="241" w:lineRule="exact"/>
        <w:rPr>
          <w:sz w:val="20"/>
          <w:szCs w:val="20"/>
          <w:color w:val="auto"/>
        </w:rPr>
      </w:pPr>
    </w:p>
    <w:p>
      <w:pPr>
        <w:ind w:right="140" w:firstLine="316"/>
        <w:spacing w:after="0" w:line="292" w:lineRule="auto"/>
        <w:rPr>
          <w:sz w:val="20"/>
          <w:szCs w:val="20"/>
          <w:color w:val="auto"/>
        </w:rPr>
      </w:pPr>
      <w:r>
        <w:rPr>
          <w:rFonts w:ascii="Arial" w:cs="Arial" w:eastAsia="Arial" w:hAnsi="Arial"/>
          <w:sz w:val="16"/>
          <w:szCs w:val="16"/>
          <w:color w:val="auto"/>
        </w:rPr>
        <w:t xml:space="preserve">We have generally held a balance of fixed and variable rate debt. As of September 29, 2023, our variable rate debt outstanding consists of our Term Loan A-2 and Delayed Draw Term Loan, which are based on various index rates as discussed further in Note 7, </w:t>
      </w:r>
      <w:r>
        <w:rPr>
          <w:rFonts w:ascii="Arial" w:cs="Arial" w:eastAsia="Arial" w:hAnsi="Arial"/>
          <w:sz w:val="16"/>
          <w:szCs w:val="16"/>
          <w:i w:val="1"/>
          <w:iCs w:val="1"/>
          <w:color w:val="auto"/>
        </w:rPr>
        <w:t>Debt</w:t>
      </w:r>
      <w:r>
        <w:rPr>
          <w:rFonts w:ascii="Arial" w:cs="Arial" w:eastAsia="Arial" w:hAnsi="Arial"/>
          <w:sz w:val="16"/>
          <w:szCs w:val="16"/>
          <w:color w:val="auto"/>
        </w:rPr>
        <w:t>, of the Notes to Condensed Consolidated Financial Statements included in this Quarterly Report on Form 10-Q. As of September 29, 2023, the outstanding balance on our variable rate debt was $3.3 billion and a one percent increase in the variable rate of interest would increase annual interest expense by $33 million.</w:t>
      </w:r>
    </w:p>
    <w:p>
      <w:pPr>
        <w:spacing w:after="0" w:line="18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1" w:lineRule="exact"/>
        <w:rPr>
          <w:sz w:val="20"/>
          <w:szCs w:val="20"/>
          <w:color w:val="auto"/>
        </w:rPr>
      </w:pPr>
    </w:p>
    <w:p>
      <w:pPr>
        <w:ind w:firstLine="316"/>
        <w:spacing w:after="0" w:line="248"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41" w:lineRule="exact"/>
        <w:rPr>
          <w:sz w:val="20"/>
          <w:szCs w:val="20"/>
          <w:color w:val="auto"/>
        </w:rPr>
      </w:pPr>
    </w:p>
    <w:p>
      <w:pPr>
        <w:ind w:right="480" w:firstLine="316"/>
        <w:spacing w:after="0" w:line="262"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of fiscal year 2024 that has materially affected, or is reasonably likely to materially affect, our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II. OTHER INFORMATION</w:t>
      </w: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47" w:lineRule="exact"/>
        <w:rPr>
          <w:sz w:val="20"/>
          <w:szCs w:val="20"/>
          <w:color w:val="auto"/>
        </w:rPr>
      </w:pPr>
    </w:p>
    <w:p>
      <w:pPr>
        <w:ind w:right="420" w:firstLine="316"/>
        <w:spacing w:after="0" w:line="325" w:lineRule="auto"/>
        <w:rPr>
          <w:sz w:val="20"/>
          <w:szCs w:val="20"/>
          <w:color w:val="auto"/>
        </w:rPr>
      </w:pPr>
      <w:r>
        <w:rPr>
          <w:rFonts w:ascii="Arial" w:cs="Arial" w:eastAsia="Arial" w:hAnsi="Arial"/>
          <w:sz w:val="16"/>
          <w:szCs w:val="16"/>
          <w:color w:val="auto"/>
        </w:rPr>
        <w:t xml:space="preserve">See Note 12,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Condensed Consolidated Financial Statements included in this Quarterly Report on Form 10-Q for disclosures regarding the status of statutory notices of deficiency issued by the IRS with regards to tax years 2008 through 2015.</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47" w:lineRule="exact"/>
        <w:rPr>
          <w:sz w:val="20"/>
          <w:szCs w:val="20"/>
          <w:color w:val="auto"/>
        </w:rPr>
      </w:pPr>
    </w:p>
    <w:p>
      <w:pPr>
        <w:ind w:right="20" w:firstLine="316"/>
        <w:spacing w:after="0" w:line="248" w:lineRule="auto"/>
        <w:rPr>
          <w:sz w:val="20"/>
          <w:szCs w:val="20"/>
          <w:color w:val="auto"/>
        </w:rPr>
      </w:pPr>
      <w:r>
        <w:rPr>
          <w:rFonts w:ascii="Arial" w:cs="Arial" w:eastAsia="Arial" w:hAnsi="Arial"/>
          <w:sz w:val="18"/>
          <w:szCs w:val="18"/>
          <w:color w:val="auto"/>
        </w:rPr>
        <w:t>We have described under the heading “Risk Factors” in Part I, Item 1A of our Annual Report on Form 10-K for the year ended June 30, 2023 a number of risks and uncertainties that could cause our actual results of operations and financial condition to vary materially from past, or from anticipated future, results of operations and financial condition. Except as discussed below, there have been no material changes from these risk factors previously described in our Annual Report on Form 10-K for the year ended June 30, 2023.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7" w:lineRule="exact"/>
        <w:rPr>
          <w:sz w:val="20"/>
          <w:szCs w:val="20"/>
          <w:color w:val="auto"/>
        </w:rPr>
      </w:pPr>
    </w:p>
    <w:p>
      <w:pPr>
        <w:ind w:firstLine="316"/>
        <w:spacing w:after="0" w:line="247" w:lineRule="auto"/>
        <w:rPr>
          <w:sz w:val="20"/>
          <w:szCs w:val="20"/>
          <w:color w:val="auto"/>
        </w:rPr>
      </w:pPr>
      <w:r>
        <w:rPr>
          <w:rFonts w:ascii="Arial" w:cs="Arial" w:eastAsia="Arial" w:hAnsi="Arial"/>
          <w:sz w:val="18"/>
          <w:szCs w:val="18"/>
          <w:b w:val="1"/>
          <w:bCs w:val="1"/>
          <w:i w:val="1"/>
          <w:iCs w:val="1"/>
          <w:color w:val="auto"/>
        </w:rPr>
        <w:t>The proposed separation of our HDD and Flash business units into two independent public companies is subject to various risks and uncertainties and may not be completed in accordance with the expected plans or anticipated timeline, or at all.</w:t>
      </w:r>
    </w:p>
    <w:p>
      <w:pPr>
        <w:spacing w:after="0" w:line="194" w:lineRule="exact"/>
        <w:rPr>
          <w:sz w:val="20"/>
          <w:szCs w:val="20"/>
          <w:color w:val="auto"/>
        </w:rPr>
      </w:pPr>
    </w:p>
    <w:p>
      <w:pPr>
        <w:ind w:right="20" w:firstLine="316"/>
        <w:spacing w:after="0" w:line="268" w:lineRule="auto"/>
        <w:rPr>
          <w:sz w:val="20"/>
          <w:szCs w:val="20"/>
          <w:color w:val="auto"/>
        </w:rPr>
      </w:pPr>
      <w:r>
        <w:rPr>
          <w:rFonts w:ascii="Arial" w:cs="Arial" w:eastAsia="Arial" w:hAnsi="Arial"/>
          <w:sz w:val="16"/>
          <w:szCs w:val="16"/>
          <w:color w:val="auto"/>
        </w:rPr>
        <w:t>On October 30, 2023, we announced that our Board of Directors had completed its review of potential strategic alternatives and had unanimously approved pursuing a plan to separate the Flash business unit from our remaining hard disk drive technology business (the “Separation”). The Separation is intended to be structured in a tax-free manner and is targeted for completion in the second half of the calendar year 2024. No assurance can be given as to whether the Separation will occur, when any such transaction will be approved or when any separation may be completed. Furthermore, while we are exploring the Separation of our Flash business unit, the specific assets, liabilities and entities to be separated have not yet been determined and may change. We may determine to abandon any efforts with respect to the Separation at any time for any reason.</w:t>
      </w:r>
    </w:p>
    <w:p>
      <w:pPr>
        <w:spacing w:after="0" w:line="192" w:lineRule="exact"/>
        <w:rPr>
          <w:sz w:val="20"/>
          <w:szCs w:val="20"/>
          <w:color w:val="auto"/>
        </w:rPr>
      </w:pPr>
    </w:p>
    <w:p>
      <w:pPr>
        <w:ind w:right="20" w:firstLine="316"/>
        <w:spacing w:after="0" w:line="268" w:lineRule="auto"/>
        <w:rPr>
          <w:sz w:val="20"/>
          <w:szCs w:val="20"/>
          <w:color w:val="auto"/>
        </w:rPr>
      </w:pPr>
      <w:r>
        <w:rPr>
          <w:rFonts w:ascii="Arial" w:cs="Arial" w:eastAsia="Arial" w:hAnsi="Arial"/>
          <w:sz w:val="16"/>
          <w:szCs w:val="16"/>
          <w:color w:val="auto"/>
        </w:rPr>
        <w:t>The form or other terms of the Separation may change over time, including with respect to the scope of the businesses to be separated or retained by us. The final determination to separate is subject to Board approval, the execution of definitive documentation, receipt of opinions or rulings as to the tax-free nature of the Separation and satisfaction of customary conditions, including the effectiveness of appropriate filings with the SEC, the completion of audited financial statements and the availability of financing. Additionally, no assurance can be given that the intended tax treatment will be achieved or that shareholders will not incur substantial tax liabilities in connection with the Separation. The failure to satisfy any of these conditions could delay the completion of the Separation for a significant period of time or prevent it from occurring at all.</w:t>
      </w:r>
    </w:p>
    <w:p>
      <w:pPr>
        <w:spacing w:after="0" w:line="192" w:lineRule="exact"/>
        <w:rPr>
          <w:sz w:val="20"/>
          <w:szCs w:val="20"/>
          <w:color w:val="auto"/>
        </w:rPr>
      </w:pPr>
    </w:p>
    <w:p>
      <w:pPr>
        <w:ind w:right="160" w:firstLine="316"/>
        <w:spacing w:after="0" w:line="269" w:lineRule="auto"/>
        <w:rPr>
          <w:sz w:val="20"/>
          <w:szCs w:val="20"/>
          <w:color w:val="auto"/>
        </w:rPr>
      </w:pPr>
      <w:r>
        <w:rPr>
          <w:rFonts w:ascii="Arial" w:cs="Arial" w:eastAsia="Arial" w:hAnsi="Arial"/>
          <w:sz w:val="16"/>
          <w:szCs w:val="16"/>
          <w:color w:val="auto"/>
        </w:rPr>
        <w:t>Various factors, including changes in the competitive conditions of our markets, changes in financial markets and economic conditions, failure to obtain any third party consents that may be required for the Separation, delays in obtaining tax opinions or rulings, material or unanticipated tax liability for our shareholders, us, and/or the Flash business unit, and other challenges in executing the separation of the two businesses, could delay or prevent the completion of the Separation or cause it to occur on terms or conditions that are different or less favorable than expected.</w:t>
      </w:r>
    </w:p>
    <w:p>
      <w:pPr>
        <w:spacing w:after="0" w:line="191" w:lineRule="exact"/>
        <w:rPr>
          <w:sz w:val="20"/>
          <w:szCs w:val="20"/>
          <w:color w:val="auto"/>
        </w:rPr>
      </w:pPr>
    </w:p>
    <w:p>
      <w:pPr>
        <w:ind w:right="200" w:firstLine="316"/>
        <w:spacing w:after="0" w:line="247" w:lineRule="auto"/>
        <w:rPr>
          <w:sz w:val="20"/>
          <w:szCs w:val="20"/>
          <w:color w:val="auto"/>
        </w:rPr>
      </w:pPr>
      <w:r>
        <w:rPr>
          <w:rFonts w:ascii="Arial" w:cs="Arial" w:eastAsia="Arial" w:hAnsi="Arial"/>
          <w:sz w:val="18"/>
          <w:szCs w:val="18"/>
          <w:color w:val="auto"/>
        </w:rPr>
        <w:t>Further, our Board of Directors could decide, either because of a failure of conditions or because of market or other factors, to abandon the separation of our Flash business unit.</w:t>
      </w:r>
    </w:p>
    <w:p>
      <w:pPr>
        <w:spacing w:after="0" w:line="220" w:lineRule="exact"/>
        <w:rPr>
          <w:sz w:val="20"/>
          <w:szCs w:val="20"/>
          <w:color w:val="auto"/>
        </w:rPr>
      </w:pPr>
    </w:p>
    <w:p>
      <w:pPr>
        <w:ind w:right="600" w:firstLine="316"/>
        <w:spacing w:after="0" w:line="262" w:lineRule="auto"/>
        <w:rPr>
          <w:sz w:val="20"/>
          <w:szCs w:val="20"/>
          <w:color w:val="auto"/>
        </w:rPr>
      </w:pPr>
      <w:r>
        <w:rPr>
          <w:rFonts w:ascii="Arial" w:cs="Arial" w:eastAsia="Arial" w:hAnsi="Arial"/>
          <w:sz w:val="18"/>
          <w:szCs w:val="18"/>
          <w:b w:val="1"/>
          <w:bCs w:val="1"/>
          <w:i w:val="1"/>
          <w:iCs w:val="1"/>
          <w:color w:val="auto"/>
        </w:rPr>
        <w:t>Our review of the Separation has and will continue to involve significant time, expense and resources and could disrupt or adversely affect our business.</w:t>
      </w:r>
    </w:p>
    <w:p>
      <w:pPr>
        <w:spacing w:after="0" w:line="194" w:lineRule="exact"/>
        <w:rPr>
          <w:sz w:val="20"/>
          <w:szCs w:val="20"/>
          <w:color w:val="auto"/>
        </w:rPr>
      </w:pPr>
    </w:p>
    <w:p>
      <w:pPr>
        <w:ind w:right="300" w:firstLine="316"/>
        <w:spacing w:after="0" w:line="236" w:lineRule="auto"/>
        <w:rPr>
          <w:sz w:val="20"/>
          <w:szCs w:val="20"/>
          <w:color w:val="auto"/>
        </w:rPr>
      </w:pPr>
      <w:r>
        <w:rPr>
          <w:rFonts w:ascii="Arial" w:cs="Arial" w:eastAsia="Arial" w:hAnsi="Arial"/>
          <w:sz w:val="18"/>
          <w:szCs w:val="18"/>
          <w:color w:val="auto"/>
        </w:rPr>
        <w:t>Executing the Separation of our Flash business unit has and will continue to require significant time and attention from our senior management and employees and may divert their attention from operating and growing our business in ways that could adversely affect our business, financial condition and results of operations. Our employees may also be distracted due to uncertainty about their future roles with the separated companies, and customers or suppliers could delay or defer decisions or may end their relationships with us.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right="180" w:firstLine="316"/>
        <w:spacing w:after="0" w:line="235" w:lineRule="auto"/>
        <w:rPr>
          <w:sz w:val="20"/>
          <w:szCs w:val="20"/>
          <w:color w:val="auto"/>
        </w:rPr>
      </w:pPr>
      <w:r>
        <w:rPr>
          <w:rFonts w:ascii="Arial" w:cs="Arial" w:eastAsia="Arial" w:hAnsi="Arial"/>
          <w:sz w:val="18"/>
          <w:szCs w:val="18"/>
          <w:color w:val="auto"/>
        </w:rPr>
        <w:t>In addition, we have incurred and will continue to incur expenses in connection with our strategic review and the consideration of the Separation and expect that the process of reviewing the Separation and executing the Separation, if any, will be time-consuming and involve significant additional costs and expenses, which may not yield a benefit if the Separation is not completed. If pursued, we will also incur ongoing costs and dis-synergies in connection with, or as a result of, the Separation and related restructuring transactions, including costs of operating as independent, publicly traded companies that the two businesses will no longer be able to share.</w:t>
      </w:r>
    </w:p>
    <w:p>
      <w:pPr>
        <w:spacing w:after="0" w:line="213" w:lineRule="exact"/>
        <w:rPr>
          <w:sz w:val="20"/>
          <w:szCs w:val="20"/>
          <w:color w:val="auto"/>
        </w:rPr>
      </w:pPr>
    </w:p>
    <w:p>
      <w:pPr>
        <w:ind w:right="220" w:firstLine="316"/>
        <w:spacing w:after="0" w:line="247" w:lineRule="auto"/>
        <w:rPr>
          <w:sz w:val="20"/>
          <w:szCs w:val="20"/>
          <w:color w:val="auto"/>
        </w:rPr>
      </w:pPr>
      <w:r>
        <w:rPr>
          <w:rFonts w:ascii="Arial" w:cs="Arial" w:eastAsia="Arial" w:hAnsi="Arial"/>
          <w:sz w:val="18"/>
          <w:szCs w:val="18"/>
          <w:color w:val="auto"/>
        </w:rPr>
        <w:t>Any of the above factors could cause the Separation (or the failure to execute the Separation) to have a material adverse effect on our business, financial condition, results of operations and the trading price of our common stock and/or other securities.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The Separation may not achieve the anticipated benefits and could expose us to new risks, including with respect to our existing indebtedness.</w:t>
      </w:r>
    </w:p>
    <w:p>
      <w:pPr>
        <w:spacing w:after="0" w:line="251" w:lineRule="exact"/>
        <w:rPr>
          <w:sz w:val="20"/>
          <w:szCs w:val="20"/>
          <w:color w:val="auto"/>
        </w:rPr>
      </w:pPr>
    </w:p>
    <w:p>
      <w:pPr>
        <w:ind w:right="80" w:firstLine="316"/>
        <w:spacing w:after="0" w:line="268" w:lineRule="auto"/>
        <w:rPr>
          <w:sz w:val="20"/>
          <w:szCs w:val="20"/>
          <w:color w:val="auto"/>
        </w:rPr>
      </w:pPr>
      <w:r>
        <w:rPr>
          <w:rFonts w:ascii="Arial" w:cs="Arial" w:eastAsia="Arial" w:hAnsi="Arial"/>
          <w:sz w:val="16"/>
          <w:szCs w:val="16"/>
          <w:color w:val="auto"/>
        </w:rPr>
        <w:t>We may not realize any strategic, financial, operational, or other benefits from the Separation of our Flash business unit. We cannot predict with certainty if or when anticipated benefits will occur or the extent to which they will be achieved. If the Separation is completed, our operational and financial profile will change and we will face new risks. If the Separation is completed, we will be a smaller and less-diversified company and may be more vulnerable to changing market conditions. While we believe that the Separation will position each company to better unlock its full standalone long-term potential, we cannot assure you that following the Separation we will be successful. Further, there can be no assurance that the combined value of the shares of the two resulting companies will be equal to or greater than what the value of our common stock would have been had the Separation not occurred.</w:t>
      </w:r>
    </w:p>
    <w:p>
      <w:pPr>
        <w:spacing w:after="0" w:line="192" w:lineRule="exact"/>
        <w:rPr>
          <w:sz w:val="20"/>
          <w:szCs w:val="20"/>
          <w:color w:val="auto"/>
        </w:rPr>
      </w:pPr>
    </w:p>
    <w:p>
      <w:pPr>
        <w:ind w:right="240" w:firstLine="316"/>
        <w:spacing w:after="0" w:line="238" w:lineRule="auto"/>
        <w:rPr>
          <w:sz w:val="20"/>
          <w:szCs w:val="20"/>
          <w:color w:val="auto"/>
        </w:rPr>
      </w:pPr>
      <w:r>
        <w:rPr>
          <w:rFonts w:ascii="Arial" w:cs="Arial" w:eastAsia="Arial" w:hAnsi="Arial"/>
          <w:sz w:val="18"/>
          <w:szCs w:val="18"/>
          <w:color w:val="auto"/>
        </w:rPr>
        <w:t>In addition, following the completion of the Separation or any other disposition of our Flash business unit, we will not be able to rely on the earnings, assets or cash flow of the Flash business unit, and that business will not provide funds to finance our working capital or other cash requirements. As a result, our ability to service our debt may be adversely affected.</w:t>
      </w:r>
    </w:p>
    <w:p>
      <w:pPr>
        <w:spacing w:after="0" w:line="215" w:lineRule="exact"/>
        <w:rPr>
          <w:sz w:val="20"/>
          <w:szCs w:val="20"/>
          <w:color w:val="auto"/>
        </w:rPr>
      </w:pPr>
    </w:p>
    <w:p>
      <w:pPr>
        <w:ind w:right="20" w:firstLine="316"/>
        <w:spacing w:after="0" w:line="247" w:lineRule="auto"/>
        <w:rPr>
          <w:sz w:val="20"/>
          <w:szCs w:val="20"/>
          <w:color w:val="auto"/>
        </w:rPr>
      </w:pPr>
      <w:r>
        <w:rPr>
          <w:rFonts w:ascii="Arial" w:cs="Arial" w:eastAsia="Arial" w:hAnsi="Arial"/>
          <w:sz w:val="18"/>
          <w:szCs w:val="18"/>
          <w:color w:val="auto"/>
        </w:rPr>
        <w:t>We cannot predict the prices at which our common stock may trade after the Separation or the effect of the Separation on the trading prices of our common stock.</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Separation will be subject to conditions including the availability of financing. We have not obtained any financing with respect to the Separation</w:t>
      </w:r>
    </w:p>
    <w:p>
      <w:pPr>
        <w:spacing w:after="0" w:line="2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transaction, including any new financing for the remaining business and the terms of any such arrangements may be more burdensome or costly than the terms of our current indebtedness or we may not be able to obtain credit on attractive terms and price. Furthermore, any Separation may cause us to breach covenants in our existing indebtedness if such indebtedness is not repaid or refinanced or a waiver is not obtained prior to the Separation. For example, our credit facilities contain specific restrictions on any disposal of our Flash business unit. In addition, we cannot assure you that a holder of our outstanding senior notes will not argue that the Separation constitutes a change of control and try to require us to repurchase its notes as a result of the Separation.</w:t>
      </w:r>
    </w:p>
    <w:p>
      <w:pPr>
        <w:spacing w:after="0" w:line="20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Arrangements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tcPr>
          <w:p>
            <w:pPr>
              <w:ind w:left="3640"/>
              <w:spacing w:after="0"/>
              <w:rPr>
                <w:sz w:val="20"/>
                <w:szCs w:val="20"/>
                <w:color w:val="auto"/>
              </w:rPr>
            </w:pPr>
            <w:r>
              <w:rPr>
                <w:rFonts w:ascii="Arial" w:cs="Arial" w:eastAsia="Arial" w:hAnsi="Arial"/>
                <w:sz w:val="19"/>
                <w:szCs w:val="19"/>
                <w:b w:val="1"/>
                <w:bCs w:val="1"/>
                <w:color w:val="auto"/>
              </w:rPr>
              <w:t>EXHIBIT INDEX</w:t>
            </w:r>
          </w:p>
        </w:tc>
      </w:tr>
      <w:tr>
        <w:trPr>
          <w:trHeight w:val="207"/>
        </w:trPr>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6"/>
              </w:rPr>
              <w:t>Exhibit</w:t>
            </w:r>
          </w:p>
        </w:tc>
        <w:tc>
          <w:tcPr>
            <w:tcW w:w="10000" w:type="dxa"/>
            <w:vAlign w:val="bottom"/>
          </w:tcPr>
          <w:p>
            <w:pPr>
              <w:spacing w:after="0"/>
              <w:rPr>
                <w:sz w:val="17"/>
                <w:szCs w:val="17"/>
                <w:color w:val="auto"/>
              </w:rPr>
            </w:pPr>
          </w:p>
        </w:tc>
      </w:tr>
      <w:tr>
        <w:trPr>
          <w:trHeight w:val="236"/>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Number</w:t>
            </w:r>
          </w:p>
        </w:tc>
        <w:tc>
          <w:tcPr>
            <w:tcW w:w="10000" w:type="dxa"/>
            <w:vAlign w:val="bottom"/>
          </w:tcPr>
          <w:p>
            <w:pPr>
              <w:ind w:left="4580"/>
              <w:spacing w:after="0"/>
              <w:rPr>
                <w:sz w:val="20"/>
                <w:szCs w:val="20"/>
                <w:color w:val="auto"/>
              </w:rPr>
            </w:pPr>
            <w:r>
              <w:rPr>
                <w:rFonts w:ascii="Arial" w:cs="Arial" w:eastAsia="Arial" w:hAnsi="Arial"/>
                <w:sz w:val="18"/>
                <w:szCs w:val="18"/>
                <w:color w:val="auto"/>
              </w:rPr>
              <w:t>Description</w:t>
            </w:r>
          </w:p>
        </w:tc>
      </w:tr>
      <w:tr>
        <w:trPr>
          <w:trHeight w:val="178"/>
        </w:trPr>
        <w:tc>
          <w:tcPr>
            <w:tcW w:w="720" w:type="dxa"/>
            <w:vAlign w:val="bottom"/>
            <w:tcBorders>
              <w:top w:val="single" w:sz="8" w:color="auto"/>
              <w:right w:val="single" w:sz="8" w:color="CCEEFF"/>
            </w:tcBorders>
            <w:gridSpan w:val="2"/>
            <w:shd w:val="clear" w:color="auto" w:fill="CCEEFF"/>
          </w:tcPr>
          <w:p>
            <w:pPr>
              <w:jc w:val="center"/>
              <w:ind w:left="332"/>
              <w:spacing w:after="0" w:line="178" w:lineRule="exact"/>
              <w:rPr>
                <w:rFonts w:ascii="Arial" w:cs="Arial" w:eastAsia="Arial" w:hAnsi="Arial"/>
                <w:sz w:val="18"/>
                <w:szCs w:val="18"/>
                <w:color w:val="0000FF"/>
                <w:w w:val="87"/>
              </w:rPr>
            </w:pPr>
            <w:hyperlink r:id="rId10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color w:val="auto"/>
                <w:w w:val="96"/>
              </w:rPr>
              <w:t>Amended and Restated Certificate of Incorporation of Western Digital Corporation, as amended to date (Filed as Exhibit 3.1 to the</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5"/>
              </w:rPr>
              <w:t>Company’s Quarterly Report on Form 10-Q (File No. 1-08703) with the Securities and Exchange Commission on February 8, 2006)</w:t>
            </w:r>
          </w:p>
        </w:tc>
      </w:tr>
      <w:tr>
        <w:trPr>
          <w:trHeight w:val="185"/>
        </w:trPr>
        <w:tc>
          <w:tcPr>
            <w:tcW w:w="720" w:type="dxa"/>
            <w:vAlign w:val="bottom"/>
            <w:gridSpan w:val="2"/>
          </w:tcPr>
          <w:p>
            <w:pPr>
              <w:jc w:val="center"/>
              <w:ind w:left="332"/>
              <w:spacing w:after="0" w:line="185" w:lineRule="exact"/>
              <w:rPr>
                <w:rFonts w:ascii="Arial" w:cs="Arial" w:eastAsia="Arial" w:hAnsi="Arial"/>
                <w:sz w:val="18"/>
                <w:szCs w:val="18"/>
                <w:color w:val="0000FF"/>
                <w:w w:val="87"/>
              </w:rPr>
            </w:pPr>
            <w:hyperlink r:id="rId10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89"/>
              </w:rPr>
              <w:t>Certificate of Designations, Preferences and Rights of Series A Convertible Perpetual Preferred Stock (Filed as Exhibit 3.1 to the Company’s</w:t>
            </w:r>
          </w:p>
        </w:tc>
      </w:tr>
      <w:tr>
        <w:trPr>
          <w:trHeight w:val="203"/>
        </w:trPr>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Pr>
          <w:p>
            <w:pPr>
              <w:spacing w:after="0" w:line="202" w:lineRule="exact"/>
              <w:rPr>
                <w:sz w:val="20"/>
                <w:szCs w:val="20"/>
                <w:color w:val="auto"/>
              </w:rPr>
            </w:pPr>
            <w:r>
              <w:rPr>
                <w:rFonts w:ascii="Arial" w:cs="Arial" w:eastAsia="Arial" w:hAnsi="Arial"/>
                <w:sz w:val="18"/>
                <w:szCs w:val="18"/>
                <w:color w:val="auto"/>
              </w:rPr>
              <w:t>Current Report on Form 8-K (File No. 1-08703) with the Securities and Exchange Commission on February 1, 2023)</w:t>
            </w:r>
          </w:p>
        </w:tc>
      </w:tr>
      <w:tr>
        <w:trPr>
          <w:trHeight w:val="185"/>
        </w:trPr>
        <w:tc>
          <w:tcPr>
            <w:tcW w:w="720" w:type="dxa"/>
            <w:vAlign w:val="bottom"/>
            <w:tcBorders>
              <w:right w:val="single" w:sz="8" w:color="CCEEFF"/>
            </w:tcBorders>
            <w:gridSpan w:val="2"/>
            <w:shd w:val="clear" w:color="auto" w:fill="CCEEFF"/>
          </w:tcPr>
          <w:p>
            <w:pPr>
              <w:jc w:val="center"/>
              <w:ind w:left="332"/>
              <w:spacing w:after="0" w:line="186" w:lineRule="exact"/>
              <w:rPr>
                <w:rFonts w:ascii="Arial" w:cs="Arial" w:eastAsia="Arial" w:hAnsi="Arial"/>
                <w:sz w:val="18"/>
                <w:szCs w:val="18"/>
                <w:color w:val="0000FF"/>
                <w:w w:val="87"/>
              </w:rPr>
            </w:pPr>
            <w:hyperlink r:id="rId10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90"/>
              </w:rPr>
              <w:t>Amended and Restated By-Laws of Western Digital Corporation, as amended effective as of February 10, 2021 (Filed as Exhibit 3.1 to the</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Company’s Current Report on Form 8-K (File No. 1-08703) with the Securities and Exchange Commission on February 12, 2021)</w:t>
            </w:r>
          </w:p>
        </w:tc>
      </w:tr>
      <w:tr>
        <w:trPr>
          <w:trHeight w:val="185"/>
        </w:trPr>
        <w:tc>
          <w:tcPr>
            <w:tcW w:w="1120" w:type="dxa"/>
            <w:vAlign w:val="bottom"/>
            <w:gridSpan w:val="3"/>
          </w:tcPr>
          <w:p>
            <w:pPr>
              <w:jc w:val="center"/>
              <w:spacing w:after="0" w:line="185" w:lineRule="exact"/>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7"/>
              </w:rPr>
              <w:t>Form of Grant Notice for Performance Stock Unit Award under the Western Digital Corporation 2021 Long-Term Incentive Plan†*</w:t>
            </w:r>
          </w:p>
        </w:tc>
      </w:tr>
      <w:tr>
        <w:trPr>
          <w:trHeight w:val="30"/>
        </w:trPr>
        <w:tc>
          <w:tcPr>
            <w:tcW w:w="46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Pr>
          <w:p>
            <w:pPr>
              <w:spacing w:after="0"/>
              <w:rPr>
                <w:sz w:val="2"/>
                <w:szCs w:val="2"/>
                <w:color w:val="auto"/>
              </w:rPr>
            </w:pPr>
          </w:p>
        </w:tc>
      </w:tr>
      <w:tr>
        <w:trPr>
          <w:trHeight w:val="194"/>
        </w:trPr>
        <w:tc>
          <w:tcPr>
            <w:tcW w:w="112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0"/>
        </w:trPr>
        <w:tc>
          <w:tcPr>
            <w:tcW w:w="460" w:type="dxa"/>
            <w:vAlign w:val="bottom"/>
            <w:tcBorders>
              <w:right w:val="single" w:sz="8" w:color="0000FF"/>
            </w:tcBorders>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0" w:type="dxa"/>
            <w:vAlign w:val="bottom"/>
            <w:shd w:val="clear" w:color="auto" w:fill="CCEEFF"/>
          </w:tcPr>
          <w:p>
            <w:pPr>
              <w:spacing w:after="0"/>
              <w:rPr>
                <w:sz w:val="3"/>
                <w:szCs w:val="3"/>
                <w:color w:val="auto"/>
              </w:rPr>
            </w:pPr>
          </w:p>
        </w:tc>
      </w:tr>
      <w:tr>
        <w:trPr>
          <w:trHeight w:val="185"/>
        </w:trPr>
        <w:tc>
          <w:tcPr>
            <w:tcW w:w="1120" w:type="dxa"/>
            <w:vAlign w:val="bottom"/>
            <w:gridSpan w:val="3"/>
          </w:tcPr>
          <w:p>
            <w:pPr>
              <w:jc w:val="center"/>
              <w:spacing w:after="0" w:line="185"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0"/>
        </w:trPr>
        <w:tc>
          <w:tcPr>
            <w:tcW w:w="46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Pr>
          <w:p>
            <w:pPr>
              <w:spacing w:after="0"/>
              <w:rPr>
                <w:sz w:val="2"/>
                <w:szCs w:val="2"/>
                <w:color w:val="auto"/>
              </w:rPr>
            </w:pPr>
          </w:p>
        </w:tc>
      </w:tr>
      <w:tr>
        <w:trPr>
          <w:trHeight w:val="194"/>
        </w:trPr>
        <w:tc>
          <w:tcPr>
            <w:tcW w:w="112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of 2002**</w:t>
            </w:r>
          </w:p>
        </w:tc>
      </w:tr>
      <w:tr>
        <w:trPr>
          <w:trHeight w:val="185"/>
        </w:trPr>
        <w:tc>
          <w:tcPr>
            <w:tcW w:w="1120" w:type="dxa"/>
            <w:vAlign w:val="bottom"/>
            <w:gridSpan w:val="3"/>
          </w:tcPr>
          <w:p>
            <w:pPr>
              <w:jc w:val="center"/>
              <w:spacing w:after="0" w:line="185" w:lineRule="exact"/>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r>
      <w:tr>
        <w:trPr>
          <w:trHeight w:val="203"/>
        </w:trPr>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Pr>
          <w:p>
            <w:pPr>
              <w:spacing w:after="0" w:line="202" w:lineRule="exact"/>
              <w:rPr>
                <w:sz w:val="20"/>
                <w:szCs w:val="20"/>
                <w:color w:val="auto"/>
              </w:rPr>
            </w:pPr>
            <w:r>
              <w:rPr>
                <w:rFonts w:ascii="Arial" w:cs="Arial" w:eastAsia="Arial" w:hAnsi="Arial"/>
                <w:sz w:val="18"/>
                <w:szCs w:val="18"/>
                <w:color w:val="auto"/>
              </w:rPr>
              <w:t>2002**</w:t>
            </w:r>
          </w:p>
        </w:tc>
      </w:tr>
      <w:tr>
        <w:trPr>
          <w:trHeight w:val="173"/>
        </w:trPr>
        <w:tc>
          <w:tcPr>
            <w:tcW w:w="1240" w:type="dxa"/>
            <w:vAlign w:val="bottom"/>
            <w:gridSpan w:val="4"/>
            <w:shd w:val="clear" w:color="auto" w:fill="CCEEFF"/>
          </w:tcPr>
          <w:p>
            <w:pPr>
              <w:jc w:val="center"/>
              <w:ind w:right="100"/>
              <w:spacing w:after="0" w:line="173" w:lineRule="exact"/>
              <w:rPr>
                <w:sz w:val="20"/>
                <w:szCs w:val="20"/>
                <w:color w:val="auto"/>
              </w:rPr>
            </w:pPr>
            <w:r>
              <w:rPr>
                <w:rFonts w:ascii="Arial" w:cs="Arial" w:eastAsia="Arial" w:hAnsi="Arial"/>
                <w:sz w:val="18"/>
                <w:szCs w:val="18"/>
                <w:color w:val="auto"/>
                <w:w w:val="89"/>
              </w:rPr>
              <w:t>101.INS</w:t>
            </w:r>
          </w:p>
        </w:tc>
        <w:tc>
          <w:tcPr>
            <w:tcW w:w="1000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 within</w:t>
            </w:r>
          </w:p>
        </w:tc>
      </w:tr>
      <w:tr>
        <w:trPr>
          <w:trHeight w:val="237"/>
        </w:trPr>
        <w:tc>
          <w:tcPr>
            <w:tcW w:w="46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the Inline XBRL document</w:t>
            </w: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101.SCH</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4"/>
              </w:rPr>
              <w:t>101.CAL</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101.LAB</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5"/>
              </w:rPr>
              <w:t>101.PRE</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23"/>
        </w:trPr>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101.DEF</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5495" cy="142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40" w:hanging="806"/>
        <w:spacing w:after="0"/>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 formatted in Inline XBRL and contained in Exhibit 101</w:t>
      </w:r>
    </w:p>
    <w:p>
      <w:pPr>
        <w:spacing w:after="0" w:line="254" w:lineRule="exact"/>
        <w:rPr>
          <w:rFonts w:ascii="Arial" w:cs="Arial" w:eastAsia="Arial" w:hAnsi="Arial"/>
          <w:sz w:val="18"/>
          <w:szCs w:val="18"/>
          <w:color w:val="auto"/>
        </w:rPr>
      </w:pPr>
    </w:p>
    <w:p>
      <w:pPr>
        <w:ind w:left="260" w:hanging="254"/>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-215265</wp:posOffset>
            </wp:positionV>
            <wp:extent cx="9715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320" w:right="240" w:hanging="314"/>
        <w:spacing w:after="0" w:line="244" w:lineRule="auto"/>
        <w:tabs>
          <w:tab w:leader="none" w:pos="267"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SIGNATURES</w:t>
      </w:r>
    </w:p>
    <w:p>
      <w:pPr>
        <w:spacing w:after="0" w:line="267" w:lineRule="exact"/>
        <w:rPr>
          <w:sz w:val="20"/>
          <w:szCs w:val="20"/>
          <w:color w:val="auto"/>
        </w:rPr>
      </w:pPr>
    </w:p>
    <w:p>
      <w:pPr>
        <w:ind w:right="620" w:firstLine="3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WESTERN DIGITAL CORPORATION</w:t>
      </w:r>
    </w:p>
    <w:p>
      <w:pPr>
        <w:spacing w:after="0" w:line="175" w:lineRule="exact"/>
        <w:rPr>
          <w:sz w:val="20"/>
          <w:szCs w:val="20"/>
          <w:color w:val="auto"/>
        </w:rPr>
      </w:pPr>
    </w:p>
    <w:p>
      <w:pPr>
        <w:ind w:left="6360"/>
        <w:spacing w:after="0"/>
        <w:tabs>
          <w:tab w:leader="none" w:pos="6800" w:val="left"/>
        </w:tabs>
        <w:rPr>
          <w:sz w:val="20"/>
          <w:szCs w:val="20"/>
          <w:color w:val="auto"/>
        </w:rPr>
      </w:pPr>
      <w:r>
        <w:rPr>
          <w:rFonts w:ascii="Arial" w:cs="Arial" w:eastAsia="Arial" w:hAnsi="Arial"/>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10160</wp:posOffset>
            </wp:positionV>
            <wp:extent cx="28759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87591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 Zamiska</w:t>
      </w:r>
    </w:p>
    <w:p>
      <w:pPr>
        <w:jc w:val="right"/>
        <w:spacing w:after="0" w:line="235" w:lineRule="auto"/>
        <w:rPr>
          <w:sz w:val="20"/>
          <w:szCs w:val="20"/>
          <w:color w:val="auto"/>
        </w:rPr>
      </w:pPr>
      <w:r>
        <w:rPr>
          <w:rFonts w:ascii="Arial" w:cs="Arial" w:eastAsia="Arial" w:hAnsi="Arial"/>
          <w:sz w:val="18"/>
          <w:szCs w:val="18"/>
          <w:i w:val="1"/>
          <w:iCs w:val="1"/>
          <w:color w:val="auto"/>
        </w:rPr>
        <w:t>Senior Vice President, Global Accounting and Chief Accounting</w:t>
      </w:r>
    </w:p>
    <w:p>
      <w:pPr>
        <w:ind w:left="6820"/>
        <w:spacing w:after="0"/>
        <w:rPr>
          <w:sz w:val="20"/>
          <w:szCs w:val="20"/>
          <w:color w:val="auto"/>
        </w:rPr>
      </w:pPr>
      <w:r>
        <w:rPr>
          <w:rFonts w:ascii="Arial" w:cs="Arial" w:eastAsia="Arial" w:hAnsi="Arial"/>
          <w:sz w:val="18"/>
          <w:szCs w:val="18"/>
          <w:i w:val="1"/>
          <w:iCs w:val="1"/>
          <w:color w:val="auto"/>
        </w:rPr>
        <w:t>Officer</w:t>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(Principal Accounting Officer and Duly Authorized Officer)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2023</w:t>
      </w: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320" w:top="127" w:right="239" w:bottom="1440" w:gutter="0" w:footer="0" w:header="0"/>
        </w:sectPr>
      </w:pPr>
    </w:p>
    <w:bookmarkStart w:id="55" w:name="page56"/>
    <w:bookmarkEnd w:id="55"/>
    <w:p>
      <w:pPr>
        <w:ind w:left="1034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33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WESTERN DIGITAL CORPORATION</w:t>
      </w:r>
    </w:p>
    <w:p>
      <w:pPr>
        <w:ind w:left="4100"/>
        <w:spacing w:after="0" w:line="214" w:lineRule="auto"/>
        <w:rPr>
          <w:sz w:val="20"/>
          <w:szCs w:val="20"/>
          <w:color w:val="auto"/>
        </w:rPr>
      </w:pPr>
      <w:r>
        <w:rPr>
          <w:rFonts w:ascii="Arial" w:cs="Arial" w:eastAsia="Arial" w:hAnsi="Arial"/>
          <w:sz w:val="18"/>
          <w:szCs w:val="18"/>
          <w:b w:val="1"/>
          <w:bCs w:val="1"/>
          <w:color w:val="auto"/>
        </w:rPr>
        <w:t>2021 LONG-TERM INCENTIVE PLAN</w:t>
      </w:r>
    </w:p>
    <w:p>
      <w:pPr>
        <w:jc w:val="center"/>
        <w:ind w:right="20"/>
        <w:spacing w:after="0" w:line="198" w:lineRule="auto"/>
        <w:rPr>
          <w:sz w:val="20"/>
          <w:szCs w:val="20"/>
          <w:color w:val="auto"/>
        </w:rPr>
      </w:pPr>
      <w:r>
        <w:rPr>
          <w:rFonts w:ascii="Arial" w:cs="Arial" w:eastAsia="Arial" w:hAnsi="Arial"/>
          <w:sz w:val="18"/>
          <w:szCs w:val="18"/>
          <w:b w:val="1"/>
          <w:bCs w:val="1"/>
          <w:color w:val="auto"/>
        </w:rPr>
        <w:t>GRANT NOTICE FOR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STOCK UNIT AWARD</w:t>
      </w:r>
    </w:p>
    <w:p>
      <w:pPr>
        <w:spacing w:after="0" w:line="214"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FOR GOOD AND VALUABLE CONSIDERATION, 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to the Participant named below the number of Performance Stock Units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listed below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under the Western Digital Corporation 2021 Long-Term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Each PSU represents the right to receive one share of Common Stock, subject to the terms and conditions in this Grant Notice,</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18"/>
          <w:szCs w:val="18"/>
          <w:color w:val="auto"/>
        </w:rPr>
        <w:t>the Plan and the Standard Terms and Conditions (the “</w:t>
      </w:r>
      <w:r>
        <w:rPr>
          <w:rFonts w:ascii="Arial" w:cs="Arial" w:eastAsia="Arial" w:hAnsi="Arial"/>
          <w:sz w:val="18"/>
          <w:szCs w:val="18"/>
          <w:b w:val="1"/>
          <w:bCs w:val="1"/>
          <w:i w:val="1"/>
          <w:iCs w:val="1"/>
          <w:color w:val="auto"/>
        </w:rPr>
        <w:t>Standard Terms and Conditions</w:t>
      </w:r>
      <w:r>
        <w:rPr>
          <w:rFonts w:ascii="Arial" w:cs="Arial" w:eastAsia="Arial" w:hAnsi="Arial"/>
          <w:sz w:val="18"/>
          <w:szCs w:val="18"/>
          <w:color w:val="auto"/>
        </w:rPr>
        <w:t xml:space="preserve">”) of such Plan,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Capitalized terms not otherwise defined here shall have the meaning set forth in the Plan.</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Participant:</w:t>
            </w:r>
          </w:p>
        </w:tc>
        <w:tc>
          <w:tcPr>
            <w:tcW w:w="76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Employee ID</w:t>
            </w:r>
          </w:p>
        </w:tc>
        <w:tc>
          <w:tcPr>
            <w:tcW w:w="7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Grant Date:</w:t>
            </w:r>
          </w:p>
        </w:tc>
        <w:tc>
          <w:tcPr>
            <w:tcW w:w="7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Grant Number</w:t>
            </w:r>
          </w:p>
        </w:tc>
        <w:tc>
          <w:tcPr>
            <w:tcW w:w="7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 Number of PSUs:</w:t>
            </w:r>
          </w:p>
        </w:tc>
        <w:tc>
          <w:tcPr>
            <w:tcW w:w="7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Schedule:</w:t>
            </w:r>
          </w:p>
        </w:tc>
        <w:tc>
          <w:tcPr>
            <w:tcW w:w="87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w w:val="94"/>
              </w:rPr>
              <w:t>The vesting date of the PSUs is [ ] (the “</w:t>
            </w:r>
            <w:r>
              <w:rPr>
                <w:rFonts w:ascii="Arial" w:cs="Arial" w:eastAsia="Arial" w:hAnsi="Arial"/>
                <w:sz w:val="18"/>
                <w:szCs w:val="18"/>
                <w:b w:val="1"/>
                <w:bCs w:val="1"/>
                <w:i w:val="1"/>
                <w:iCs w:val="1"/>
                <w:color w:val="auto"/>
                <w:w w:val="94"/>
              </w:rPr>
              <w:t>Vesting Date</w:t>
            </w:r>
            <w:r>
              <w:rPr>
                <w:rFonts w:ascii="Arial" w:cs="Arial" w:eastAsia="Arial" w:hAnsi="Arial"/>
                <w:sz w:val="18"/>
                <w:szCs w:val="18"/>
                <w:color w:val="auto"/>
                <w:w w:val="94"/>
              </w:rPr>
              <w:t>”). Vesting shall be subject to Participant’s Continuous Service</w:t>
            </w:r>
          </w:p>
        </w:tc>
        <w:tc>
          <w:tcPr>
            <w:tcW w:w="0" w:type="dxa"/>
            <w:vAlign w:val="bottom"/>
          </w:tcPr>
          <w:p>
            <w:pPr>
              <w:spacing w:after="0"/>
              <w:rPr>
                <w:sz w:val="1"/>
                <w:szCs w:val="1"/>
                <w:color w:val="auto"/>
              </w:rPr>
            </w:pPr>
          </w:p>
        </w:tc>
      </w:tr>
      <w:tr>
        <w:trPr>
          <w:trHeight w:val="107"/>
        </w:trPr>
        <w:tc>
          <w:tcPr>
            <w:tcW w:w="2500" w:type="dxa"/>
            <w:vAlign w:val="bottom"/>
            <w:tcBorders>
              <w:left w:val="single" w:sz="8" w:color="auto"/>
              <w:right w:val="single" w:sz="8" w:color="auto"/>
            </w:tcBorders>
          </w:tcPr>
          <w:p>
            <w:pPr>
              <w:spacing w:after="0"/>
              <w:rPr>
                <w:sz w:val="9"/>
                <w:szCs w:val="9"/>
                <w:color w:val="auto"/>
              </w:rPr>
            </w:pPr>
          </w:p>
        </w:tc>
        <w:tc>
          <w:tcPr>
            <w:tcW w:w="87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500" w:type="dxa"/>
            <w:vAlign w:val="bottom"/>
            <w:tcBorders>
              <w:left w:val="single" w:sz="8" w:color="auto"/>
              <w:right w:val="single" w:sz="8" w:color="auto"/>
            </w:tcBorders>
          </w:tcPr>
          <w:p>
            <w:pPr>
              <w:spacing w:after="0"/>
              <w:rPr>
                <w:sz w:val="18"/>
                <w:szCs w:val="18"/>
                <w:color w:val="auto"/>
              </w:rPr>
            </w:pPr>
          </w:p>
        </w:tc>
        <w:tc>
          <w:tcPr>
            <w:tcW w:w="87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from the Grant Date through the Vesting Date, unless provided otherwise under Section 2 of the Standard Terms and</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right w:val="single" w:sz="8" w:color="auto"/>
            </w:tcBorders>
          </w:tcPr>
          <w:p>
            <w:pPr>
              <w:spacing w:after="0"/>
              <w:rPr>
                <w:sz w:val="19"/>
                <w:szCs w:val="19"/>
                <w:color w:val="auto"/>
              </w:rPr>
            </w:pPr>
          </w:p>
        </w:tc>
        <w:tc>
          <w:tcPr>
            <w:tcW w:w="87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Conditions.</w:t>
            </w:r>
          </w:p>
        </w:tc>
        <w:tc>
          <w:tcPr>
            <w:tcW w:w="0" w:type="dxa"/>
            <w:vAlign w:val="bottom"/>
          </w:tcPr>
          <w:p>
            <w:pPr>
              <w:spacing w:after="0"/>
              <w:rPr>
                <w:sz w:val="1"/>
                <w:szCs w:val="1"/>
                <w:color w:val="auto"/>
              </w:rPr>
            </w:pPr>
          </w:p>
        </w:tc>
      </w:tr>
      <w:tr>
        <w:trPr>
          <w:trHeight w:val="133"/>
        </w:trPr>
        <w:tc>
          <w:tcPr>
            <w:tcW w:w="2500" w:type="dxa"/>
            <w:vAlign w:val="bottom"/>
            <w:tcBorders>
              <w:left w:val="single" w:sz="8" w:color="auto"/>
              <w:bottom w:val="single" w:sz="8" w:color="auto"/>
              <w:right w:val="single" w:sz="8" w:color="auto"/>
            </w:tcBorders>
          </w:tcPr>
          <w:p>
            <w:pPr>
              <w:spacing w:after="0"/>
              <w:rPr>
                <w:sz w:val="11"/>
                <w:szCs w:val="11"/>
                <w:color w:val="auto"/>
              </w:rPr>
            </w:pPr>
          </w:p>
        </w:tc>
        <w:tc>
          <w:tcPr>
            <w:tcW w:w="76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00" w:type="dxa"/>
            <w:vAlign w:val="bottom"/>
            <w:tcBorders>
              <w:left w:val="single" w:sz="8" w:color="auto"/>
              <w:right w:val="single" w:sz="8" w:color="auto"/>
            </w:tcBorders>
          </w:tcPr>
          <w:p>
            <w:pPr>
              <w:ind w:left="40"/>
              <w:spacing w:after="0" w:line="179" w:lineRule="exact"/>
              <w:rPr>
                <w:sz w:val="20"/>
                <w:szCs w:val="20"/>
                <w:color w:val="auto"/>
              </w:rPr>
            </w:pPr>
            <w:r>
              <w:rPr>
                <w:rFonts w:ascii="Arial" w:cs="Arial" w:eastAsia="Arial" w:hAnsi="Arial"/>
                <w:sz w:val="18"/>
                <w:szCs w:val="18"/>
                <w:color w:val="auto"/>
              </w:rPr>
              <w:t>Performance Period and</w:t>
            </w:r>
          </w:p>
        </w:tc>
        <w:tc>
          <w:tcPr>
            <w:tcW w:w="87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w w:val="93"/>
              </w:rPr>
              <w:t>The PSUs shall be eligible to vest based on performance during the three-year Performance Period, which spans the</w:t>
            </w:r>
          </w:p>
        </w:tc>
        <w:tc>
          <w:tcPr>
            <w:tcW w:w="0" w:type="dxa"/>
            <w:vAlign w:val="bottom"/>
          </w:tcPr>
          <w:p>
            <w:pPr>
              <w:spacing w:after="0"/>
              <w:rPr>
                <w:sz w:val="1"/>
                <w:szCs w:val="1"/>
                <w:color w:val="auto"/>
              </w:rPr>
            </w:pPr>
          </w:p>
        </w:tc>
      </w:tr>
      <w:tr>
        <w:trPr>
          <w:trHeight w:val="145"/>
        </w:trPr>
        <w:tc>
          <w:tcPr>
            <w:tcW w:w="25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Measurement Periods:</w:t>
            </w:r>
          </w:p>
        </w:tc>
        <w:tc>
          <w:tcPr>
            <w:tcW w:w="87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500" w:type="dxa"/>
            <w:vAlign w:val="bottom"/>
            <w:tcBorders>
              <w:left w:val="single" w:sz="8" w:color="auto"/>
              <w:right w:val="single" w:sz="8" w:color="auto"/>
            </w:tcBorders>
            <w:vMerge w:val="continue"/>
          </w:tcPr>
          <w:p>
            <w:pPr>
              <w:spacing w:after="0"/>
              <w:rPr>
                <w:sz w:val="6"/>
                <w:szCs w:val="6"/>
                <w:color w:val="auto"/>
              </w:rPr>
            </w:pPr>
          </w:p>
        </w:tc>
        <w:tc>
          <w:tcPr>
            <w:tcW w:w="87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w w:val="91"/>
              </w:rPr>
              <w:t>First, Second and Third Measurement Periods (the “Annual Measurement Periods”). The Performance Period begins on</w:t>
            </w:r>
          </w:p>
        </w:tc>
        <w:tc>
          <w:tcPr>
            <w:tcW w:w="0" w:type="dxa"/>
            <w:vAlign w:val="bottom"/>
          </w:tcPr>
          <w:p>
            <w:pPr>
              <w:spacing w:after="0"/>
              <w:rPr>
                <w:sz w:val="1"/>
                <w:szCs w:val="1"/>
                <w:color w:val="auto"/>
              </w:rPr>
            </w:pPr>
          </w:p>
        </w:tc>
      </w:tr>
      <w:tr>
        <w:trPr>
          <w:trHeight w:val="133"/>
        </w:trPr>
        <w:tc>
          <w:tcPr>
            <w:tcW w:w="2500" w:type="dxa"/>
            <w:vAlign w:val="bottom"/>
            <w:tcBorders>
              <w:left w:val="single" w:sz="8" w:color="auto"/>
              <w:right w:val="single" w:sz="8" w:color="auto"/>
            </w:tcBorders>
          </w:tcPr>
          <w:p>
            <w:pPr>
              <w:spacing w:after="0"/>
              <w:rPr>
                <w:sz w:val="11"/>
                <w:szCs w:val="11"/>
                <w:color w:val="auto"/>
              </w:rPr>
            </w:pPr>
          </w:p>
        </w:tc>
        <w:tc>
          <w:tcPr>
            <w:tcW w:w="876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right w:val="single" w:sz="8" w:color="auto"/>
            </w:tcBorders>
          </w:tcPr>
          <w:p>
            <w:pPr>
              <w:spacing w:after="0"/>
              <w:rPr>
                <w:sz w:val="19"/>
                <w:szCs w:val="19"/>
                <w:color w:val="auto"/>
              </w:rPr>
            </w:pPr>
          </w:p>
        </w:tc>
        <w:tc>
          <w:tcPr>
            <w:tcW w:w="87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the first day of the First Measurement Period and ends on the last day of the Third Measurement Period.</w:t>
            </w:r>
          </w:p>
        </w:tc>
        <w:tc>
          <w:tcPr>
            <w:tcW w:w="0" w:type="dxa"/>
            <w:vAlign w:val="bottom"/>
          </w:tcPr>
          <w:p>
            <w:pPr>
              <w:spacing w:after="0"/>
              <w:rPr>
                <w:sz w:val="1"/>
                <w:szCs w:val="1"/>
                <w:color w:val="auto"/>
              </w:rPr>
            </w:pPr>
          </w:p>
        </w:tc>
      </w:tr>
      <w:tr>
        <w:trPr>
          <w:trHeight w:val="265"/>
        </w:trPr>
        <w:tc>
          <w:tcPr>
            <w:tcW w:w="2500" w:type="dxa"/>
            <w:vAlign w:val="bottom"/>
            <w:tcBorders>
              <w:left w:val="single" w:sz="8" w:color="auto"/>
              <w:right w:val="single" w:sz="8" w:color="auto"/>
            </w:tcBorders>
          </w:tcPr>
          <w:p>
            <w:pPr>
              <w:spacing w:after="0"/>
              <w:rPr>
                <w:sz w:val="23"/>
                <w:szCs w:val="23"/>
                <w:color w:val="auto"/>
              </w:rPr>
            </w:pPr>
          </w:p>
        </w:tc>
        <w:tc>
          <w:tcPr>
            <w:tcW w:w="876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   First Measurement Period begins [ ] and ends [ ].</w:t>
            </w:r>
          </w:p>
        </w:tc>
        <w:tc>
          <w:tcPr>
            <w:tcW w:w="0" w:type="dxa"/>
            <w:vAlign w:val="bottom"/>
          </w:tcPr>
          <w:p>
            <w:pPr>
              <w:spacing w:after="0"/>
              <w:rPr>
                <w:sz w:val="1"/>
                <w:szCs w:val="1"/>
                <w:color w:val="auto"/>
              </w:rPr>
            </w:pPr>
          </w:p>
        </w:tc>
      </w:tr>
      <w:tr>
        <w:trPr>
          <w:trHeight w:val="171"/>
        </w:trPr>
        <w:tc>
          <w:tcPr>
            <w:tcW w:w="2500" w:type="dxa"/>
            <w:vAlign w:val="bottom"/>
            <w:tcBorders>
              <w:left w:val="single" w:sz="8" w:color="auto"/>
              <w:right w:val="single" w:sz="8" w:color="auto"/>
            </w:tcBorders>
          </w:tcPr>
          <w:p>
            <w:pPr>
              <w:spacing w:after="0"/>
              <w:rPr>
                <w:sz w:val="14"/>
                <w:szCs w:val="14"/>
                <w:color w:val="auto"/>
              </w:rPr>
            </w:pPr>
          </w:p>
        </w:tc>
        <w:tc>
          <w:tcPr>
            <w:tcW w:w="8760" w:type="dxa"/>
            <w:vAlign w:val="bottom"/>
            <w:tcBorders>
              <w:right w:val="single" w:sz="8" w:color="auto"/>
            </w:tcBorders>
            <w:gridSpan w:val="3"/>
          </w:tcPr>
          <w:p>
            <w:pPr>
              <w:ind w:left="340"/>
              <w:spacing w:after="0" w:line="171" w:lineRule="exact"/>
              <w:rPr>
                <w:sz w:val="20"/>
                <w:szCs w:val="20"/>
                <w:color w:val="auto"/>
              </w:rPr>
            </w:pPr>
            <w:r>
              <w:rPr>
                <w:rFonts w:ascii="Arial" w:cs="Arial" w:eastAsia="Arial" w:hAnsi="Arial"/>
                <w:sz w:val="18"/>
                <w:szCs w:val="18"/>
                <w:color w:val="auto"/>
              </w:rPr>
              <w:t>•   Second Measurement Period begins [ ] and ends [ ].</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right w:val="single" w:sz="8" w:color="auto"/>
            </w:tcBorders>
          </w:tcPr>
          <w:p>
            <w:pPr>
              <w:spacing w:after="0"/>
              <w:rPr>
                <w:sz w:val="19"/>
                <w:szCs w:val="19"/>
                <w:color w:val="auto"/>
              </w:rPr>
            </w:pPr>
          </w:p>
        </w:tc>
        <w:tc>
          <w:tcPr>
            <w:tcW w:w="876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   Third Measurement Period begins [ ] and ends [ ].</w:t>
            </w:r>
          </w:p>
        </w:tc>
        <w:tc>
          <w:tcPr>
            <w:tcW w:w="0" w:type="dxa"/>
            <w:vAlign w:val="bottom"/>
          </w:tcPr>
          <w:p>
            <w:pPr>
              <w:spacing w:after="0"/>
              <w:rPr>
                <w:sz w:val="1"/>
                <w:szCs w:val="1"/>
                <w:color w:val="auto"/>
              </w:rPr>
            </w:pPr>
          </w:p>
        </w:tc>
      </w:tr>
      <w:tr>
        <w:trPr>
          <w:trHeight w:val="279"/>
        </w:trPr>
        <w:tc>
          <w:tcPr>
            <w:tcW w:w="2500" w:type="dxa"/>
            <w:vAlign w:val="bottom"/>
            <w:tcBorders>
              <w:left w:val="single" w:sz="8" w:color="auto"/>
              <w:right w:val="single" w:sz="8" w:color="auto"/>
            </w:tcBorders>
          </w:tcPr>
          <w:p>
            <w:pPr>
              <w:spacing w:after="0"/>
              <w:rPr>
                <w:sz w:val="24"/>
                <w:szCs w:val="24"/>
                <w:color w:val="auto"/>
              </w:rPr>
            </w:pPr>
          </w:p>
        </w:tc>
        <w:tc>
          <w:tcPr>
            <w:tcW w:w="87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6"/>
              </w:rPr>
              <w:t>The actual number of PSUs that may become eligible to vest on the Vesting Date is based on the achievement of</w:t>
            </w:r>
          </w:p>
        </w:tc>
        <w:tc>
          <w:tcPr>
            <w:tcW w:w="0" w:type="dxa"/>
            <w:vAlign w:val="bottom"/>
          </w:tcPr>
          <w:p>
            <w:pPr>
              <w:spacing w:after="0"/>
              <w:rPr>
                <w:sz w:val="1"/>
                <w:szCs w:val="1"/>
                <w:color w:val="auto"/>
              </w:rPr>
            </w:pPr>
          </w:p>
        </w:tc>
      </w:tr>
      <w:tr>
        <w:trPr>
          <w:trHeight w:val="211"/>
        </w:trPr>
        <w:tc>
          <w:tcPr>
            <w:tcW w:w="2500" w:type="dxa"/>
            <w:vAlign w:val="bottom"/>
            <w:tcBorders>
              <w:left w:val="single" w:sz="8" w:color="auto"/>
              <w:right w:val="single" w:sz="8" w:color="auto"/>
            </w:tcBorders>
          </w:tcPr>
          <w:p>
            <w:pPr>
              <w:spacing w:after="0"/>
              <w:rPr>
                <w:sz w:val="18"/>
                <w:szCs w:val="18"/>
                <w:color w:val="auto"/>
              </w:rPr>
            </w:pPr>
          </w:p>
        </w:tc>
        <w:tc>
          <w:tcPr>
            <w:tcW w:w="87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financial metrics over each Annual Measurement Period and may range from [0%] to [200%] of the Target Number of</w:t>
            </w:r>
          </w:p>
        </w:tc>
        <w:tc>
          <w:tcPr>
            <w:tcW w:w="0" w:type="dxa"/>
            <w:vAlign w:val="bottom"/>
          </w:tcPr>
          <w:p>
            <w:pPr>
              <w:spacing w:after="0"/>
              <w:rPr>
                <w:sz w:val="1"/>
                <w:szCs w:val="1"/>
                <w:color w:val="auto"/>
              </w:rPr>
            </w:pPr>
          </w:p>
        </w:tc>
      </w:tr>
      <w:tr>
        <w:trPr>
          <w:trHeight w:val="211"/>
        </w:trPr>
        <w:tc>
          <w:tcPr>
            <w:tcW w:w="2500" w:type="dxa"/>
            <w:vAlign w:val="bottom"/>
            <w:tcBorders>
              <w:left w:val="single" w:sz="8" w:color="auto"/>
              <w:right w:val="single" w:sz="8" w:color="auto"/>
            </w:tcBorders>
          </w:tcPr>
          <w:p>
            <w:pPr>
              <w:spacing w:after="0"/>
              <w:rPr>
                <w:sz w:val="18"/>
                <w:szCs w:val="18"/>
                <w:color w:val="auto"/>
              </w:rPr>
            </w:pPr>
          </w:p>
        </w:tc>
        <w:tc>
          <w:tcPr>
            <w:tcW w:w="87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2"/>
              </w:rPr>
              <w:t>PSUs, subject to forfeiture as provided in the Standard Terms and Conditions, and further subject to adjustment based</w:t>
            </w:r>
          </w:p>
        </w:tc>
        <w:tc>
          <w:tcPr>
            <w:tcW w:w="0" w:type="dxa"/>
            <w:vAlign w:val="bottom"/>
          </w:tcPr>
          <w:p>
            <w:pPr>
              <w:spacing w:after="0"/>
              <w:rPr>
                <w:sz w:val="1"/>
                <w:szCs w:val="1"/>
                <w:color w:val="auto"/>
              </w:rPr>
            </w:pPr>
          </w:p>
        </w:tc>
      </w:tr>
      <w:tr>
        <w:trPr>
          <w:trHeight w:val="184"/>
        </w:trPr>
        <w:tc>
          <w:tcPr>
            <w:tcW w:w="2500" w:type="dxa"/>
            <w:vAlign w:val="bottom"/>
            <w:tcBorders>
              <w:left w:val="single" w:sz="8" w:color="auto"/>
              <w:right w:val="single" w:sz="8" w:color="auto"/>
            </w:tcBorders>
          </w:tcPr>
          <w:p>
            <w:pPr>
              <w:spacing w:after="0"/>
              <w:rPr>
                <w:sz w:val="15"/>
                <w:szCs w:val="15"/>
                <w:color w:val="auto"/>
              </w:rPr>
            </w:pPr>
          </w:p>
        </w:tc>
        <w:tc>
          <w:tcPr>
            <w:tcW w:w="8760" w:type="dxa"/>
            <w:vAlign w:val="bottom"/>
            <w:tcBorders>
              <w:right w:val="single" w:sz="8" w:color="auto"/>
            </w:tcBorders>
            <w:gridSpan w:val="3"/>
          </w:tcPr>
          <w:p>
            <w:pPr>
              <w:ind w:left="20"/>
              <w:spacing w:after="0" w:line="184" w:lineRule="exact"/>
              <w:rPr>
                <w:sz w:val="20"/>
                <w:szCs w:val="20"/>
                <w:color w:val="auto"/>
              </w:rPr>
            </w:pPr>
            <w:r>
              <w:rPr>
                <w:rFonts w:ascii="Arial" w:cs="Arial" w:eastAsia="Arial" w:hAnsi="Arial"/>
                <w:sz w:val="18"/>
                <w:szCs w:val="18"/>
                <w:color w:val="auto"/>
                <w:w w:val="92"/>
              </w:rPr>
              <w:t>upon a Relative TSR Modifier measured over the Performance Period, all as determined in accordance with Exhibit B,</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but not to exceed [220%].</w:t>
            </w:r>
          </w:p>
        </w:tc>
        <w:tc>
          <w:tcPr>
            <w:tcW w:w="680" w:type="dxa"/>
            <w:vAlign w:val="bottom"/>
            <w:tcBorders>
              <w:top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500" w:type="dxa"/>
            <w:vAlign w:val="bottom"/>
            <w:tcBorders>
              <w:left w:val="single" w:sz="8" w:color="auto"/>
              <w:bottom w:val="single" w:sz="8" w:color="auto"/>
              <w:right w:val="single" w:sz="8" w:color="auto"/>
            </w:tcBorders>
          </w:tcPr>
          <w:p>
            <w:pPr>
              <w:spacing w:after="0"/>
              <w:rPr>
                <w:sz w:val="11"/>
                <w:szCs w:val="11"/>
                <w:color w:val="auto"/>
              </w:rPr>
            </w:pPr>
          </w:p>
        </w:tc>
        <w:tc>
          <w:tcPr>
            <w:tcW w:w="76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b w:val="1"/>
          <w:bCs w:val="1"/>
          <w:color w:val="auto"/>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DOCUMENT. FAILURE TO REJECT THIS AWARD</w:t>
      </w:r>
    </w:p>
    <w:p>
      <w:pPr>
        <w:jc w:val="both"/>
        <w:ind w:right="20"/>
        <w:spacing w:after="0" w:line="220" w:lineRule="auto"/>
        <w:rPr>
          <w:sz w:val="20"/>
          <w:szCs w:val="20"/>
          <w:color w:val="auto"/>
        </w:rPr>
      </w:pPr>
      <w:r>
        <w:rPr>
          <w:rFonts w:ascii="Arial" w:cs="Arial" w:eastAsia="Arial" w:hAnsi="Arial"/>
          <w:sz w:val="18"/>
          <w:szCs w:val="18"/>
          <w:b w:val="1"/>
          <w:bCs w:val="1"/>
          <w:color w:val="auto"/>
        </w:rPr>
        <w:t>WITHIN SUCH 5-DAY PERIOD SHALL BE DEEMED ACCEPTANCE OF THIS AWARD AND THE TERMS AND CONDITIONS OF THE AWARD DOCUMENT.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Grant Notice for</w:t>
      </w:r>
    </w:p>
    <w:p>
      <w:pPr>
        <w:jc w:val="center"/>
        <w:ind w:right="20"/>
        <w:spacing w:after="0"/>
        <w:rPr>
          <w:sz w:val="20"/>
          <w:szCs w:val="20"/>
          <w:color w:val="auto"/>
        </w:rPr>
      </w:pPr>
      <w:r>
        <w:rPr>
          <w:rFonts w:ascii="Arial" w:cs="Arial" w:eastAsia="Arial" w:hAnsi="Arial"/>
          <w:sz w:val="21"/>
          <w:szCs w:val="21"/>
          <w:color w:val="auto"/>
        </w:rPr>
        <w:t>Performance Stock Unit Award</w:t>
      </w:r>
    </w:p>
    <w:p>
      <w:pPr>
        <w:sectPr>
          <w:pgSz w:w="11900" w:h="16838" w:orient="portrait"/>
          <w:cols w:equalWidth="0" w:num="1">
            <w:col w:w="11260"/>
          </w:cols>
          <w:pgMar w:left="320" w:top="121"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WESTERN DIGITAL CORPORATION</w:t>
      </w:r>
    </w:p>
    <w:p>
      <w:pPr>
        <w:ind w:left="4100"/>
        <w:spacing w:after="0"/>
        <w:rPr>
          <w:sz w:val="20"/>
          <w:szCs w:val="20"/>
          <w:color w:val="auto"/>
        </w:rPr>
      </w:pPr>
      <w:r>
        <w:rPr>
          <w:rFonts w:ascii="Arial" w:cs="Arial" w:eastAsia="Arial" w:hAnsi="Arial"/>
          <w:sz w:val="18"/>
          <w:szCs w:val="18"/>
          <w:b w:val="1"/>
          <w:bCs w:val="1"/>
          <w:color w:val="auto"/>
        </w:rPr>
        <w:t>2021 LONG-TERM INCENTIVE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jc w:val="center"/>
        <w:spacing w:after="0"/>
        <w:rPr>
          <w:sz w:val="20"/>
          <w:szCs w:val="20"/>
          <w:color w:val="auto"/>
        </w:rPr>
      </w:pPr>
      <w:r>
        <w:rPr>
          <w:rFonts w:ascii="Arial" w:cs="Arial" w:eastAsia="Arial" w:hAnsi="Arial"/>
          <w:sz w:val="18"/>
          <w:szCs w:val="18"/>
          <w:b w:val="1"/>
          <w:bCs w:val="1"/>
          <w:color w:val="auto"/>
        </w:rPr>
        <w:t>PERFORMANCE STOCK UNITS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These Standard Terms and Conditions apply to this Award of Performance Stock Units granted under the Western Digital Corporation 2021 Long-Term</w:t>
      </w:r>
    </w:p>
    <w:p>
      <w:pPr>
        <w:spacing w:after="0" w:line="15"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Performance Stock Units are also subject to the terms of the Plan and the attached Grant Notice, which are incorporated here by this reference. Capitalized terms not otherwise defined here shall have the meaning set forth in the Plan.</w:t>
      </w:r>
    </w:p>
    <w:p>
      <w:pPr>
        <w:spacing w:after="0" w:line="141" w:lineRule="exact"/>
        <w:rPr>
          <w:sz w:val="20"/>
          <w:szCs w:val="20"/>
          <w:color w:val="auto"/>
        </w:rPr>
      </w:pPr>
    </w:p>
    <w:p>
      <w:pPr>
        <w:ind w:left="820" w:hanging="498"/>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TERMS OF PERFORMANCE STOCK UNITS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Western Digital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Participant named in the attached Grant Notice an award of Performance Stock Units (this</w:t>
      </w:r>
    </w:p>
    <w:p>
      <w:pPr>
        <w:spacing w:after="0" w:line="1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described in the Grant Notice, with each PSU representing the right to receive one share of Common Stock. For purposes of these Standard Terms and Conditions and the Grant Notice, any reference to the Company shall include a reference to any Subsidiary.</w:t>
      </w:r>
    </w:p>
    <w:p>
      <w:pPr>
        <w:spacing w:after="0" w:line="130" w:lineRule="exact"/>
        <w:rPr>
          <w:sz w:val="20"/>
          <w:szCs w:val="20"/>
          <w:color w:val="auto"/>
        </w:rPr>
      </w:pPr>
    </w:p>
    <w:p>
      <w:pPr>
        <w:ind w:left="860" w:hanging="538"/>
        <w:spacing w:after="0"/>
        <w:tabs>
          <w:tab w:leader="none" w:pos="8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 OF PERFORMANCE STOCK UNITS</w:t>
      </w:r>
    </w:p>
    <w:p>
      <w:pPr>
        <w:spacing w:after="0" w:line="194" w:lineRule="exact"/>
        <w:rPr>
          <w:rFonts w:ascii="Arial" w:cs="Arial" w:eastAsia="Arial" w:hAnsi="Arial"/>
          <w:sz w:val="18"/>
          <w:szCs w:val="18"/>
          <w:b w:val="1"/>
          <w:bCs w:val="1"/>
          <w:color w:val="auto"/>
        </w:rPr>
      </w:pPr>
    </w:p>
    <w:p>
      <w:pPr>
        <w:jc w:val="both"/>
        <w:ind w:right="60" w:firstLine="639"/>
        <w:spacing w:after="0"/>
        <w:tabs>
          <w:tab w:leader="none" w:pos="1263"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PSUs that have vested and are no longer subject to forfeiture are referred to as “</w:t>
      </w:r>
      <w:r>
        <w:rPr>
          <w:rFonts w:ascii="Arial" w:cs="Arial" w:eastAsia="Arial" w:hAnsi="Arial"/>
          <w:sz w:val="16"/>
          <w:szCs w:val="16"/>
          <w:b w:val="1"/>
          <w:bCs w:val="1"/>
          <w:i w:val="1"/>
          <w:iCs w:val="1"/>
          <w:color w:val="auto"/>
        </w:rPr>
        <w:t>Vested PSUs</w:t>
      </w:r>
      <w:r>
        <w:rPr>
          <w:rFonts w:ascii="Arial" w:cs="Arial" w:eastAsia="Arial" w:hAnsi="Arial"/>
          <w:sz w:val="16"/>
          <w:szCs w:val="16"/>
          <w:color w:val="auto"/>
        </w:rPr>
        <w:t>.” PSUs that are not vested and remain subject to forfeiture are referred to as “</w:t>
      </w:r>
      <w:r>
        <w:rPr>
          <w:rFonts w:ascii="Arial" w:cs="Arial" w:eastAsia="Arial" w:hAnsi="Arial"/>
          <w:sz w:val="16"/>
          <w:szCs w:val="16"/>
          <w:b w:val="1"/>
          <w:bCs w:val="1"/>
          <w:i w:val="1"/>
          <w:iCs w:val="1"/>
          <w:color w:val="auto"/>
        </w:rPr>
        <w:t>Unvested PSUs</w:t>
      </w:r>
      <w:r>
        <w:rPr>
          <w:rFonts w:ascii="Arial" w:cs="Arial" w:eastAsia="Arial" w:hAnsi="Arial"/>
          <w:sz w:val="16"/>
          <w:szCs w:val="16"/>
          <w:color w:val="auto"/>
        </w:rPr>
        <w:t>.” No portion of this Award, nor the shares of Common Stock subject to this Award, may be deferred under the Western Digital Corporation Deferred Compensation Plan (or any applicable successor plan) or any other deferred compensation arrangement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Following the end of each Annual Measurement Period, the Administrator shall determine the extent to which the applicable performance goals have been</w:t>
      </w:r>
    </w:p>
    <w:p>
      <w:pPr>
        <w:spacing w:after="0" w:line="15" w:lineRule="exact"/>
        <w:rPr>
          <w:sz w:val="20"/>
          <w:szCs w:val="20"/>
          <w:color w:val="auto"/>
        </w:rPr>
      </w:pPr>
    </w:p>
    <w:p>
      <w:pPr>
        <w:jc w:val="both"/>
        <w:ind w:right="60"/>
        <w:spacing w:after="0" w:line="229" w:lineRule="auto"/>
        <w:rPr>
          <w:sz w:val="20"/>
          <w:szCs w:val="20"/>
          <w:color w:val="auto"/>
        </w:rPr>
      </w:pPr>
      <w:r>
        <w:rPr>
          <w:rFonts w:ascii="Arial" w:cs="Arial" w:eastAsia="Arial" w:hAnsi="Arial"/>
          <w:sz w:val="16"/>
          <w:szCs w:val="16"/>
          <w:color w:val="auto"/>
        </w:rPr>
        <w:t>achieved with respect to such Measurement Period. Following the end of the Performance Period, the Administrator shall determine the number of PSUs eligible to vest based on the average achievement of performance goals for each Annual Measurement Period over the Performance Period. Any PSUs (including any related credited dividend equivalents) that do not become eligible to vest shall terminate as of the end of the Performance Period. The PSUs</w:t>
      </w:r>
    </w:p>
    <w:p>
      <w:pPr>
        <w:spacing w:after="0" w:line="1" w:lineRule="exact"/>
        <w:rPr>
          <w:sz w:val="20"/>
          <w:szCs w:val="20"/>
          <w:color w:val="auto"/>
        </w:rPr>
      </w:pPr>
    </w:p>
    <w:p>
      <w:pPr>
        <w:jc w:val="both"/>
        <w:ind w:right="60"/>
        <w:spacing w:after="0" w:line="244" w:lineRule="auto"/>
        <w:rPr>
          <w:sz w:val="20"/>
          <w:szCs w:val="20"/>
          <w:color w:val="auto"/>
        </w:rPr>
      </w:pPr>
      <w:r>
        <w:rPr>
          <w:rFonts w:ascii="Arial" w:cs="Arial" w:eastAsia="Arial" w:hAnsi="Arial"/>
          <w:sz w:val="15"/>
          <w:szCs w:val="15"/>
          <w:color w:val="auto"/>
        </w:rPr>
        <w:t>that become eligible to vest based on performance during the Performance Period shall vest on the Vesting Date set forth in the Grant Notice, subject to Continuous Service through such date, except as expressly provided in Section 2(b), 2(c) or 2(d) below. The Company shall deliver to the Participant on the Settlement Date a number of shares of Common Stock equal to the number of Vested PSUs. The Company may, in its sole discretion, settle any PSUs accrued</w:t>
      </w:r>
    </w:p>
    <w:p>
      <w:pPr>
        <w:spacing w:after="0" w:line="1" w:lineRule="exact"/>
        <w:rPr>
          <w:sz w:val="20"/>
          <w:szCs w:val="20"/>
          <w:color w:val="auto"/>
        </w:rPr>
      </w:pPr>
    </w:p>
    <w:p>
      <w:pPr>
        <w:jc w:val="both"/>
        <w:ind w:right="60"/>
        <w:spacing w:after="0" w:line="213" w:lineRule="auto"/>
        <w:rPr>
          <w:sz w:val="20"/>
          <w:szCs w:val="20"/>
          <w:color w:val="auto"/>
        </w:rPr>
      </w:pPr>
      <w:r>
        <w:rPr>
          <w:rFonts w:ascii="Arial" w:cs="Arial" w:eastAsia="Arial" w:hAnsi="Arial"/>
          <w:sz w:val="18"/>
          <w:szCs w:val="18"/>
          <w:color w:val="auto"/>
        </w:rPr>
        <w:t>as dividend equivalents by a cash payment equal to the Fair Market Value of a share of Common Stock on the date of payment (as opposed to payment in the form of shares of Common Stock).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means: as soon as practicable following the vesting of the PSUs on the Vesting Date but in no event later than December 31 of the calendar year in which the Vesting Date occurs.</w:t>
      </w:r>
    </w:p>
    <w:p>
      <w:pPr>
        <w:spacing w:after="0" w:line="160" w:lineRule="exact"/>
        <w:rPr>
          <w:sz w:val="20"/>
          <w:szCs w:val="20"/>
          <w:color w:val="auto"/>
        </w:rPr>
      </w:pPr>
    </w:p>
    <w:p>
      <w:pPr>
        <w:jc w:val="both"/>
        <w:ind w:right="60" w:firstLine="639"/>
        <w:spacing w:after="0" w:line="213"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Termination without Cause under the Executive Severance Plan</w:t>
      </w:r>
      <w:r>
        <w:rPr>
          <w:rFonts w:ascii="Arial" w:cs="Arial" w:eastAsia="Arial" w:hAnsi="Arial"/>
          <w:sz w:val="18"/>
          <w:szCs w:val="18"/>
          <w:color w:val="auto"/>
        </w:rPr>
        <w:t>. For a Participant who is subject to the terms of the Western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Amended and Restated Executive Severance Plan, as applicable (or any applicable successor plan) (the “</w:t>
      </w:r>
      <w:r>
        <w:rPr>
          <w:rFonts w:ascii="Arial" w:cs="Arial" w:eastAsia="Arial" w:hAnsi="Arial"/>
          <w:sz w:val="18"/>
          <w:szCs w:val="18"/>
          <w:b w:val="1"/>
          <w:bCs w:val="1"/>
          <w:i w:val="1"/>
          <w:iCs w:val="1"/>
          <w:color w:val="auto"/>
        </w:rPr>
        <w:t>Executive Severance Plan</w:t>
      </w:r>
      <w:r>
        <w:rPr>
          <w:rFonts w:ascii="Arial" w:cs="Arial" w:eastAsia="Arial" w:hAnsi="Arial"/>
          <w:sz w:val="18"/>
          <w:szCs w:val="18"/>
          <w:color w:val="auto"/>
        </w:rPr>
        <w:t>”) at the time of termination of Continuous Service, then upon Participant’s termination of employment by the Company without Cause (as defined in the Executive Severance Plan) under circumstances that would entitle the Participant to severance benefits under the Executive Severance Plan, subject to compliance with the terms of the Executive Severance Plan, then the PSUs will be payable in accordance with the Vesting Schedule set forth in the Grant Notice above, with no acceleration, and vest as follows:</w:t>
      </w:r>
    </w:p>
    <w:p>
      <w:pPr>
        <w:spacing w:after="0" w:line="164" w:lineRule="exact"/>
        <w:rPr>
          <w:sz w:val="20"/>
          <w:szCs w:val="20"/>
          <w:color w:val="auto"/>
        </w:rPr>
      </w:pPr>
    </w:p>
    <w:p>
      <w:pPr>
        <w:jc w:val="both"/>
        <w:ind w:left="640" w:right="60" w:hanging="1"/>
        <w:spacing w:after="0" w:line="211" w:lineRule="auto"/>
        <w:tabs>
          <w:tab w:leader="none" w:pos="10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Performance Period has not ended as of the date of termination of Continuous Service, the PSUs (and any credited dividend equivalent rights) will remain outstanding and a pro-rated portion will vest, if at all, based on the actual achievement of the applicable performance goal(s) with respect to the Annual Measurement Periods over the Performance Period, including the Relative TSR Modifier,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First Measurement Period through and including the Participant’s termination of Continuous Service and a denominator equal to the total number of calendar days in the Performance Period.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40" w:right="140" w:hanging="1"/>
        <w:spacing w:after="0" w:line="228" w:lineRule="auto"/>
        <w:tabs>
          <w:tab w:leader="none" w:pos="10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Performance Period has ended as of the date of termination of Continuous Service, the PSUs (and any credited dividend equivalents) will remain outstanding and will vest, if at all, based on the actual</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Standard Terms and Conditions</w:t>
      </w:r>
    </w:p>
    <w:p>
      <w:pPr>
        <w:sectPr>
          <w:pgSz w:w="11900" w:h="16838" w:orient="portrait"/>
          <w:cols w:equalWidth="0" w:num="1">
            <w:col w:w="11240"/>
          </w:cols>
          <w:pgMar w:left="320" w:top="952" w:right="339" w:bottom="1440" w:gutter="0" w:footer="0" w:header="0"/>
        </w:sectPr>
      </w:pPr>
    </w:p>
    <w:bookmarkStart w:id="57" w:name="page58"/>
    <w:bookmarkEnd w:id="57"/>
    <w:p>
      <w:pPr>
        <w:ind w:left="640" w:right="440"/>
        <w:spacing w:after="0" w:line="228" w:lineRule="auto"/>
        <w:rPr>
          <w:sz w:val="20"/>
          <w:szCs w:val="20"/>
          <w:color w:val="auto"/>
        </w:rPr>
      </w:pPr>
      <w:r>
        <w:rPr>
          <w:rFonts w:ascii="Arial" w:cs="Arial" w:eastAsia="Arial" w:hAnsi="Arial"/>
          <w:sz w:val="18"/>
          <w:szCs w:val="18"/>
          <w:color w:val="auto"/>
        </w:rPr>
        <w:t>achievement of the applicable performance goal(s) with respect to the Annual Measurement Periods over the Performance Period, including the Relative TSR Modifier.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Any Unvested PSUs that do not vest as described above shall be forfeited as of the date of the Participant’s termination of Continuous Service.</w:t>
      </w:r>
    </w:p>
    <w:p>
      <w:pPr>
        <w:spacing w:after="0" w:line="225" w:lineRule="exact"/>
        <w:rPr>
          <w:sz w:val="20"/>
          <w:szCs w:val="20"/>
          <w:color w:val="auto"/>
        </w:rPr>
      </w:pPr>
    </w:p>
    <w:p>
      <w:pPr>
        <w:jc w:val="both"/>
        <w:ind w:firstLine="639"/>
        <w:spacing w:after="0"/>
        <w:tabs>
          <w:tab w:leader="none" w:pos="1263"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Termination without Cause or for Good Reason under the Change in Control Severance Plan</w:t>
      </w:r>
      <w:r>
        <w:rPr>
          <w:rFonts w:ascii="Arial" w:cs="Arial" w:eastAsia="Arial" w:hAnsi="Arial"/>
          <w:sz w:val="16"/>
          <w:szCs w:val="16"/>
          <w:color w:val="auto"/>
        </w:rPr>
        <w:t>. For a Participant who is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Western Digital Corporation Amended and Restated Change in Control Severance Plan, as applicable (or any applicable successor plan) (the “</w:t>
      </w:r>
      <w:r>
        <w:rPr>
          <w:rFonts w:ascii="Arial" w:cs="Arial" w:eastAsia="Arial" w:hAnsi="Arial"/>
          <w:sz w:val="16"/>
          <w:szCs w:val="16"/>
          <w:b w:val="1"/>
          <w:bCs w:val="1"/>
          <w:i w:val="1"/>
          <w:iCs w:val="1"/>
          <w:color w:val="auto"/>
        </w:rPr>
        <w:t>CIC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at the time of termination of Continuous Service, then upon Participant’s termination of employment by the Company without Cause or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resignation by Participant for Good Reason (both as defined in the CIC Severance Plan) under circumstances that would entitle the Participant to severance benefits under the CIC Severance Plan, subject to compliance with the terms of the CIC Severance Plan, the PSUs (and any credited dividend equivalents) will be payable upon the Participant’s termination of Continuous Service and vest as follows:</w:t>
      </w:r>
    </w:p>
    <w:p>
      <w:pPr>
        <w:spacing w:after="0" w:line="162" w:lineRule="exact"/>
        <w:rPr>
          <w:sz w:val="20"/>
          <w:szCs w:val="20"/>
          <w:color w:val="auto"/>
        </w:rPr>
      </w:pPr>
    </w:p>
    <w:p>
      <w:pPr>
        <w:jc w:val="both"/>
        <w:ind w:left="1280" w:hanging="641"/>
        <w:spacing w:after="0" w:line="257" w:lineRule="auto"/>
        <w:tabs>
          <w:tab w:leader="none" w:pos="1274"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Performance Period has not ended as of the date of termination of Continuous Service, the number of shares of Common Stock that will vest shall be equal to the greater of (x) the target number of PSUs or (y) the number of shares of Common Stock subject to the PSUs that would vest based on the treatment set forth in the definitive agreement providing for the Change in Control.</w:t>
      </w:r>
    </w:p>
    <w:p>
      <w:pPr>
        <w:spacing w:after="0" w:line="147" w:lineRule="exact"/>
        <w:rPr>
          <w:rFonts w:ascii="Arial" w:cs="Arial" w:eastAsia="Arial" w:hAnsi="Arial"/>
          <w:sz w:val="16"/>
          <w:szCs w:val="16"/>
          <w:color w:val="auto"/>
        </w:rPr>
      </w:pPr>
    </w:p>
    <w:p>
      <w:pPr>
        <w:jc w:val="both"/>
        <w:ind w:left="1280" w:hanging="641"/>
        <w:spacing w:after="0" w:line="223" w:lineRule="auto"/>
        <w:tabs>
          <w:tab w:leader="none" w:pos="1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Performance Period has ended as of the date of termination of Continuous Service, the PSUs will remain outstanding and will vest, if at all, based on the actual achievement of the applicable performance goals over the Performance Period, including the Relative TSR Modifier.</w:t>
      </w:r>
    </w:p>
    <w:p>
      <w:pPr>
        <w:spacing w:after="0" w:line="162" w:lineRule="exact"/>
        <w:rPr>
          <w:sz w:val="20"/>
          <w:szCs w:val="20"/>
          <w:color w:val="auto"/>
        </w:rPr>
      </w:pPr>
    </w:p>
    <w:p>
      <w:pPr>
        <w:jc w:val="both"/>
        <w:ind w:firstLine="639"/>
        <w:spacing w:after="0" w:line="223"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due to Death; Termination due to a Qualifying Retirement. </w:t>
      </w:r>
      <w:r>
        <w:rPr>
          <w:rFonts w:ascii="Arial" w:cs="Arial" w:eastAsia="Arial" w:hAnsi="Arial"/>
          <w:sz w:val="18"/>
          <w:szCs w:val="18"/>
          <w:color w:val="auto"/>
        </w:rPr>
        <w:t>(1) Upon Participant’s termination of Continuous Service due to</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(2) upon Participant’s termination of employment due to a Qualifying Retirement (as defined below), the PSUs will be payable in accordance with the Vesting Schedule set forth in the Grant Notice above, with no acceleration, and vest as follows:</w:t>
      </w:r>
    </w:p>
    <w:p>
      <w:pPr>
        <w:spacing w:after="0" w:line="162" w:lineRule="exact"/>
        <w:rPr>
          <w:sz w:val="20"/>
          <w:szCs w:val="20"/>
          <w:color w:val="auto"/>
        </w:rPr>
      </w:pPr>
    </w:p>
    <w:p>
      <w:pPr>
        <w:jc w:val="both"/>
        <w:ind w:left="640" w:hanging="1"/>
        <w:spacing w:after="0" w:line="211" w:lineRule="auto"/>
        <w:tabs>
          <w:tab w:leader="none" w:pos="10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Performance Period has not ended as of the date of termination of Continuous Service, the PSUs (and any credited dividend equivalent rights) will remain outstanding and a pro-rated portion will vest, if at all, based on the actual achievement of the applicable performance goal(s) with respect to the Annual Measurement Periods over the Performance Period, including the Relative TSR Modifier,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First Measurement Period through and including the Participant’s termination of Continuous Service and a denominator equal to the total number of calendar days in the Performance Period.</w:t>
      </w:r>
    </w:p>
    <w:p>
      <w:pPr>
        <w:spacing w:after="0" w:line="163" w:lineRule="exact"/>
        <w:rPr>
          <w:rFonts w:ascii="Arial" w:cs="Arial" w:eastAsia="Arial" w:hAnsi="Arial"/>
          <w:sz w:val="18"/>
          <w:szCs w:val="18"/>
          <w:color w:val="auto"/>
        </w:rPr>
      </w:pPr>
    </w:p>
    <w:p>
      <w:pPr>
        <w:jc w:val="both"/>
        <w:ind w:left="640" w:hanging="1"/>
        <w:spacing w:after="0" w:line="223" w:lineRule="auto"/>
        <w:tabs>
          <w:tab w:leader="none" w:pos="10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Performance Period has ended as of the date of termination of Continuous Service, the PSUs (and any credited dividend equivalents) will remain outstanding and will vest, if at all, based on the actual achievement of the applicable performance goal(s) with respect to the Annual Measurement Periods over the Performance Period, including the Relative TSR Modifier.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Qualifying Retirement</w:t>
      </w:r>
      <w:r>
        <w:rPr>
          <w:rFonts w:ascii="Arial" w:cs="Arial" w:eastAsia="Arial" w:hAnsi="Arial"/>
          <w:sz w:val="16"/>
          <w:szCs w:val="16"/>
          <w:color w:val="auto"/>
        </w:rPr>
        <w:t>” means the termination of the Participant’s employment with the Company and its Subsidiaries due to his or her retirement from</w:t>
      </w:r>
    </w:p>
    <w:p>
      <w:pPr>
        <w:spacing w:after="0" w:line="15"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employment with the Company or one of its Subsidiaries after satisfying all of the following requirements at the time of such termination: (i) the Participant is at least 55 years of age, (ii) the Participant has five or more whole years of credited service with the Company and/or any of its Subsidiaries; and (iii) the Participant’s age plus years of credited service with the Company and/or any of its Subsidiaries (including only whole years in the case of both age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credited service for purposes of this requirement) totals at least 70.</w:t>
      </w:r>
    </w:p>
    <w:p>
      <w:pPr>
        <w:spacing w:after="0" w:line="161"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Any Unvested PSUs that do not vest as described above shall be forfeited as of the date of the Participant’s termination of Continuous Service, provided that the Unvested PSUs shall remain eligible to vest in accordance with the Grant Notice and these Standard Terms and Conditions in the event the Participant</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terminates employment due to a Qualifying Retirement yet continues to provide services to the Company and its Subsidiaries in a capacity other than as an employee. Such continued vesting is subject to the Participant’s Continuous Services through the Vesting Date.</w:t>
      </w:r>
    </w:p>
    <w:p>
      <w:pPr>
        <w:spacing w:after="0" w:line="149" w:lineRule="exact"/>
        <w:rPr>
          <w:sz w:val="20"/>
          <w:szCs w:val="20"/>
          <w:color w:val="auto"/>
        </w:rPr>
      </w:pPr>
    </w:p>
    <w:p>
      <w:pPr>
        <w:jc w:val="both"/>
        <w:ind w:firstLine="639"/>
        <w:spacing w:after="0" w:line="217" w:lineRule="auto"/>
        <w:tabs>
          <w:tab w:leader="none" w:pos="126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Upon Participant’s termination of Continuous Service by the Company due to a resignation by Participant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 Qualifying Retirement or a resignation for Good Reason under circumstances that would entitle the Participant to severance benefits under the CIC Severance Plan, subject to compliance with the terms of the CIC Severance Plan, the PSUs held by the Participant shall be forfeited as of the date of the Participant’s termination of Continuous Service.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958" w:right="399" w:bottom="1440" w:gutter="0" w:footer="0" w:header="0"/>
        </w:sectPr>
      </w:pPr>
    </w:p>
    <w:bookmarkStart w:id="58" w:name="page59"/>
    <w:bookmarkEnd w:id="58"/>
    <w:p>
      <w:pPr>
        <w:ind w:firstLine="639"/>
        <w:spacing w:after="0" w:line="228" w:lineRule="auto"/>
        <w:tabs>
          <w:tab w:leader="none" w:pos="12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Upon Participant’s termination of Continuous Service by the Company for Cause, the entire Award held by the Participant shall be forfeited as of the date of the Participant’s termination of Continuous Service.</w:t>
      </w:r>
    </w:p>
    <w:p>
      <w:pPr>
        <w:spacing w:after="0" w:line="187" w:lineRule="exact"/>
        <w:rPr>
          <w:rFonts w:ascii="Arial" w:cs="Arial" w:eastAsia="Arial" w:hAnsi="Arial"/>
          <w:sz w:val="18"/>
          <w:szCs w:val="18"/>
          <w:color w:val="auto"/>
        </w:rPr>
      </w:pPr>
    </w:p>
    <w:p>
      <w:pPr>
        <w:jc w:val="both"/>
        <w:ind w:firstLine="639"/>
        <w:spacing w:after="0" w:line="238" w:lineRule="auto"/>
        <w:tabs>
          <w:tab w:leader="none" w:pos="1260"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Non</w:t>
      </w:r>
      <w:r>
        <w:rPr>
          <w:rFonts w:ascii="Arial" w:cs="Arial" w:eastAsia="Arial" w:hAnsi="Arial"/>
          <w:sz w:val="16"/>
          <w:szCs w:val="16"/>
          <w:color w:val="auto"/>
        </w:rPr>
        <w:t>-</w:t>
      </w:r>
      <w:r>
        <w:rPr>
          <w:rFonts w:ascii="Arial" w:cs="Arial" w:eastAsia="Arial" w:hAnsi="Arial"/>
          <w:sz w:val="16"/>
          <w:szCs w:val="16"/>
          <w:i w:val="1"/>
          <w:iCs w:val="1"/>
          <w:color w:val="auto"/>
        </w:rPr>
        <w:t>U.S. Eligible Employees Participating in the Executive Severance Plan and Change in Control Severance Plan</w:t>
      </w:r>
      <w:r>
        <w:rPr>
          <w:rFonts w:ascii="Arial" w:cs="Arial" w:eastAsia="Arial" w:hAnsi="Arial"/>
          <w:sz w:val="16"/>
          <w:szCs w:val="16"/>
          <w:color w:val="auto"/>
        </w:rPr>
        <w:t>. For avoidance of</w:t>
      </w:r>
      <w:r>
        <w:rPr>
          <w:rFonts w:ascii="Arial" w:cs="Arial" w:eastAsia="Arial" w:hAnsi="Arial"/>
          <w:sz w:val="16"/>
          <w:szCs w:val="16"/>
          <w:i w:val="1"/>
          <w:iCs w:val="1"/>
          <w:color w:val="auto"/>
        </w:rPr>
        <w:t xml:space="preserve"> </w:t>
      </w:r>
      <w:r>
        <w:rPr>
          <w:rFonts w:ascii="Arial" w:cs="Arial" w:eastAsia="Arial" w:hAnsi="Arial"/>
          <w:sz w:val="16"/>
          <w:szCs w:val="16"/>
          <w:color w:val="auto"/>
        </w:rPr>
        <w:t>doubt, if Participant is not a U.S. Eligible Employee (as defined in the applicable severance plan), the Participant will only be eligible for the vesting treatment on a termination without Cause as described in Section 2(b) or termination without Cause or resignation for Good Reason as described in Section 2(c)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2(b) or termination without Cause or resignation for Good Reason as described in Section 2(c). For the avoidance of doubt, a Participant who is retirement-eligible and receives Local Severance Benefits shall also receive the vesting treatment described in Section 2(d) as though the Participant had experienced a Qualifying Retirement.</w:t>
      </w:r>
    </w:p>
    <w:p>
      <w:pPr>
        <w:spacing w:after="0" w:line="145" w:lineRule="exact"/>
        <w:rPr>
          <w:rFonts w:ascii="Arial" w:cs="Arial" w:eastAsia="Arial" w:hAnsi="Arial"/>
          <w:sz w:val="16"/>
          <w:szCs w:val="16"/>
          <w:color w:val="auto"/>
        </w:rPr>
      </w:pPr>
    </w:p>
    <w:p>
      <w:pPr>
        <w:ind w:left="820" w:hanging="498"/>
        <w:spacing w:after="0"/>
        <w:tabs>
          <w:tab w:leader="none" w:pos="8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 DIVIDEND EQUIVALENTS</w:t>
      </w:r>
    </w:p>
    <w:p>
      <w:pPr>
        <w:spacing w:after="0" w:line="194" w:lineRule="exact"/>
        <w:rPr>
          <w:rFonts w:ascii="Arial" w:cs="Arial" w:eastAsia="Arial" w:hAnsi="Arial"/>
          <w:sz w:val="18"/>
          <w:szCs w:val="18"/>
          <w:b w:val="1"/>
          <w:bCs w:val="1"/>
          <w:color w:val="auto"/>
        </w:rPr>
      </w:pPr>
    </w:p>
    <w:p>
      <w:pPr>
        <w:ind w:right="20" w:firstLine="639"/>
        <w:spacing w:after="0" w:line="228" w:lineRule="auto"/>
        <w:tabs>
          <w:tab w:leader="none" w:pos="1263"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Participant shall not be, nor have any of the rights or privileges of, a stockholder of the Company in respect of any PSUs unless and until shares of Common Stock settled for such PSUs shall have been issued by the Company to Participant.</w:t>
      </w:r>
    </w:p>
    <w:p>
      <w:pPr>
        <w:spacing w:after="0" w:line="160" w:lineRule="exact"/>
        <w:rPr>
          <w:rFonts w:ascii="Arial" w:cs="Arial" w:eastAsia="Arial" w:hAnsi="Arial"/>
          <w:sz w:val="18"/>
          <w:szCs w:val="18"/>
          <w:color w:val="auto"/>
        </w:rPr>
      </w:pPr>
    </w:p>
    <w:p>
      <w:pPr>
        <w:jc w:val="both"/>
        <w:ind w:firstLine="639"/>
        <w:spacing w:after="0" w:line="235" w:lineRule="auto"/>
        <w:tabs>
          <w:tab w:leader="none" w:pos="12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Notwithstanding Section 3(a), from and after the Grant Date and until the earlier of (i) the Participant’s receipt of Common Stock upon settlement of the PSUs and (ii) the time when the Participant’s right to receive Common Stock upon settlement of the PSUs is forfeited, the Participant shall be entitled to receive as a dividend equivalent a number of additional PSUs on the date that the Company pays a cash dividend (if any) to Common Stock holders generally. Such dividend equivalent shall be determined by dividing (i) the product of (A) the dollar amount of the cash dividend paid per share of Common Stock on such date and (B) the total number of PSUs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PSUs to which the dividend equivalents were credited. Dividend equivalents shall be settled in whole shares of Common Stock with any dividend equivalents accrued in the form of fractional PSUs settled in cash. However, for the avoidance of doubt, the Company may, in its sole discretion, settle any PSUs accrued as dividend equivalents by a cash payment equal to the Fair Market Value of a share of Common Stock on the date of payment (as opposed to payment in the form of shares of Common Stock). For the avoidance of doubt, in no event will any dividend equivalents credited to PSUs be delivered to the Participant unless and until such PSUs vest and settle.</w:t>
      </w:r>
    </w:p>
    <w:p>
      <w:pPr>
        <w:spacing w:after="0" w:line="148" w:lineRule="exact"/>
        <w:rPr>
          <w:rFonts w:ascii="Arial" w:cs="Arial" w:eastAsia="Arial" w:hAnsi="Arial"/>
          <w:sz w:val="16"/>
          <w:szCs w:val="16"/>
          <w:color w:val="auto"/>
        </w:rPr>
      </w:pPr>
    </w:p>
    <w:p>
      <w:pPr>
        <w:ind w:left="820" w:hanging="498"/>
        <w:spacing w:after="0"/>
        <w:tabs>
          <w:tab w:leader="none" w:pos="8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 OF SHARES</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may impose such restrictions as it determines appropriate as to the timing and manner of any resales by the Participant or other subsequent transfers by the Participant of any shares of Common Stock issued pursuant to Vested PSUs, including (a) restrictions under an insider trading policy, (b)</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restrictions designed to delay and/or coordinate the timing and manner of sales by Participant and other holders and (c) restrictions as to the use of a specified brokerage firm for such resales or other transfers.</w:t>
      </w:r>
    </w:p>
    <w:p>
      <w:pPr>
        <w:spacing w:after="0" w:line="141" w:lineRule="exact"/>
        <w:rPr>
          <w:sz w:val="20"/>
          <w:szCs w:val="20"/>
          <w:color w:val="auto"/>
        </w:rPr>
      </w:pPr>
    </w:p>
    <w:p>
      <w:pPr>
        <w:ind w:left="860" w:hanging="538"/>
        <w:spacing w:after="0"/>
        <w:tabs>
          <w:tab w:leader="none" w:pos="8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may satisfy tax withholding obligations relating to the PSUs by any combination of the following: (i) a cash payment; (ii) a Company</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deduction from any amounts payable to Participant; (iii) Company withholding of shares from the Common Stock issuable to the Participant in connection with the PSUs (only up to the amount permitted that will not cause an adverse accounting consequence); or (iv) Company withholding a payment from the proceeds from the sale of shares of Common Stock issued pursuant to the PSUs. In addition, the Administrator may, in its sole discretion but only to the extent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consistent with Section 409A of the Code, reduce the number of PSUs remaining subject to this Award, with each such PSU to have a value for such purpose equal to the then Fair Market Value of a share of Common Stock, to satisfy such withholding obligation at the applicable withholding rates.</w:t>
      </w:r>
    </w:p>
    <w:p>
      <w:pPr>
        <w:spacing w:after="0" w:line="130" w:lineRule="exact"/>
        <w:rPr>
          <w:sz w:val="20"/>
          <w:szCs w:val="20"/>
          <w:color w:val="auto"/>
        </w:rPr>
      </w:pPr>
    </w:p>
    <w:p>
      <w:pPr>
        <w:ind w:left="820" w:hanging="498"/>
        <w:spacing w:after="0"/>
        <w:tabs>
          <w:tab w:leader="none" w:pos="8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w:t>
      </w:r>
    </w:p>
    <w:p>
      <w:pPr>
        <w:spacing w:after="0" w:line="19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qualified domestic relations order, official marital settlement agreement or other divorce or separation instrument.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169" w:right="399" w:bottom="1440" w:gutter="0" w:footer="0" w:header="0"/>
        </w:sectPr>
      </w:pPr>
    </w:p>
    <w:bookmarkStart w:id="59" w:name="page60"/>
    <w:bookmarkEnd w:id="59"/>
    <w:p>
      <w:pPr>
        <w:ind w:left="820" w:hanging="498"/>
        <w:spacing w:after="0"/>
        <w:tabs>
          <w:tab w:leader="none" w:pos="8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 SUPERSEDED</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Grant Notice, these Standard Terms and Conditions and the Plan constitute the entire understanding between the Participant and the Company regarding this Award. Any prior agreements, commitments or negotiations concerning this Award are superseded.</w:t>
      </w:r>
    </w:p>
    <w:p>
      <w:pPr>
        <w:spacing w:after="0" w:line="141" w:lineRule="exact"/>
        <w:rPr>
          <w:sz w:val="20"/>
          <w:szCs w:val="20"/>
          <w:color w:val="auto"/>
        </w:rPr>
      </w:pPr>
    </w:p>
    <w:p>
      <w:pPr>
        <w:ind w:left="820" w:hanging="498"/>
        <w:spacing w:after="0"/>
        <w:tabs>
          <w:tab w:leader="none" w:pos="8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NO ADDITIONAL RIGHTS</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Participant’s receipt of the PSUs does not confer upon the Participant any right to continue to serve the Company or an Affiliate in any capacity and will not affect the right of the Company or an Affiliate to terminate the service of the Participant.</w:t>
      </w:r>
    </w:p>
    <w:p>
      <w:pPr>
        <w:spacing w:after="0" w:line="141" w:lineRule="exact"/>
        <w:rPr>
          <w:sz w:val="20"/>
          <w:szCs w:val="20"/>
          <w:color w:val="auto"/>
        </w:rPr>
      </w:pPr>
    </w:p>
    <w:p>
      <w:pPr>
        <w:ind w:left="820" w:hanging="498"/>
        <w:spacing w:after="0"/>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94" w:lineRule="exact"/>
        <w:rPr>
          <w:rFonts w:ascii="Arial" w:cs="Arial" w:eastAsia="Arial" w:hAnsi="Arial"/>
          <w:sz w:val="18"/>
          <w:szCs w:val="18"/>
          <w:b w:val="1"/>
          <w:bCs w:val="1"/>
          <w:color w:val="auto"/>
        </w:rPr>
      </w:pPr>
    </w:p>
    <w:p>
      <w:pPr>
        <w:jc w:val="both"/>
        <w:ind w:firstLine="639"/>
        <w:spacing w:after="0" w:line="237" w:lineRule="auto"/>
        <w:tabs>
          <w:tab w:leader="none" w:pos="1263"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Document and/or the Plan should modify the stricken terms as narrowly as possible to give as much effect as possible to the intentions of the parties hereunder.</w:t>
      </w:r>
    </w:p>
    <w:p>
      <w:pPr>
        <w:spacing w:after="0" w:line="176" w:lineRule="exact"/>
        <w:rPr>
          <w:rFonts w:ascii="Arial" w:cs="Arial" w:eastAsia="Arial" w:hAnsi="Arial"/>
          <w:sz w:val="16"/>
          <w:szCs w:val="16"/>
          <w:color w:val="auto"/>
        </w:rPr>
      </w:pPr>
    </w:p>
    <w:p>
      <w:pPr>
        <w:jc w:val="both"/>
        <w:ind w:firstLine="639"/>
        <w:spacing w:after="0" w:line="246" w:lineRule="auto"/>
        <w:tabs>
          <w:tab w:leader="none" w:pos="12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55" w:lineRule="exact"/>
        <w:rPr>
          <w:rFonts w:ascii="Arial" w:cs="Arial" w:eastAsia="Arial" w:hAnsi="Arial"/>
          <w:sz w:val="16"/>
          <w:szCs w:val="16"/>
          <w:color w:val="auto"/>
        </w:rPr>
      </w:pPr>
    </w:p>
    <w:p>
      <w:pPr>
        <w:ind w:firstLine="639"/>
        <w:spacing w:after="0" w:line="228" w:lineRule="auto"/>
        <w:tabs>
          <w:tab w:leader="none" w:pos="12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These Standard Terms and Conditions shall inure to the benefit of and be binding upon the parties and their respective permitted heirs, beneficiaries, successors and assigns.</w:t>
      </w:r>
    </w:p>
    <w:p>
      <w:pPr>
        <w:spacing w:after="0" w:line="173" w:lineRule="exact"/>
        <w:rPr>
          <w:rFonts w:ascii="Arial" w:cs="Arial" w:eastAsia="Arial" w:hAnsi="Arial"/>
          <w:sz w:val="18"/>
          <w:szCs w:val="18"/>
          <w:color w:val="auto"/>
        </w:rPr>
      </w:pPr>
    </w:p>
    <w:p>
      <w:pPr>
        <w:ind w:firstLine="639"/>
        <w:spacing w:after="0" w:line="228"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These Standard Terms and Conditions shall be interpreted in accordance with and governed by the laws of the State of Delaware, without regard to principles of conflicts of law.</w:t>
      </w:r>
    </w:p>
    <w:p>
      <w:pPr>
        <w:spacing w:after="0" w:line="160" w:lineRule="exact"/>
        <w:rPr>
          <w:rFonts w:ascii="Arial" w:cs="Arial" w:eastAsia="Arial" w:hAnsi="Arial"/>
          <w:sz w:val="18"/>
          <w:szCs w:val="18"/>
          <w:color w:val="auto"/>
        </w:rPr>
      </w:pPr>
    </w:p>
    <w:p>
      <w:pPr>
        <w:jc w:val="both"/>
        <w:ind w:firstLine="639"/>
        <w:spacing w:after="0" w:line="223" w:lineRule="auto"/>
        <w:tabs>
          <w:tab w:leader="none" w:pos="12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61" w:lineRule="exact"/>
        <w:rPr>
          <w:rFonts w:ascii="Arial" w:cs="Arial" w:eastAsia="Arial" w:hAnsi="Arial"/>
          <w:sz w:val="18"/>
          <w:szCs w:val="18"/>
          <w:color w:val="auto"/>
        </w:rPr>
      </w:pPr>
    </w:p>
    <w:p>
      <w:pPr>
        <w:jc w:val="both"/>
        <w:ind w:firstLine="639"/>
        <w:spacing w:after="0" w:line="216" w:lineRule="auto"/>
        <w:tabs>
          <w:tab w:leader="none" w:pos="1257"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Participant’s employer or any Subsidiary.</w:t>
      </w:r>
    </w:p>
    <w:p>
      <w:pPr>
        <w:spacing w:after="0" w:line="163" w:lineRule="exact"/>
        <w:rPr>
          <w:rFonts w:ascii="Arial" w:cs="Arial" w:eastAsia="Arial" w:hAnsi="Arial"/>
          <w:sz w:val="18"/>
          <w:szCs w:val="18"/>
          <w:color w:val="auto"/>
        </w:rPr>
      </w:pPr>
    </w:p>
    <w:p>
      <w:pPr>
        <w:ind w:left="1260" w:hanging="621"/>
        <w:spacing w:after="0"/>
        <w:tabs>
          <w:tab w:leader="none" w:pos="12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questions under the Plan or under these Standard Terms and Conditions shall be decided by the Administrator in its total and absolute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174" w:lineRule="exact"/>
        <w:rPr>
          <w:rFonts w:ascii="Arial" w:cs="Arial" w:eastAsia="Arial" w:hAnsi="Arial"/>
          <w:sz w:val="16"/>
          <w:szCs w:val="16"/>
          <w:color w:val="auto"/>
        </w:rPr>
      </w:pPr>
    </w:p>
    <w:p>
      <w:pPr>
        <w:jc w:val="both"/>
        <w:ind w:firstLine="639"/>
        <w:spacing w:after="0" w:line="218"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This Award will be subject to recoupment in accordance with the Company’s compensation recovery (clawback) policy or policies then in effect. No recovery of compensation under any such policy will be an event giving rise to a right to resign for “good reason” or “constructive termination” (or similar term) under any agreement with the Company or a Subsidiary.</w:t>
      </w:r>
    </w:p>
    <w:p>
      <w:pPr>
        <w:spacing w:after="0" w:line="155" w:lineRule="exact"/>
        <w:rPr>
          <w:rFonts w:ascii="Arial" w:cs="Arial" w:eastAsia="Arial" w:hAnsi="Arial"/>
          <w:sz w:val="18"/>
          <w:szCs w:val="18"/>
          <w:color w:val="auto"/>
        </w:rPr>
      </w:pPr>
    </w:p>
    <w:p>
      <w:pPr>
        <w:ind w:left="860" w:hanging="538"/>
        <w:spacing w:after="0"/>
        <w:tabs>
          <w:tab w:leader="none" w:pos="8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By accepting the Grant Notice, the Participant hereby consents to the delivery of information (including, without limitation, information required to be</w:t>
      </w:r>
    </w:p>
    <w:p>
      <w:pPr>
        <w:spacing w:after="0" w:line="15"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delivered to the Participant pursuant to applicable securities laws) regarding the Company and the Subsidiaries, the Plan, and the PSUs via Company web site or other electronic delivery.</w:t>
      </w:r>
    </w:p>
    <w:p>
      <w:pPr>
        <w:spacing w:after="0" w:line="141" w:lineRule="exact"/>
        <w:rPr>
          <w:sz w:val="20"/>
          <w:szCs w:val="20"/>
          <w:color w:val="auto"/>
        </w:rPr>
      </w:pPr>
    </w:p>
    <w:p>
      <w:pPr>
        <w:ind w:left="800" w:hanging="478"/>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116"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Any controversy arising out of or relating to the Grant Notice, these Standard Terms and Conditions, and/or the Plan (“</w:t>
      </w:r>
      <w:r>
        <w:rPr>
          <w:rFonts w:ascii="Arial" w:cs="Arial" w:eastAsia="Arial" w:hAnsi="Arial"/>
          <w:sz w:val="18"/>
          <w:szCs w:val="18"/>
          <w:b w:val="1"/>
          <w:bCs w:val="1"/>
          <w:i w:val="1"/>
          <w:iCs w:val="1"/>
          <w:color w:val="auto"/>
        </w:rPr>
        <w:t>Covered Claims</w:t>
      </w:r>
      <w:r>
        <w:rPr>
          <w:rFonts w:ascii="Arial" w:cs="Arial" w:eastAsia="Arial" w:hAnsi="Arial"/>
          <w:sz w:val="18"/>
          <w:szCs w:val="18"/>
          <w:color w:val="auto"/>
        </w:rPr>
        <w:t>”), shall be resolved in accordance with the terms and conditions of the Western Digital Technologies, Inc. Dispute Resolution Agreement (the “</w:t>
      </w:r>
      <w:r>
        <w:rPr>
          <w:rFonts w:ascii="Arial" w:cs="Arial" w:eastAsia="Arial" w:hAnsi="Arial"/>
          <w:sz w:val="18"/>
          <w:szCs w:val="18"/>
          <w:b w:val="1"/>
          <w:bCs w:val="1"/>
          <w:i w:val="1"/>
          <w:iCs w:val="1"/>
          <w:color w:val="auto"/>
        </w:rPr>
        <w:t>DRA</w:t>
      </w:r>
      <w:r>
        <w:rPr>
          <w:rFonts w:ascii="Arial" w:cs="Arial" w:eastAsia="Arial" w:hAnsi="Arial"/>
          <w:sz w:val="18"/>
          <w:szCs w:val="18"/>
          <w:color w:val="auto"/>
        </w:rPr>
        <w:t>”), except with respect to any specific performance provided for in Section 13(f)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1163" w:right="39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If, however, Participant has opted out of the DRA, any Covered Claims shall be submitted to arbitration pursuant to this Section 11. Such arbitration shall be</w:t>
      </w:r>
    </w:p>
    <w:p>
      <w:pPr>
        <w:spacing w:after="0" w:line="15" w:lineRule="exact"/>
        <w:rPr>
          <w:sz w:val="20"/>
          <w:szCs w:val="20"/>
          <w:color w:val="auto"/>
        </w:rPr>
      </w:pPr>
    </w:p>
    <w:p>
      <w:pPr>
        <w:jc w:val="both"/>
        <w:ind w:right="60"/>
        <w:spacing w:after="0" w:line="229" w:lineRule="auto"/>
        <w:rPr>
          <w:sz w:val="20"/>
          <w:szCs w:val="20"/>
          <w:color w:val="auto"/>
        </w:rPr>
      </w:pPr>
      <w:r>
        <w:rPr>
          <w:rFonts w:ascii="Arial" w:cs="Arial" w:eastAsia="Arial" w:hAnsi="Arial"/>
          <w:sz w:val="16"/>
          <w:szCs w:val="16"/>
          <w:color w:val="auto"/>
        </w:rPr>
        <w:t>held in Orange County, California, U.S.A., before a sole arbitrator selected from Judicial Arbitration and Mediation Services, Inc., Orange, California, or its successor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w:t>
      </w:r>
    </w:p>
    <w:p>
      <w:pPr>
        <w:spacing w:after="0" w:line="1" w:lineRule="exact"/>
        <w:rPr>
          <w:sz w:val="20"/>
          <w:szCs w:val="20"/>
          <w:color w:val="auto"/>
        </w:rPr>
      </w:pPr>
    </w:p>
    <w:p>
      <w:pPr>
        <w:jc w:val="both"/>
        <w:ind w:right="60"/>
        <w:spacing w:after="0" w:line="227" w:lineRule="auto"/>
        <w:rPr>
          <w:sz w:val="20"/>
          <w:szCs w:val="20"/>
          <w:color w:val="auto"/>
        </w:rPr>
      </w:pPr>
      <w:r>
        <w:rPr>
          <w:rFonts w:ascii="Arial" w:cs="Arial" w:eastAsia="Arial" w:hAnsi="Arial"/>
          <w:sz w:val="16"/>
          <w:szCs w:val="16"/>
          <w:color w:val="auto"/>
        </w:rPr>
        <w:t>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Company agree to bring any Covered Claims on an individual basis only, and not on a class,</w:t>
      </w:r>
    </w:p>
    <w:p>
      <w:pPr>
        <w:spacing w:after="0" w:line="3" w:lineRule="exact"/>
        <w:rPr>
          <w:sz w:val="20"/>
          <w:szCs w:val="20"/>
          <w:color w:val="auto"/>
        </w:rPr>
      </w:pPr>
    </w:p>
    <w:p>
      <w:pPr>
        <w:jc w:val="both"/>
        <w:ind w:right="60"/>
        <w:spacing w:after="0" w:line="229" w:lineRule="auto"/>
        <w:rPr>
          <w:sz w:val="20"/>
          <w:szCs w:val="20"/>
          <w:color w:val="auto"/>
        </w:rPr>
      </w:pPr>
      <w:r>
        <w:rPr>
          <w:rFonts w:ascii="Arial" w:cs="Arial" w:eastAsia="Arial" w:hAnsi="Arial"/>
          <w:sz w:val="16"/>
          <w:szCs w:val="16"/>
          <w:color w:val="auto"/>
        </w:rPr>
        <w:t>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granted by the arbitrator shall be final and binding on the Company and the Participant and may be enforced by any court of competent jurisdiction.</w:t>
      </w:r>
    </w:p>
    <w:p>
      <w:pPr>
        <w:spacing w:after="0" w:line="184" w:lineRule="exact"/>
        <w:rPr>
          <w:sz w:val="20"/>
          <w:szCs w:val="20"/>
          <w:color w:val="auto"/>
        </w:rPr>
      </w:pPr>
    </w:p>
    <w:p>
      <w:pPr>
        <w:jc w:val="both"/>
        <w:ind w:right="60"/>
        <w:spacing w:after="0" w:line="241" w:lineRule="auto"/>
        <w:rPr>
          <w:sz w:val="20"/>
          <w:szCs w:val="20"/>
          <w:color w:val="auto"/>
        </w:rPr>
      </w:pPr>
      <w:r>
        <w:rPr>
          <w:rFonts w:ascii="Arial" w:cs="Arial" w:eastAsia="Arial" w:hAnsi="Arial"/>
          <w:sz w:val="16"/>
          <w:szCs w:val="16"/>
          <w:color w:val="auto"/>
        </w:rPr>
        <w:t>The Company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w:t>
      </w:r>
    </w:p>
    <w:p>
      <w:pPr>
        <w:spacing w:after="0" w:line="1" w:lineRule="exact"/>
        <w:rPr>
          <w:sz w:val="20"/>
          <w:szCs w:val="20"/>
          <w:color w:val="auto"/>
        </w:rPr>
      </w:pPr>
    </w:p>
    <w:p>
      <w:pPr>
        <w:jc w:val="both"/>
        <w:ind w:right="60"/>
        <w:spacing w:after="0" w:line="213" w:lineRule="auto"/>
        <w:rPr>
          <w:sz w:val="20"/>
          <w:szCs w:val="20"/>
          <w:color w:val="auto"/>
        </w:rPr>
      </w:pPr>
      <w:r>
        <w:rPr>
          <w:rFonts w:ascii="Arial" w:cs="Arial" w:eastAsia="Arial" w:hAnsi="Arial"/>
          <w:sz w:val="18"/>
          <w:szCs w:val="18"/>
          <w:color w:val="auto"/>
        </w:rPr>
        <w:t>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w:t>
      </w:r>
    </w:p>
    <w:p>
      <w:pPr>
        <w:spacing w:after="0" w:line="154" w:lineRule="exact"/>
        <w:rPr>
          <w:sz w:val="20"/>
          <w:szCs w:val="20"/>
          <w:color w:val="auto"/>
        </w:rPr>
      </w:pPr>
    </w:p>
    <w:p>
      <w:pPr>
        <w:ind w:left="820" w:hanging="498"/>
        <w:spacing w:after="0"/>
        <w:tabs>
          <w:tab w:leader="none" w:pos="8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NON-U.S. EMPLOYEES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Award shall be subject to any additional terms and conditions for non-U.S. employees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and any terms and</w:t>
      </w:r>
    </w:p>
    <w:p>
      <w:pPr>
        <w:spacing w:after="0" w:line="15" w:lineRule="exact"/>
        <w:rPr>
          <w:sz w:val="20"/>
          <w:szCs w:val="20"/>
          <w:color w:val="auto"/>
        </w:rPr>
      </w:pPr>
    </w:p>
    <w:p>
      <w:pPr>
        <w:jc w:val="both"/>
        <w:ind w:right="60"/>
        <w:spacing w:after="0" w:line="239" w:lineRule="auto"/>
        <w:rPr>
          <w:sz w:val="20"/>
          <w:szCs w:val="20"/>
          <w:color w:val="auto"/>
        </w:rPr>
      </w:pPr>
      <w:r>
        <w:rPr>
          <w:rFonts w:ascii="Arial" w:cs="Arial" w:eastAsia="Arial" w:hAnsi="Arial"/>
          <w:sz w:val="16"/>
          <w:szCs w:val="16"/>
          <w:color w:val="auto"/>
        </w:rPr>
        <w:t xml:space="preserve">conditions for the Participant’s country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B</w:t>
      </w:r>
      <w:r>
        <w:rPr>
          <w:rFonts w:ascii="Arial" w:cs="Arial" w:eastAsia="Arial" w:hAnsi="Arial"/>
          <w:sz w:val="16"/>
          <w:szCs w:val="16"/>
          <w:color w:val="auto"/>
        </w:rPr>
        <w:t xml:space="preserve">”). Moreover, if the Participant relocates to one of the countries included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constitute part of the Agreement.</w:t>
      </w:r>
    </w:p>
    <w:p>
      <w:pPr>
        <w:spacing w:after="0" w:line="156" w:lineRule="exact"/>
        <w:rPr>
          <w:sz w:val="20"/>
          <w:szCs w:val="20"/>
          <w:color w:val="auto"/>
        </w:rPr>
      </w:pPr>
    </w:p>
    <w:p>
      <w:pPr>
        <w:ind w:left="820" w:hanging="498"/>
        <w:spacing w:after="0"/>
        <w:tabs>
          <w:tab w:leader="none" w:pos="82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PARTICIPANT OBLIGATIONS</w:t>
      </w:r>
    </w:p>
    <w:p>
      <w:pPr>
        <w:spacing w:after="0" w:line="221" w:lineRule="exact"/>
        <w:rPr>
          <w:rFonts w:ascii="Arial" w:cs="Arial" w:eastAsia="Arial" w:hAnsi="Arial"/>
          <w:sz w:val="18"/>
          <w:szCs w:val="18"/>
          <w:b w:val="1"/>
          <w:bCs w:val="1"/>
          <w:color w:val="auto"/>
        </w:rPr>
      </w:pPr>
    </w:p>
    <w:p>
      <w:pPr>
        <w:ind w:firstLine="6"/>
        <w:spacing w:after="0" w:line="228" w:lineRule="auto"/>
        <w:tabs>
          <w:tab w:leader="none" w:pos="4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Participant, in accepting this Award, (i) agrees to the terms of this Award as set forth in this Award Document generally, and (ii) specifically (and without limiting the generality of clause (i)) agrees to the provisions of this Section 13.</w:t>
      </w:r>
    </w:p>
    <w:p>
      <w:pPr>
        <w:spacing w:after="0" w:line="160" w:lineRule="exact"/>
        <w:rPr>
          <w:rFonts w:ascii="Arial" w:cs="Arial" w:eastAsia="Arial" w:hAnsi="Arial"/>
          <w:sz w:val="18"/>
          <w:szCs w:val="18"/>
          <w:color w:val="auto"/>
        </w:rPr>
      </w:pPr>
    </w:p>
    <w:p>
      <w:pPr>
        <w:jc w:val="both"/>
        <w:ind w:firstLine="6"/>
        <w:spacing w:after="0" w:line="246" w:lineRule="auto"/>
        <w:tabs>
          <w:tab w:leader="none" w:pos="4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Participant agrees that during the Restricted Period (as defined below), the Participant will not directly or indirectly solicit, induce or encourage, or attempt to solicit, induce or encourage, any employee or independent contractor of the Company or any of its Subsidiaries to leave the employ or service, as applicable, of the Company or any such Subsidiary, or become employed or engaged by any third party, or in any way interfere with the relationship between the Company or any such Subsidiary, on the one hand, and any employee or independent contractor thereof, on the other hand. This Section 13(b) does not limit any general advertising or job posting not directed at any individual or group of employees of the Company or any of its Subsidiaries. For purposes of this Award Document, “Restricted Period” means the period of time the Participant is employed by or provides services to the Company or one of its Subsidiaries and the period of twenty-four (24) months after the date on which the Participant’s Continuous Service terminates.</w:t>
      </w:r>
    </w:p>
    <w:p>
      <w:pPr>
        <w:spacing w:after="0" w:line="157" w:lineRule="exact"/>
        <w:rPr>
          <w:rFonts w:ascii="Arial" w:cs="Arial" w:eastAsia="Arial" w:hAnsi="Arial"/>
          <w:sz w:val="16"/>
          <w:szCs w:val="16"/>
          <w:color w:val="auto"/>
        </w:rPr>
      </w:pPr>
    </w:p>
    <w:p>
      <w:pPr>
        <w:jc w:val="both"/>
        <w:ind w:firstLine="6"/>
        <w:spacing w:after="0" w:line="234" w:lineRule="auto"/>
        <w:tabs>
          <w:tab w:leader="none" w:pos="403"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Participant agrees that if the Participant were to become employed by, or substantially involved in, the business of a competitor of the Company or any of its Subsidiaries, it would be very difficult for the Participant not to rely on or use the Company’s and its Subsidiaries’ trade secrets and confidential information. Thus, to avoid the inevitable disclosure of the Company’s and its Subsidiaries’ trade secrets and confidential information, and to protect such trade secrets and confidential information and the Company’s and its Subsidiaries’ relationships and goodwill with customers, during the Restricted Period, the Participant will not directly or indirectly through any other person engage in, enter the employ of, render any services to, have any ownership interest in, nor participate in the financing, operation, management or control of, any Competing Business. For purposes of this Agreement, the phrase “directly or indirectly through any other Person engage in” shall include, without limitation, any direct or indirect ownership or profit participation interest in such enterprise, whether as an owner, stockholder, member, partner, joint venturer or otherwise, and shall include any direct or indirect participation in such enterprise as an employee, consultant, director, officer, advisor, licensor of technology or otherwise. For purposes of this Agreement, “Competing Business” means a person anywhere in the continental United States and elsewhere in the world where the Company or any of its Subsidiaries engages in business, or reasonably anticipates engaging in business, (the “Restricted Area”) that is engaged in design, development, manufacture, maintenance, offering, production or sales of hard disk drives or flash-based memory or other data storage devices or solutions. However, nothing in this Section 13(c) shall prohibit the Participant from being a passive owner of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outstanding stock of any class of a corporation which is publicly traded, so long as such ownership is indirect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7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through a mutual fund, similar passive common investment fund, or a broadly-diversified account managed by an unaffiliated third party.</w:t>
      </w:r>
    </w:p>
    <w:p>
      <w:pPr>
        <w:spacing w:after="0" w:line="175" w:lineRule="exact"/>
        <w:rPr>
          <w:sz w:val="20"/>
          <w:szCs w:val="20"/>
          <w:color w:val="auto"/>
        </w:rPr>
      </w:pPr>
    </w:p>
    <w:p>
      <w:pPr>
        <w:jc w:val="both"/>
        <w:ind w:firstLine="6"/>
        <w:spacing w:after="0"/>
        <w:tabs>
          <w:tab w:leader="none" w:pos="4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Participant acknowledges that, in the course of the Participant’s employment with the Company and/or its Subsidiaries and their predecessors, the Participant has become familiar, or will become familiar, with the Company’s and its Subsidiaries’ and their predecessors’ trade secrets and with other confidential and proprietary information concerning the Company, its Subsidiaries and their respective predecessors and that the Participant’s services have been and will be of special, unique and extraordinary value to the Company and its Subsidiaries. The Participant agrees that the covenants set forth in Sections 13(b) and (c) (together, the “Restrictive Covenants”) are reasonable and necessary to protect the Company’s and its Subsidiaries’ trade secrets and other confidential and proprietary information, good will, stable workforce, and customer relations.</w:t>
      </w:r>
    </w:p>
    <w:p>
      <w:pPr>
        <w:spacing w:after="0" w:line="162" w:lineRule="exact"/>
        <w:rPr>
          <w:rFonts w:ascii="Arial" w:cs="Arial" w:eastAsia="Arial" w:hAnsi="Arial"/>
          <w:sz w:val="16"/>
          <w:szCs w:val="16"/>
          <w:color w:val="auto"/>
        </w:rPr>
      </w:pPr>
    </w:p>
    <w:p>
      <w:pPr>
        <w:jc w:val="both"/>
        <w:ind w:firstLine="6"/>
        <w:spacing w:after="0" w:line="234" w:lineRule="auto"/>
        <w:tabs>
          <w:tab w:leader="none" w:pos="4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Without limiting the generality of the Participant’s agreement in Section 13(d),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Company and its Subsidiaries currently conduct business throughout the world, and (v) agrees that the Restrictive Covenants will continue in effect for the applicable periods set forth above in this Section 13 regardless of whether the Participant is then entitled to receive any form of compensation, severance pay or benefits from the Company or any of its Subsidiaries. The Participant understands that the Restrictive Covenants may limit the Participant’s ability to earn a livelihood in a business similar to the business of the Company or any of its Subsidiaries, but the Participant nevertheless believes that the Participant has received and will receive sufficient consideration and other benefits as an employee of the Company or one of its Subsidiaries, and as otherwise provided hereunder, to clearly justify such restrictions which, in any event (given the Participant’s education, skills and ability), the Participant does not believe would prevent the Participant from otherwise earning a living. The Participant agrees that the Restrictive Covenants do not confer a benefit upon the Company and its Subsidiaries that is disproportionate to the detriment of the Participant.</w:t>
      </w:r>
    </w:p>
    <w:p>
      <w:pPr>
        <w:spacing w:after="0" w:line="176" w:lineRule="exact"/>
        <w:rPr>
          <w:rFonts w:ascii="Arial" w:cs="Arial" w:eastAsia="Arial" w:hAnsi="Arial"/>
          <w:sz w:val="16"/>
          <w:szCs w:val="16"/>
          <w:color w:val="auto"/>
        </w:rPr>
      </w:pPr>
    </w:p>
    <w:p>
      <w:pPr>
        <w:jc w:val="both"/>
        <w:ind w:right="60" w:firstLine="6"/>
        <w:spacing w:after="0" w:line="232" w:lineRule="auto"/>
        <w:tabs>
          <w:tab w:leader="none" w:pos="40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Participant agrees that a breach by the Participant of any of the covenants in this Section 13 would cause immediate and irreparable harm to the Company that would be difficult or impossible to measure, and that damages to the Company for any such injury would therefore be an inadequate remedy for any such breach. Therefore, the Participant agrees that in the event of any breach or threatened breach of any provision of this Section 13, the Company (or its applicable Subsidiary, as the case may be) shall be entitled, in addition to and without limitation upon all other remedies the Company (or any of its Subsidiaries) may have under this Award Document, at law or otherwise, to obtain specific performance, injunctive relief and/or other appropriate relief (without posting any bond or deposit) in order to enforce or prevent any violations of the provisions of this Section 13, or require the Participant to account for and pay over to the Company all compensation, profits, moneys, accruals, increments or other benefits derived from or received as a result of any transactions constituting a breach of this Section 13 if and when final judgment of a court of competent jurisdiction or arbitrator, as applicable, is so entered against the Participant. The Participant further agrees that the applicable period of time any Restrictive Covenant is in effect following the date of the Participant’s termination of Continuous Service shall be extended by the same amount of time that the Participant is in breach of any Restrictive Covenant following the date on which the Participant’s Continuous Service terminates. The Participant further agrees that in the event of any breach of any provision of this Section 13, in addition to and without limitation upon all other remedies the Company (or any of its Subsidiaries) may have under this Award Document, at law or otherwise, this Award (to the extent outstanding at the time of such breach) shall automatically terminate and be forfeited as of the time of such breach.</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58" w:right="339" w:bottom="1440" w:gutter="0" w:footer="0" w:header="0"/>
        </w:sectPr>
      </w:pPr>
    </w:p>
    <w:bookmarkStart w:id="62" w:name="page63"/>
    <w:bookmarkEnd w:id="62"/>
    <w:p>
      <w:pPr>
        <w:ind w:left="3960"/>
        <w:spacing w:after="0"/>
        <w:rPr>
          <w:sz w:val="20"/>
          <w:szCs w:val="20"/>
          <w:color w:val="auto"/>
        </w:rPr>
      </w:pPr>
      <w:r>
        <w:rPr>
          <w:rFonts w:ascii="Arial" w:cs="Arial" w:eastAsia="Arial" w:hAnsi="Arial"/>
          <w:sz w:val="21"/>
          <w:szCs w:val="21"/>
          <w:b w:val="1"/>
          <w:bCs w:val="1"/>
          <w:u w:val="single" w:color="auto"/>
          <w:color w:val="auto"/>
        </w:rPr>
        <w:t>EXHIBIT B</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21"/>
          <w:szCs w:val="21"/>
          <w:b w:val="1"/>
          <w:bCs w:val="1"/>
          <w:color w:val="auto"/>
        </w:rPr>
        <w:t>PERFORMANCE STOCK UNIT AWARD</w:t>
      </w:r>
    </w:p>
    <w:p>
      <w:pPr>
        <w:jc w:val="center"/>
        <w:spacing w:after="0"/>
        <w:rPr>
          <w:sz w:val="20"/>
          <w:szCs w:val="20"/>
          <w:color w:val="auto"/>
        </w:rPr>
      </w:pPr>
      <w:r>
        <w:rPr>
          <w:rFonts w:ascii="Arial" w:cs="Arial" w:eastAsia="Arial" w:hAnsi="Arial"/>
          <w:sz w:val="21"/>
          <w:szCs w:val="21"/>
          <w:b w:val="1"/>
          <w:bCs w:val="1"/>
          <w:color w:val="auto"/>
        </w:rPr>
        <w:t>Performance Measures and Goals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To be inserted</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B</w:t>
      </w:r>
    </w:p>
    <w:p>
      <w:pPr>
        <w:jc w:val="center"/>
        <w:spacing w:after="0"/>
        <w:rPr>
          <w:sz w:val="20"/>
          <w:szCs w:val="20"/>
          <w:color w:val="auto"/>
        </w:rPr>
      </w:pPr>
      <w:r>
        <w:rPr>
          <w:rFonts w:ascii="Arial" w:cs="Arial" w:eastAsia="Arial" w:hAnsi="Arial"/>
          <w:sz w:val="21"/>
          <w:szCs w:val="21"/>
          <w:color w:val="auto"/>
        </w:rPr>
        <w:t>Performance Measures and Goals</w:t>
      </w:r>
    </w:p>
    <w:p>
      <w:pPr>
        <w:sectPr>
          <w:pgSz w:w="11900" w:h="16838" w:orient="portrait"/>
          <w:cols w:equalWidth="0" w:num="1">
            <w:col w:w="9019"/>
          </w:cols>
          <w:pgMar w:left="1440" w:top="1339" w:right="1440" w:bottom="1440" w:gutter="0" w:footer="0" w:header="0"/>
        </w:sectPr>
      </w:pPr>
    </w:p>
    <w:bookmarkStart w:id="63" w:name="page64"/>
    <w:bookmarkEnd w:id="63"/>
    <w:p>
      <w:pPr>
        <w:ind w:left="3860"/>
        <w:spacing w:after="0"/>
        <w:rPr>
          <w:sz w:val="20"/>
          <w:szCs w:val="20"/>
          <w:color w:val="auto"/>
        </w:rPr>
      </w:pPr>
      <w:r>
        <w:rPr>
          <w:rFonts w:ascii="Arial" w:cs="Arial" w:eastAsia="Arial" w:hAnsi="Arial"/>
          <w:sz w:val="21"/>
          <w:szCs w:val="21"/>
          <w:b w:val="1"/>
          <w:bCs w:val="1"/>
          <w:u w:val="single" w:color="auto"/>
          <w:color w:val="auto"/>
        </w:rPr>
        <w:t>EXHIBIT B-1</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21"/>
          <w:szCs w:val="21"/>
          <w:b w:val="1"/>
          <w:bCs w:val="1"/>
          <w:color w:val="auto"/>
        </w:rPr>
        <w:t>PERFORMANCE STOCK UNIT AWARD</w:t>
      </w:r>
    </w:p>
    <w:p>
      <w:pPr>
        <w:jc w:val="center"/>
        <w:spacing w:after="0"/>
        <w:rPr>
          <w:sz w:val="20"/>
          <w:szCs w:val="20"/>
          <w:color w:val="auto"/>
        </w:rPr>
      </w:pPr>
      <w:r>
        <w:rPr>
          <w:rFonts w:ascii="Arial" w:cs="Arial" w:eastAsia="Arial" w:hAnsi="Arial"/>
          <w:sz w:val="21"/>
          <w:szCs w:val="21"/>
          <w:b w:val="1"/>
          <w:bCs w:val="1"/>
          <w:color w:val="auto"/>
        </w:rPr>
        <w:t>Performance Measures and Goals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Measurement Period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To be inserted</w:t>
      </w:r>
      <w:r>
        <w:rPr>
          <w:rFonts w:ascii="Arial" w:cs="Arial" w:eastAsia="Arial" w:hAnsi="Arial"/>
          <w:sz w:val="21"/>
          <w:szCs w:val="21"/>
          <w:b w:val="1"/>
          <w:bCs w:val="1"/>
          <w:color w:val="auto"/>
        </w:rPr>
        <w:t>]</w:t>
      </w:r>
    </w:p>
    <w:p>
      <w:pPr>
        <w:sectPr>
          <w:pgSz w:w="11900" w:h="16838" w:orient="portrait"/>
          <w:cols w:equalWidth="0" w:num="1">
            <w:col w:w="9019"/>
          </w:cols>
          <w:pgMar w:left="1440" w:top="1339" w:right="1440" w:bottom="1440" w:gutter="0" w:footer="0" w:header="0"/>
        </w:sectPr>
      </w:pPr>
    </w:p>
    <w:bookmarkStart w:id="64" w:name="page65"/>
    <w:bookmarkEnd w:id="64"/>
    <w:p>
      <w:pPr>
        <w:ind w:left="3860"/>
        <w:spacing w:after="0"/>
        <w:rPr>
          <w:sz w:val="20"/>
          <w:szCs w:val="20"/>
          <w:color w:val="auto"/>
        </w:rPr>
      </w:pPr>
      <w:r>
        <w:rPr>
          <w:rFonts w:ascii="Arial" w:cs="Arial" w:eastAsia="Arial" w:hAnsi="Arial"/>
          <w:sz w:val="21"/>
          <w:szCs w:val="21"/>
          <w:b w:val="1"/>
          <w:bCs w:val="1"/>
          <w:u w:val="single" w:color="auto"/>
          <w:color w:val="auto"/>
        </w:rPr>
        <w:t>EXHIBIT B-2</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21"/>
          <w:szCs w:val="21"/>
          <w:b w:val="1"/>
          <w:bCs w:val="1"/>
          <w:color w:val="auto"/>
        </w:rPr>
        <w:t>PERFORMANCE STOCK UNIT AWARD</w:t>
      </w:r>
    </w:p>
    <w:p>
      <w:pPr>
        <w:jc w:val="center"/>
        <w:spacing w:after="0"/>
        <w:rPr>
          <w:sz w:val="20"/>
          <w:szCs w:val="20"/>
          <w:color w:val="auto"/>
        </w:rPr>
      </w:pPr>
      <w:r>
        <w:rPr>
          <w:rFonts w:ascii="Arial" w:cs="Arial" w:eastAsia="Arial" w:hAnsi="Arial"/>
          <w:sz w:val="21"/>
          <w:szCs w:val="21"/>
          <w:b w:val="1"/>
          <w:bCs w:val="1"/>
          <w:color w:val="auto"/>
        </w:rPr>
        <w:t>Performance Measures and Goals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Measurement Period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To be inserted</w:t>
      </w:r>
      <w:r>
        <w:rPr>
          <w:rFonts w:ascii="Arial" w:cs="Arial" w:eastAsia="Arial" w:hAnsi="Arial"/>
          <w:sz w:val="21"/>
          <w:szCs w:val="21"/>
          <w:b w:val="1"/>
          <w:bCs w:val="1"/>
          <w:color w:val="auto"/>
        </w:rPr>
        <w:t>]</w:t>
      </w:r>
    </w:p>
    <w:p>
      <w:pPr>
        <w:sectPr>
          <w:pgSz w:w="11900" w:h="16838" w:orient="portrait"/>
          <w:cols w:equalWidth="0" w:num="1">
            <w:col w:w="9019"/>
          </w:cols>
          <w:pgMar w:left="1440" w:top="1339" w:right="1440" w:bottom="1440" w:gutter="0" w:footer="0" w:header="0"/>
        </w:sectPr>
      </w:pPr>
    </w:p>
    <w:bookmarkStart w:id="65" w:name="page66"/>
    <w:bookmarkEnd w:id="65"/>
    <w:p>
      <w:pPr>
        <w:ind w:left="3860"/>
        <w:spacing w:after="0"/>
        <w:rPr>
          <w:sz w:val="20"/>
          <w:szCs w:val="20"/>
          <w:color w:val="auto"/>
        </w:rPr>
      </w:pPr>
      <w:r>
        <w:rPr>
          <w:rFonts w:ascii="Arial" w:cs="Arial" w:eastAsia="Arial" w:hAnsi="Arial"/>
          <w:sz w:val="21"/>
          <w:szCs w:val="21"/>
          <w:b w:val="1"/>
          <w:bCs w:val="1"/>
          <w:u w:val="single" w:color="auto"/>
          <w:color w:val="auto"/>
        </w:rPr>
        <w:t>EXHIBIT B-3</w:t>
      </w:r>
    </w:p>
    <w:p>
      <w:pPr>
        <w:spacing w:after="0" w:line="200" w:lineRule="exact"/>
        <w:rPr>
          <w:sz w:val="20"/>
          <w:szCs w:val="20"/>
          <w:color w:val="auto"/>
        </w:rPr>
      </w:pPr>
    </w:p>
    <w:p>
      <w:pPr>
        <w:ind w:left="2580"/>
        <w:spacing w:after="0"/>
        <w:rPr>
          <w:sz w:val="20"/>
          <w:szCs w:val="20"/>
          <w:color w:val="auto"/>
        </w:rPr>
      </w:pPr>
      <w:r>
        <w:rPr>
          <w:rFonts w:ascii="Arial" w:cs="Arial" w:eastAsia="Arial" w:hAnsi="Arial"/>
          <w:sz w:val="21"/>
          <w:szCs w:val="21"/>
          <w:b w:val="1"/>
          <w:bCs w:val="1"/>
          <w:color w:val="auto"/>
        </w:rPr>
        <w:t>PERFORMANCE STOCK UNIT AWARD</w:t>
      </w:r>
    </w:p>
    <w:p>
      <w:pPr>
        <w:jc w:val="center"/>
        <w:spacing w:after="0"/>
        <w:rPr>
          <w:sz w:val="20"/>
          <w:szCs w:val="20"/>
          <w:color w:val="auto"/>
        </w:rPr>
      </w:pPr>
      <w:r>
        <w:rPr>
          <w:rFonts w:ascii="Arial" w:cs="Arial" w:eastAsia="Arial" w:hAnsi="Arial"/>
          <w:sz w:val="21"/>
          <w:szCs w:val="21"/>
          <w:b w:val="1"/>
          <w:bCs w:val="1"/>
          <w:color w:val="auto"/>
        </w:rPr>
        <w:t>Performance Measures and Goals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Third Measurement Period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To be inserted</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9019"/>
          </w:cols>
          <w:pgMar w:left="1440" w:top="1339" w:right="1440" w:bottom="1440" w:gutter="0" w:footer="0" w:header="0"/>
        </w:sectPr>
      </w:pPr>
    </w:p>
    <w:bookmarkStart w:id="66" w:name="page67"/>
    <w:bookmarkEnd w:id="66"/>
    <w:p>
      <w:pPr>
        <w:spacing w:after="0" w:line="14"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68"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ADDITIONAL TERMS AND CONDITIONS OF PERFORMANCE STOCK UNIT AWARD DOCUMENT</w:t>
      </w:r>
    </w:p>
    <w:p>
      <w:pPr>
        <w:ind w:left="4460"/>
        <w:spacing w:after="0"/>
        <w:rPr>
          <w:sz w:val="20"/>
          <w:szCs w:val="20"/>
          <w:color w:val="auto"/>
        </w:rPr>
      </w:pPr>
      <w:r>
        <w:rPr>
          <w:rFonts w:ascii="Arial" w:cs="Arial" w:eastAsia="Arial" w:hAnsi="Arial"/>
          <w:sz w:val="18"/>
          <w:szCs w:val="18"/>
          <w:b w:val="1"/>
          <w:bCs w:val="1"/>
          <w:color w:val="auto"/>
        </w:rPr>
        <w:t>FOR NON-U.S. EMPLOYEES</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1. Terms of Plan Participation for Non-U.S. Participants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understands that this Appendix A contains additional terms and conditions that, together with the Plan and the Award Document, govern the</w:t>
      </w:r>
    </w:p>
    <w:p>
      <w:pPr>
        <w:spacing w:after="0" w:line="1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Arial" w:cs="Arial" w:eastAsia="Arial" w:hAnsi="Arial"/>
          <w:sz w:val="16"/>
          <w:szCs w:val="16"/>
          <w:i w:val="1"/>
          <w:iCs w:val="1"/>
          <w:color w:val="auto"/>
        </w:rPr>
        <w:t>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terms used but not defined in this Appendix A shall have the same meanings assigned to them in the Plan and/or Award Document.</w:t>
      </w:r>
    </w:p>
    <w:p>
      <w:pPr>
        <w:spacing w:after="0" w:line="19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 Withholding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5 of the Standard Terms and Conditions: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Participant acknowledges that, regardless of any action taken by the Company or, if different, the Participant’s employer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ultimate liability for all income tax, social insurance, payroll tax, fringe benefits tax, payment on account or other tax-related items related to the Participant’s participation in the Plan and this Award and legally applicable to the Participant (“</w:t>
      </w:r>
      <w:r>
        <w:rPr>
          <w:rFonts w:ascii="Arial" w:cs="Arial" w:eastAsia="Arial" w:hAnsi="Arial"/>
          <w:sz w:val="15"/>
          <w:szCs w:val="15"/>
          <w:b w:val="1"/>
          <w:bCs w:val="1"/>
          <w:i w:val="1"/>
          <w:iCs w:val="1"/>
          <w:color w:val="auto"/>
        </w:rPr>
        <w:t>Tax-Related Items</w:t>
      </w:r>
      <w:r>
        <w:rPr>
          <w:rFonts w:ascii="Arial" w:cs="Arial" w:eastAsia="Arial" w:hAnsi="Arial"/>
          <w:sz w:val="15"/>
          <w:szCs w:val="15"/>
          <w:color w:val="auto"/>
        </w:rPr>
        <w:t>”) is and remains the Participant’s responsibility and may exceed the amount, if any, actually withheld by the Company or the Employer. The Participant further acknowledges that the Company and/or the Employer (a)</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make no representations or undertakings regarding the treatment of any Tax-Related Items in connection with any aspect of the PSUs; and (b) are not obligated to structure the terms of the grant or any aspect of the PSUs to reduce or eliminate the Participant’s liability for Tax-Related Items or achieve any particular tax result. If the Participant is or becomes subject to Tax-Related Items in more than one jurisdiction, the Participant acknowledges that the Company and/or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Employer (or former employer, as applicable) may be required to withhold or account for Tax-Related Items in more than one jurisdiction.</w:t>
      </w:r>
    </w:p>
    <w:p>
      <w:pPr>
        <w:spacing w:after="0" w:line="161" w:lineRule="exact"/>
        <w:rPr>
          <w:sz w:val="20"/>
          <w:szCs w:val="20"/>
          <w:color w:val="auto"/>
        </w:rPr>
      </w:pPr>
    </w:p>
    <w:p>
      <w:pPr>
        <w:jc w:val="both"/>
        <w:ind w:firstLine="633"/>
        <w:spacing w:after="0" w:line="241" w:lineRule="auto"/>
        <w:rPr>
          <w:sz w:val="20"/>
          <w:szCs w:val="20"/>
          <w:color w:val="auto"/>
        </w:rPr>
      </w:pPr>
      <w:r>
        <w:rPr>
          <w:rFonts w:ascii="Arial" w:cs="Arial" w:eastAsia="Arial" w:hAnsi="Arial"/>
          <w:sz w:val="16"/>
          <w:szCs w:val="16"/>
          <w:color w:val="auto"/>
        </w:rPr>
        <w:t>The Participant agrees, in connection with any relevant taxable or tax withholding event, as applicable, to make adequate arrangements satisfactory to the Company and/or the Employer to satisfy all Tax-Related Items. In this regard, the Participant authorizes the Company and/or the Employer to satisfy the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obligations with regard to all Tax-Related Items by one or a combination of the methods set forth in Section 8(f) of the Plan and Section 5 of the Standard Terms and Conditions. In addition, the Participant authorizes withholding from proceeds of the sale of shares of Common Stock acquired upon settlement of the PSUs either through a voluntary sale or through a mandatory sale arranged by the Company (on the Participant’s behalf pursuant to this authorization</w:t>
      </w:r>
    </w:p>
    <w:p>
      <w:pPr>
        <w:spacing w:after="0" w:line="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without further consent). If the Participant is subject to Section 16 of the Exchange Act, then withholding for Tax-Related Items shall be satisfied in accordance with Section 8(f) of the Plan, Section 5 of the Standard Terms and Conditions, and the withholding methodology approved by the Administrator for officers subject to Section 16 of the Exchange Act.</w:t>
      </w:r>
    </w:p>
    <w:p>
      <w:pPr>
        <w:spacing w:after="0" w:line="200" w:lineRule="exact"/>
        <w:rPr>
          <w:sz w:val="20"/>
          <w:szCs w:val="20"/>
          <w:color w:val="auto"/>
        </w:rPr>
      </w:pPr>
    </w:p>
    <w:p>
      <w:pPr>
        <w:jc w:val="both"/>
        <w:ind w:firstLine="633"/>
        <w:spacing w:after="0" w:line="235" w:lineRule="auto"/>
        <w:rPr>
          <w:sz w:val="20"/>
          <w:szCs w:val="20"/>
          <w:color w:val="auto"/>
        </w:rPr>
      </w:pPr>
      <w:r>
        <w:rPr>
          <w:rFonts w:ascii="Arial" w:cs="Arial" w:eastAsia="Arial" w:hAnsi="Arial"/>
          <w:sz w:val="16"/>
          <w:szCs w:val="16"/>
          <w:color w:val="auto"/>
        </w:rPr>
        <w:t>Depending on the withholding method, the Company and/or the Employer may withhold or account for Tax-Related Items by considering applicable minimum withholding amounts or other applicable withholding rates, including maximum applicable rates. In the event of over-withholding, the Participant may receive a refund of any over-withheld amount in cash and will have no entitlement to the equivalent in Common Stock from the Company or the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Employer; otherwise, the Participant may be able to seek a refund from the local tax authorities. In the event of under-withholding, the Participant may be required to pay any additional Tax-Related Items directly to the applicable tax authority or to the Company and/or the Employer. If the Tax-Related Items are satisfied by withholding in shares of Common Stock, for tax purposes, the Participant is deemed to have been issued the full number of shares subject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vested PSUs, notwithstanding that a number of the Shares are held back solely for the purpose of paying the Tax-Related Items.</w:t>
      </w:r>
    </w:p>
    <w:p>
      <w:pPr>
        <w:spacing w:after="0" w:line="188" w:lineRule="exact"/>
        <w:rPr>
          <w:sz w:val="20"/>
          <w:szCs w:val="20"/>
          <w:color w:val="auto"/>
        </w:rPr>
      </w:pPr>
    </w:p>
    <w:p>
      <w:pPr>
        <w:jc w:val="both"/>
        <w:ind w:firstLine="633"/>
        <w:spacing w:after="0" w:line="241" w:lineRule="auto"/>
        <w:rPr>
          <w:sz w:val="20"/>
          <w:szCs w:val="20"/>
          <w:color w:val="auto"/>
        </w:rPr>
      </w:pPr>
      <w:r>
        <w:rPr>
          <w:rFonts w:ascii="Arial" w:cs="Arial" w:eastAsia="Arial" w:hAnsi="Arial"/>
          <w:sz w:val="16"/>
          <w:szCs w:val="16"/>
          <w:color w:val="auto"/>
        </w:rPr>
        <w:t>The Participant further agrees to pay to the Company or the Employer, any amount of Tax-Related Items that the Company or the Employer may be required to withhold or account for as a result of the Participant’s participation in the Plan that cannot be satisfied by the means previously described. The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Company may refuse to issue or deliver the shares of Common Stock or the proceeds from the sale of shares if the Participant fails to comply with the Participant’s obligations in connection with the Tax-Related Items.</w:t>
      </w:r>
    </w:p>
    <w:p>
      <w:pPr>
        <w:spacing w:after="0" w:line="15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3. Nature of Grant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PSUs and any shares of Common Stock, the Participant agrees that:</w:t>
      </w:r>
    </w:p>
    <w:p>
      <w:pPr>
        <w:spacing w:after="0" w:line="175" w:lineRule="exact"/>
        <w:rPr>
          <w:sz w:val="20"/>
          <w:szCs w:val="20"/>
          <w:color w:val="auto"/>
        </w:rPr>
      </w:pPr>
    </w:p>
    <w:p>
      <w:pPr>
        <w:ind w:left="640" w:firstLine="632"/>
        <w:spacing w:after="0" w:line="228" w:lineRule="auto"/>
        <w:tabs>
          <w:tab w:leader="none" w:pos="15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87" w:lineRule="exact"/>
        <w:rPr>
          <w:rFonts w:ascii="Arial" w:cs="Arial" w:eastAsia="Arial" w:hAnsi="Arial"/>
          <w:sz w:val="18"/>
          <w:szCs w:val="18"/>
          <w:color w:val="auto"/>
        </w:rPr>
      </w:pPr>
    </w:p>
    <w:p>
      <w:pPr>
        <w:ind w:left="640" w:firstLine="632"/>
        <w:spacing w:after="0" w:line="262" w:lineRule="auto"/>
        <w:tabs>
          <w:tab w:leader="none" w:pos="15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grant of the PSUs is exceptional, voluntary and occasional and does not create any contractual or other right to receive future grants of PSUs, or benefits in lieu of PSUs, even if PSUs have been granted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65" w:lineRule="exact"/>
        <w:rPr>
          <w:sz w:val="20"/>
          <w:szCs w:val="20"/>
          <w:color w:val="auto"/>
        </w:rPr>
      </w:pPr>
    </w:p>
    <w:p>
      <w:pPr>
        <w:ind w:left="1520" w:hanging="248"/>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decisions with respect to future PSUs or other grants, if any, will be at the sole discretion of the Company;</w:t>
      </w:r>
    </w:p>
    <w:p>
      <w:pPr>
        <w:spacing w:after="0" w:line="241" w:lineRule="exact"/>
        <w:rPr>
          <w:rFonts w:ascii="Arial" w:cs="Arial" w:eastAsia="Arial" w:hAnsi="Arial"/>
          <w:sz w:val="18"/>
          <w:szCs w:val="18"/>
          <w:color w:val="auto"/>
        </w:rPr>
      </w:pPr>
    </w:p>
    <w:p>
      <w:pPr>
        <w:ind w:left="1520" w:hanging="248"/>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41" w:lineRule="exact"/>
        <w:rPr>
          <w:rFonts w:ascii="Arial" w:cs="Arial" w:eastAsia="Arial" w:hAnsi="Arial"/>
          <w:sz w:val="18"/>
          <w:szCs w:val="18"/>
          <w:color w:val="auto"/>
        </w:rPr>
      </w:pPr>
    </w:p>
    <w:p>
      <w:pPr>
        <w:ind w:left="640" w:firstLine="632"/>
        <w:spacing w:after="0" w:line="262" w:lineRule="auto"/>
        <w:tabs>
          <w:tab w:leader="none" w:pos="15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intended to replace any pension rights or compensation;</w:t>
      </w:r>
    </w:p>
    <w:p>
      <w:pPr>
        <w:spacing w:after="0" w:line="207" w:lineRule="exact"/>
        <w:rPr>
          <w:rFonts w:ascii="Arial" w:cs="Arial" w:eastAsia="Arial" w:hAnsi="Arial"/>
          <w:sz w:val="18"/>
          <w:szCs w:val="18"/>
          <w:color w:val="auto"/>
        </w:rPr>
      </w:pPr>
    </w:p>
    <w:p>
      <w:pPr>
        <w:jc w:val="both"/>
        <w:ind w:left="640" w:firstLine="632"/>
        <w:spacing w:after="0" w:line="249" w:lineRule="auto"/>
        <w:tabs>
          <w:tab w:leader="none" w:pos="15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Company or the Employer or any Subsidiary;</w:t>
      </w:r>
    </w:p>
    <w:p>
      <w:pPr>
        <w:spacing w:after="0" w:line="218" w:lineRule="exact"/>
        <w:rPr>
          <w:rFonts w:ascii="Arial" w:cs="Arial" w:eastAsia="Arial" w:hAnsi="Arial"/>
          <w:sz w:val="18"/>
          <w:szCs w:val="18"/>
          <w:color w:val="auto"/>
        </w:rPr>
      </w:pPr>
    </w:p>
    <w:p>
      <w:pPr>
        <w:ind w:left="1520" w:hanging="248"/>
        <w:spacing w:after="0"/>
        <w:tabs>
          <w:tab w:leader="none" w:pos="1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PSUs is unknown, indeterminable, and cannot be predicted with certainty;</w:t>
      </w:r>
    </w:p>
    <w:p>
      <w:pPr>
        <w:spacing w:after="0" w:line="264" w:lineRule="exact"/>
        <w:rPr>
          <w:rFonts w:ascii="Arial" w:cs="Arial" w:eastAsia="Arial" w:hAnsi="Arial"/>
          <w:sz w:val="16"/>
          <w:szCs w:val="16"/>
          <w:color w:val="auto"/>
        </w:rPr>
      </w:pPr>
    </w:p>
    <w:p>
      <w:pPr>
        <w:ind w:left="640" w:firstLine="632"/>
        <w:spacing w:after="0" w:line="325" w:lineRule="auto"/>
        <w:tabs>
          <w:tab w:leader="none" w:pos="1522"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unless otherwise agreed with the Company, the PSUs and the shares of Common Stock acquired under the Plan, and the income and value of same, are not granted as consideration for, or in connection with, the service the Participant may provide as a director of any Subsidiary;</w:t>
      </w:r>
    </w:p>
    <w:p>
      <w:pPr>
        <w:spacing w:after="0" w:line="161" w:lineRule="exact"/>
        <w:rPr>
          <w:rFonts w:ascii="Arial" w:cs="Arial" w:eastAsia="Arial" w:hAnsi="Arial"/>
          <w:sz w:val="16"/>
          <w:szCs w:val="16"/>
          <w:color w:val="auto"/>
        </w:rPr>
      </w:pPr>
    </w:p>
    <w:p>
      <w:pPr>
        <w:jc w:val="both"/>
        <w:ind w:left="640" w:firstLine="632"/>
        <w:spacing w:after="0" w:line="292" w:lineRule="auto"/>
        <w:tabs>
          <w:tab w:leader="none" w:pos="1518"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PSUs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 or from the application of any clawback or recoupment policy adopted by the Company or imposed by applicable law;</w:t>
      </w:r>
    </w:p>
    <w:p>
      <w:pPr>
        <w:spacing w:after="0" w:line="186" w:lineRule="exact"/>
        <w:rPr>
          <w:rFonts w:ascii="Arial" w:cs="Arial" w:eastAsia="Arial" w:hAnsi="Arial"/>
          <w:sz w:val="16"/>
          <w:szCs w:val="16"/>
          <w:color w:val="auto"/>
        </w:rPr>
      </w:pPr>
    </w:p>
    <w:p>
      <w:pPr>
        <w:jc w:val="both"/>
        <w:ind w:left="640" w:firstLine="632"/>
        <w:spacing w:after="0" w:line="253" w:lineRule="auto"/>
        <w:tabs>
          <w:tab w:leader="none" w:pos="14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PSUs and the benefits evidenced by the Award Document do not create any entitlement to have the PSUs or any such benefits transferred to, or assumed by, another company nor to be exchanged, cashed out or substituted for, in connection with any corporate transaction affecting the shares; and</w:t>
      </w:r>
    </w:p>
    <w:p>
      <w:pPr>
        <w:spacing w:after="0" w:line="215" w:lineRule="exact"/>
        <w:rPr>
          <w:rFonts w:ascii="Arial" w:cs="Arial" w:eastAsia="Arial" w:hAnsi="Arial"/>
          <w:sz w:val="18"/>
          <w:szCs w:val="18"/>
          <w:color w:val="auto"/>
        </w:rPr>
      </w:pPr>
    </w:p>
    <w:p>
      <w:pPr>
        <w:jc w:val="both"/>
        <w:ind w:left="640" w:firstLine="632"/>
        <w:spacing w:after="0" w:line="253" w:lineRule="auto"/>
        <w:tabs>
          <w:tab w:leader="none" w:pos="15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the Company, the Employer nor any Subsidiary shall be liable for any foreign exchange rate fluctuation between the Participant’s local currency and the U.S. dollar that may affect the value of the PSUs or of any amounts due to the Participant pursuant to the vesting of the PSUs or the subsequent sale of any shares of Common Stock acquired upon vesting.</w:t>
      </w:r>
    </w:p>
    <w:p>
      <w:pPr>
        <w:spacing w:after="0" w:line="19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4. Data Privacy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By accepting the PSUs via the Company’s acceptance procedure, the Participant is declaring that he or she agrees with the data processing</w:t>
      </w:r>
    </w:p>
    <w:p>
      <w:pPr>
        <w:spacing w:after="0" w:line="2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75" w:lineRule="exact"/>
        <w:rPr>
          <w:sz w:val="20"/>
          <w:szCs w:val="20"/>
          <w:color w:val="auto"/>
        </w:rPr>
      </w:pPr>
    </w:p>
    <w:p>
      <w:pPr>
        <w:jc w:val="both"/>
        <w:ind w:left="640" w:firstLine="632"/>
        <w:spacing w:after="0" w:line="213" w:lineRule="auto"/>
        <w:tabs>
          <w:tab w:leader="none" w:pos="152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Declaration of Consent</w:t>
      </w:r>
      <w:r>
        <w:rPr>
          <w:rFonts w:ascii="Arial" w:cs="Arial" w:eastAsia="Arial" w:hAnsi="Arial"/>
          <w:sz w:val="18"/>
          <w:szCs w:val="18"/>
          <w:b w:val="1"/>
          <w:bCs w:val="1"/>
          <w:i w:val="1"/>
          <w:iCs w:val="1"/>
          <w:color w:val="auto"/>
        </w:rPr>
        <w:t>. The Participant understands that he or she needs to review the following information about the processing of the Participant’s personal data by or on behalf of the Company, the Employer and/or any Subsidiary as described in this Award Document and any other PSU grant materials (the “Personal Data”) and declare his or her consent. As regards the processing of the Participant’s Personal Data in connection with the Plan and this Award Document, the Participant understands that the Company is the controller of the Participant’s Personal Data.</w:t>
      </w:r>
    </w:p>
    <w:p>
      <w:pPr>
        <w:spacing w:after="0" w:line="163" w:lineRule="exact"/>
        <w:rPr>
          <w:rFonts w:ascii="Arial" w:cs="Arial" w:eastAsia="Arial" w:hAnsi="Arial"/>
          <w:sz w:val="18"/>
          <w:szCs w:val="18"/>
          <w:b w:val="1"/>
          <w:bCs w:val="1"/>
          <w:color w:val="auto"/>
        </w:rPr>
      </w:pPr>
    </w:p>
    <w:p>
      <w:pPr>
        <w:jc w:val="both"/>
        <w:ind w:left="640" w:firstLine="632"/>
        <w:spacing w:after="0" w:line="246" w:lineRule="auto"/>
        <w:tabs>
          <w:tab w:leader="none" w:pos="1936"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Processing and Legal Basis</w:t>
      </w:r>
      <w:r>
        <w:rPr>
          <w:rFonts w:ascii="Arial" w:cs="Arial" w:eastAsia="Arial" w:hAnsi="Arial"/>
          <w:sz w:val="16"/>
          <w:szCs w:val="16"/>
          <w:b w:val="1"/>
          <w:bCs w:val="1"/>
          <w:i w:val="1"/>
          <w:iCs w:val="1"/>
          <w:color w:val="auto"/>
        </w:rPr>
        <w:t>. The Company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57" w:lineRule="auto"/>
        <w:rPr>
          <w:sz w:val="20"/>
          <w:szCs w:val="20"/>
          <w:color w:val="auto"/>
        </w:rPr>
      </w:pPr>
      <w:r>
        <w:rPr>
          <w:rFonts w:ascii="Arial" w:cs="Arial" w:eastAsia="Arial" w:hAnsi="Arial"/>
          <w:sz w:val="15"/>
          <w:szCs w:val="15"/>
          <w:b w:val="1"/>
          <w:bCs w:val="1"/>
          <w:i w:val="1"/>
          <w:iCs w:val="1"/>
          <w:color w:val="auto"/>
        </w:rPr>
        <w:t>number), salary, nationality, job title, any shares of stock or directorships held in the Company or its Subsidiaries, details of all PSUs or any other entitlement to shares of stock or equivalent benefits awarded, canceled, exercised, vested, unvested or outstanding in the Participant’s favor.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basis for the processing of the Participant’s Personal Data will be the Participant’s consent.</w:t>
      </w:r>
    </w:p>
    <w:p>
      <w:pPr>
        <w:spacing w:after="0" w:line="161" w:lineRule="exact"/>
        <w:rPr>
          <w:sz w:val="20"/>
          <w:szCs w:val="20"/>
          <w:color w:val="auto"/>
        </w:rPr>
      </w:pPr>
    </w:p>
    <w:p>
      <w:pPr>
        <w:jc w:val="both"/>
        <w:ind w:firstLine="632"/>
        <w:spacing w:after="0" w:line="236" w:lineRule="auto"/>
        <w:tabs>
          <w:tab w:leader="none" w:pos="1237"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Stock Plan Administration Service Providers</w:t>
      </w:r>
      <w:r>
        <w:rPr>
          <w:rFonts w:ascii="Arial" w:cs="Arial" w:eastAsia="Arial" w:hAnsi="Arial"/>
          <w:sz w:val="16"/>
          <w:szCs w:val="16"/>
          <w:b w:val="1"/>
          <w:bCs w:val="1"/>
          <w:i w:val="1"/>
          <w:iCs w:val="1"/>
          <w:color w:val="auto"/>
        </w:rPr>
        <w:t>. The Participant understands that the Company transfers the Participant’s Personal Data, or parts thereof, to E*TRADE Financial Corporation Services, Inc. (and its affiliated companies), an independent service provider based in the United States or IBI Capital for Israeli employees, each of which assists the Company with the implementation, administration and management of the Plan. In the future, the Company may select a different service provider and share the Participant’s Personal Data with such different service provider that serves the Company in a similar manner. The Participant understands and acknowledges that the Company’s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74" w:lineRule="exact"/>
        <w:rPr>
          <w:rFonts w:ascii="Arial" w:cs="Arial" w:eastAsia="Arial" w:hAnsi="Arial"/>
          <w:sz w:val="16"/>
          <w:szCs w:val="16"/>
          <w:b w:val="1"/>
          <w:bCs w:val="1"/>
          <w:color w:val="auto"/>
        </w:rPr>
      </w:pPr>
    </w:p>
    <w:p>
      <w:pPr>
        <w:jc w:val="both"/>
        <w:ind w:firstLine="632"/>
        <w:spacing w:after="0" w:line="234" w:lineRule="auto"/>
        <w:tabs>
          <w:tab w:leader="none" w:pos="1441"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xml:space="preserve"> The Participant understands that the Company and, as of the date hereof, any third parties assisting in the implementation, administration and management of the Plan, such as the Company’s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Company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Company’s legal basis for the transfer of the Participant’s Personal Data is the Participant’s consent.</w:t>
      </w:r>
    </w:p>
    <w:p>
      <w:pPr>
        <w:spacing w:after="0" w:line="163" w:lineRule="exact"/>
        <w:rPr>
          <w:rFonts w:ascii="Arial" w:cs="Arial" w:eastAsia="Arial" w:hAnsi="Arial"/>
          <w:sz w:val="16"/>
          <w:szCs w:val="16"/>
          <w:b w:val="1"/>
          <w:bCs w:val="1"/>
          <w:color w:val="auto"/>
        </w:rPr>
      </w:pPr>
    </w:p>
    <w:p>
      <w:pPr>
        <w:jc w:val="both"/>
        <w:ind w:firstLine="632"/>
        <w:spacing w:after="0" w:line="217" w:lineRule="auto"/>
        <w:tabs>
          <w:tab w:leader="none" w:pos="134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Data Retention.</w:t>
      </w:r>
      <w:r>
        <w:rPr>
          <w:rFonts w:ascii="Arial" w:cs="Arial" w:eastAsia="Arial" w:hAnsi="Arial"/>
          <w:sz w:val="18"/>
          <w:szCs w:val="18"/>
          <w:b w:val="1"/>
          <w:bCs w:val="1"/>
          <w:i w:val="1"/>
          <w:iCs w:val="1"/>
          <w:color w:val="auto"/>
        </w:rPr>
        <w:t xml:space="preserve"> The Company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74" w:lineRule="exact"/>
        <w:rPr>
          <w:rFonts w:ascii="Arial" w:cs="Arial" w:eastAsia="Arial" w:hAnsi="Arial"/>
          <w:sz w:val="18"/>
          <w:szCs w:val="18"/>
          <w:b w:val="1"/>
          <w:bCs w:val="1"/>
          <w:color w:val="auto"/>
        </w:rPr>
      </w:pPr>
    </w:p>
    <w:p>
      <w:pPr>
        <w:jc w:val="both"/>
        <w:ind w:firstLine="632"/>
        <w:spacing w:after="0" w:line="267" w:lineRule="auto"/>
        <w:tabs>
          <w:tab w:leader="none" w:pos="1257"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Voluntariness and Consequences of Denial/Withdrawal of Consent</w:t>
      </w:r>
      <w:r>
        <w:rPr>
          <w:rFonts w:ascii="Arial" w:cs="Arial" w:eastAsia="Arial" w:hAnsi="Arial"/>
          <w:sz w:val="15"/>
          <w:szCs w:val="15"/>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Company would not be able to grant PSUs or other equity awards to the Participant or administer or maintain such awards.</w:t>
      </w:r>
    </w:p>
    <w:p>
      <w:pPr>
        <w:spacing w:after="0" w:line="142" w:lineRule="exact"/>
        <w:rPr>
          <w:rFonts w:ascii="Arial" w:cs="Arial" w:eastAsia="Arial" w:hAnsi="Arial"/>
          <w:sz w:val="15"/>
          <w:szCs w:val="15"/>
          <w:b w:val="1"/>
          <w:bCs w:val="1"/>
          <w:color w:val="auto"/>
        </w:rPr>
      </w:pPr>
    </w:p>
    <w:p>
      <w:pPr>
        <w:jc w:val="both"/>
        <w:ind w:firstLine="632"/>
        <w:spacing w:after="0" w:line="249" w:lineRule="auto"/>
        <w:tabs>
          <w:tab w:leader="none" w:pos="1458"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Company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Company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72" w:lineRule="exact"/>
        <w:rPr>
          <w:rFonts w:ascii="Arial" w:cs="Arial" w:eastAsia="Arial" w:hAnsi="Arial"/>
          <w:sz w:val="15"/>
          <w:szCs w:val="15"/>
          <w:b w:val="1"/>
          <w:bCs w:val="1"/>
          <w:color w:val="auto"/>
        </w:rPr>
      </w:pPr>
    </w:p>
    <w:p>
      <w:pPr>
        <w:jc w:val="both"/>
        <w:ind w:firstLine="632"/>
        <w:spacing w:after="0" w:line="273" w:lineRule="auto"/>
        <w:tabs>
          <w:tab w:leader="none" w:pos="1243"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Alternate Basis and Additional Consents.</w:t>
      </w:r>
      <w:r>
        <w:rPr>
          <w:rFonts w:ascii="Arial" w:cs="Arial" w:eastAsia="Arial" w:hAnsi="Arial"/>
          <w:sz w:val="15"/>
          <w:szCs w:val="15"/>
          <w:b w:val="1"/>
          <w:bCs w:val="1"/>
          <w:i w:val="1"/>
          <w:iCs w:val="1"/>
          <w:color w:val="auto"/>
        </w:rPr>
        <w:t xml:space="preserve"> Finally, the Participant understands that the Company may rely on a different basis for the processing or transfer of Personal Data in the future and/or request that the Participant provide another data privacy consent. If applicable, the Participant agrees that upon request of the Company or the Employer, the Participant will provide an executed acknowledgement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960" w:top="1354" w:right="339" w:bottom="1440" w:gutter="0" w:footer="0" w:header="0"/>
        </w:sectPr>
      </w:pPr>
    </w:p>
    <w:bookmarkStart w:id="69" w:name="page70"/>
    <w:bookmarkEnd w:id="69"/>
    <w:p>
      <w:pPr>
        <w:ind w:left="640"/>
        <w:spacing w:after="0" w:line="257" w:lineRule="auto"/>
        <w:rPr>
          <w:sz w:val="20"/>
          <w:szCs w:val="20"/>
          <w:color w:val="auto"/>
        </w:rPr>
      </w:pPr>
      <w:r>
        <w:rPr>
          <w:rFonts w:ascii="Arial" w:cs="Arial" w:eastAsia="Arial" w:hAnsi="Arial"/>
          <w:sz w:val="15"/>
          <w:szCs w:val="15"/>
          <w:b w:val="1"/>
          <w:bCs w:val="1"/>
          <w:i w:val="1"/>
          <w:iCs w:val="1"/>
          <w:color w:val="auto"/>
        </w:rPr>
        <w:t>data privacy consent form (or any other agreements or consents) that the Company and/or the Employer may deem necessary to obtain from the Participant for the purpose of administering the Participant’s participation in the Plan in compliance with the data privacy laws in the</w:t>
      </w:r>
    </w:p>
    <w:p>
      <w:pPr>
        <w:spacing w:after="0" w:line="1" w:lineRule="exact"/>
        <w:rPr>
          <w:sz w:val="20"/>
          <w:szCs w:val="20"/>
          <w:color w:val="auto"/>
        </w:rPr>
      </w:pPr>
    </w:p>
    <w:p>
      <w:pPr>
        <w:ind w:left="640"/>
        <w:spacing w:after="0" w:line="255" w:lineRule="auto"/>
        <w:rPr>
          <w:sz w:val="20"/>
          <w:szCs w:val="20"/>
          <w:color w:val="auto"/>
        </w:rPr>
      </w:pPr>
      <w:r>
        <w:rPr>
          <w:rFonts w:ascii="Arial" w:cs="Arial" w:eastAsia="Arial" w:hAnsi="Arial"/>
          <w:sz w:val="16"/>
          <w:szCs w:val="16"/>
          <w:b w:val="1"/>
          <w:bCs w:val="1"/>
          <w:i w:val="1"/>
          <w:iCs w:val="1"/>
          <w:color w:val="auto"/>
        </w:rPr>
        <w:t>Participant’s country, either now or in the future. The Participant understands and agrees that he or she will not be able to participate in the Plan if he or she fails to provide any such consent or agreement requested by the Company and/or the Employer.</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5. Electronic Delivery and Acceptance</w:t>
      </w:r>
    </w:p>
    <w:p>
      <w:pPr>
        <w:spacing w:after="0" w:line="19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Participant agrees that the Company may, in its sole discretion, decide to deliver by email or other electronic means any documents relating to the Plan or the PSUs. Further, the Participant agrees to receive such documents by electronic delivery and agrees to participate in the Plan through an on-line or electronic system established and maintained by the Company or by a third party designated by the Company.</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6. Insider Trading/Market Abuse Laws</w:t>
      </w:r>
    </w:p>
    <w:p>
      <w:pPr>
        <w:spacing w:after="0" w:line="18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Participant agrees to comply with the Company’s policy on insider trading (to the extent that it is applicable to the Participant). Depending on the Participant’s country or the designated broker's country or country where the Common Stock is listed, the Participant may be subject to insider trading</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restrictions and/or market abuse laws, which may affect the Participant’s ability to accept, acquire, sell, attempt to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the PSUs)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Company (as defined by the laws or regulations in the Participant’s country). Local insider trading laws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in addition to any restrictions that may be imposed under any applicable Company insider trading policy. The Participant is responsible for ensuring compliance with any applicable restrictions and should consult his or her personal legal advisor on this matter.</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7. Exchange Control, Tax and/or Foreign Asset/Account Reporting</w:t>
      </w:r>
    </w:p>
    <w:p>
      <w:pPr>
        <w:spacing w:after="0" w:line="19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PSUs or dividends paid on shares of Common Stock acquired under the Plan) in a brokerage/bank account or legal entity</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receipt. In addition, the Participant agrees to take any and all actions, and consent to any and all actions taken by the Company or the Employer as may be required to allow the Company or the Employer to comply with local laws, rules and regulations in the Participant's country of residence (and country of employment, if different). The Participant acknowledges that it is the Participant’s responsibility to be compliant with such regulations, and the Participant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should consult his or her personal legal advisor for any details.</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8. Language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acknowledges that he or she is sufficiently proficient in English, or has consulted with an advisor who is sufficiently proficient in English so as</w:t>
      </w:r>
    </w:p>
    <w:p>
      <w:pPr>
        <w:spacing w:after="0" w:line="1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to allow the Participant to understand the terms and conditions of this Award Document. Furthermore, if the Award Document or any other document related to the Plan has been translated into a language other than English and the meaning of the translated version is different than the English version, the English version will control, unless otherwise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54" w:right="339" w:bottom="1440" w:gutter="0" w:footer="0" w:header="0"/>
        </w:sectPr>
      </w:pPr>
    </w:p>
    <w:bookmarkStart w:id="70" w:name="page71"/>
    <w:bookmarkEnd w:id="7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96" w:lineRule="exact"/>
        <w:rPr>
          <w:sz w:val="20"/>
          <w:szCs w:val="20"/>
          <w:color w:val="auto"/>
        </w:rPr>
      </w:pPr>
    </w:p>
    <w:p>
      <w:pPr>
        <w:ind w:left="500" w:hanging="178"/>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2023</w:t>
      </w:r>
    </w:p>
    <w:p>
      <w:pPr>
        <w:sectPr>
          <w:pgSz w:w="11900" w:h="16838" w:orient="portrait"/>
          <w:cols w:equalWidth="0" w:num="1">
            <w:col w:w="11240"/>
          </w:cols>
          <w:pgMar w:left="320" w:top="873"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Wissam Jabre, certify that:</w:t>
      </w:r>
    </w:p>
    <w:p>
      <w:pPr>
        <w:spacing w:after="0" w:line="96" w:lineRule="exact"/>
        <w:rPr>
          <w:sz w:val="20"/>
          <w:szCs w:val="20"/>
          <w:color w:val="auto"/>
        </w:rPr>
      </w:pPr>
    </w:p>
    <w:p>
      <w:pPr>
        <w:ind w:left="500" w:hanging="178"/>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10160</wp:posOffset>
            </wp:positionV>
            <wp:extent cx="31324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0"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Wissam Jabre</w:t>
      </w:r>
    </w:p>
    <w:p>
      <w:pPr>
        <w:jc w:val="center"/>
        <w:ind w:left="624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2023</w:t>
      </w:r>
    </w:p>
    <w:p>
      <w:pPr>
        <w:sectPr>
          <w:pgSz w:w="11900" w:h="16838" w:orient="portrait"/>
          <w:cols w:equalWidth="0" w:num="1">
            <w:col w:w="11240"/>
          </w:cols>
          <w:pgMar w:left="320" w:top="873" w:right="339" w:bottom="1440" w:gutter="0" w:footer="0" w:header="0"/>
        </w:sectPr>
      </w:pPr>
    </w:p>
    <w:bookmarkStart w:id="73" w:name="page74"/>
    <w:bookmarkEnd w:id="73"/>
    <w:p>
      <w:pPr>
        <w:ind w:left="10340"/>
        <w:spacing w:after="0"/>
        <w:rPr>
          <w:sz w:val="20"/>
          <w:szCs w:val="20"/>
          <w:color w:val="auto"/>
        </w:rPr>
      </w:pPr>
      <w:r>
        <w:rPr>
          <w:rFonts w:ascii="Arial" w:cs="Arial" w:eastAsia="Arial" w:hAnsi="Arial"/>
          <w:sz w:val="16"/>
          <w:szCs w:val="16"/>
          <w:b w:val="1"/>
          <w:bCs w:val="1"/>
          <w:color w:val="auto"/>
        </w:rPr>
        <w:t>Exhibit 32.1</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320" w:firstLine="322"/>
        <w:spacing w:after="0" w:line="325" w:lineRule="auto"/>
        <w:tabs>
          <w:tab w:leader="none" w:pos="52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September 29, 2023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2023</w:t>
      </w:r>
    </w:p>
    <w:p>
      <w:pPr>
        <w:sectPr>
          <w:pgSz w:w="11900" w:h="16838" w:orient="portrait"/>
          <w:cols w:equalWidth="0" w:num="1">
            <w:col w:w="11240"/>
          </w:cols>
          <w:pgMar w:left="320" w:top="873" w:right="339" w:bottom="1440" w:gutter="0" w:footer="0" w:header="0"/>
        </w:sectPr>
      </w:pPr>
    </w:p>
    <w:bookmarkStart w:id="74" w:name="page75"/>
    <w:bookmarkEnd w:id="74"/>
    <w:p>
      <w:pPr>
        <w:ind w:left="10340"/>
        <w:spacing w:after="0"/>
        <w:rPr>
          <w:sz w:val="20"/>
          <w:szCs w:val="20"/>
          <w:color w:val="auto"/>
        </w:rPr>
      </w:pPr>
      <w:r>
        <w:rPr>
          <w:rFonts w:ascii="Arial" w:cs="Arial" w:eastAsia="Arial" w:hAnsi="Arial"/>
          <w:sz w:val="16"/>
          <w:szCs w:val="16"/>
          <w:b w:val="1"/>
          <w:bCs w:val="1"/>
          <w:color w:val="auto"/>
        </w:rPr>
        <w:t>Exhibit 32.2</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320" w:firstLine="322"/>
        <w:spacing w:after="0" w:line="325" w:lineRule="auto"/>
        <w:tabs>
          <w:tab w:leader="none" w:pos="5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September 29, 2023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4031615</wp:posOffset>
            </wp:positionH>
            <wp:positionV relativeFrom="paragraph">
              <wp:posOffset>10160</wp:posOffset>
            </wp:positionV>
            <wp:extent cx="30905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spacing w:after="0" w:line="10"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Wissam Jabre</w:t>
      </w:r>
    </w:p>
    <w:p>
      <w:pPr>
        <w:jc w:val="center"/>
        <w:ind w:left="630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30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2023</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lvl w:ilvl="1">
      <w:lvlJc w:val="left"/>
      <w:lvlText w:val="%2"/>
      <w:numFmt w:val="decimal"/>
      <w:start w:val="104"/>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2"/>
    </w:lvl>
    <w:lvl w:ilvl="1">
      <w:lvlJc w:val="left"/>
      <w:lvlText w:val="(%2)"/>
      <w:numFmt w:val="lowerLetter"/>
      <w:start w:val="1"/>
    </w:lvl>
  </w:abstractNum>
  <w:abstractNum w:abstractNumId="10">
    <w:nsid w:val="75A2A8D4"/>
    <w:multiLevelType w:val="hybridMultilevel"/>
    <w:lvl w:ilvl="0">
      <w:lvlJc w:val="left"/>
      <w:lvlText w:val="(%1)"/>
      <w:numFmt w:val="lowerLetter"/>
      <w:start w:val="2"/>
    </w:lvl>
  </w:abstractNum>
  <w:abstractNum w:abstractNumId="11">
    <w:nsid w:val="8EDBDAB"/>
    <w:multiLevelType w:val="hybridMultilevel"/>
    <w:lvl w:ilvl="0">
      <w:lvlJc w:val="left"/>
      <w:lvlText w:val="(%1)"/>
      <w:numFmt w:val="lowerRoman"/>
      <w:start w:val="1"/>
    </w:lvl>
  </w:abstractNum>
  <w:abstractNum w:abstractNumId="12">
    <w:nsid w:val="79838CB2"/>
    <w:multiLevelType w:val="hybridMultilevel"/>
    <w:lvl w:ilvl="0">
      <w:lvlJc w:val="left"/>
      <w:lvlText w:val="(%1)"/>
      <w:numFmt w:val="lowerLetter"/>
      <w:start w:val="3"/>
    </w:lvl>
  </w:abstractNum>
  <w:abstractNum w:abstractNumId="13">
    <w:nsid w:val="4353D0CD"/>
    <w:multiLevelType w:val="hybridMultilevel"/>
    <w:lvl w:ilvl="0">
      <w:lvlJc w:val="left"/>
      <w:lvlText w:val="(%1)"/>
      <w:numFmt w:val="lowerRoman"/>
      <w:start w:val="1"/>
    </w:lvl>
  </w:abstractNum>
  <w:abstractNum w:abstractNumId="14">
    <w:nsid w:val="B03E0C6"/>
    <w:multiLevelType w:val="hybridMultilevel"/>
    <w:lvl w:ilvl="0">
      <w:lvlJc w:val="left"/>
      <w:lvlText w:val="(%1)"/>
      <w:numFmt w:val="lowerLetter"/>
      <w:start w:val="4"/>
    </w:lvl>
  </w:abstractNum>
  <w:abstractNum w:abstractNumId="15">
    <w:nsid w:val="189A769B"/>
    <w:multiLevelType w:val="hybridMultilevel"/>
    <w:lvl w:ilvl="0">
      <w:lvlJc w:val="left"/>
      <w:lvlText w:val="(%1)"/>
      <w:numFmt w:val="lowerRoman"/>
      <w:start w:val="1"/>
    </w:lvl>
  </w:abstractNum>
  <w:abstractNum w:abstractNumId="16">
    <w:nsid w:val="54E49EB4"/>
    <w:multiLevelType w:val="hybridMultilevel"/>
    <w:lvl w:ilvl="0">
      <w:lvlJc w:val="left"/>
      <w:lvlText w:val="(%1)"/>
      <w:numFmt w:val="lowerLetter"/>
      <w:start w:val="5"/>
    </w:lvl>
  </w:abstractNum>
  <w:abstractNum w:abstractNumId="17">
    <w:nsid w:val="71F32454"/>
    <w:multiLevelType w:val="hybridMultilevel"/>
    <w:lvl w:ilvl="0">
      <w:lvlJc w:val="left"/>
      <w:lvlText w:val="%1"/>
      <w:numFmt w:val="decimal"/>
      <w:start w:val="1"/>
    </w:lvl>
    <w:lvl w:ilvl="1">
      <w:lvlJc w:val="left"/>
      <w:lvlText w:val="(%2)"/>
      <w:numFmt w:val="lowerLetter"/>
      <w:start w:val="6"/>
    </w:lvl>
  </w:abstractNum>
  <w:abstractNum w:abstractNumId="18">
    <w:nsid w:val="2CA88611"/>
    <w:multiLevelType w:val="hybridMultilevel"/>
    <w:lvl w:ilvl="0">
      <w:lvlJc w:val="left"/>
      <w:lvlText w:val="%1."/>
      <w:numFmt w:val="decimal"/>
      <w:start w:val="3"/>
    </w:lvl>
    <w:lvl w:ilvl="1">
      <w:lvlJc w:val="left"/>
      <w:lvlText w:val="(%2)"/>
      <w:numFmt w:val="lowerLetter"/>
      <w:start w:val="1"/>
    </w:lvl>
  </w:abstractNum>
  <w:abstractNum w:abstractNumId="19">
    <w:nsid w:val="836C40E"/>
    <w:multiLevelType w:val="hybridMultilevel"/>
    <w:lvl w:ilvl="0">
      <w:lvlJc w:val="left"/>
      <w:lvlText w:val="%1."/>
      <w:numFmt w:val="decimal"/>
      <w:start w:val="5"/>
    </w:lvl>
  </w:abstractNum>
  <w:abstractNum w:abstractNumId="20">
    <w:nsid w:val="2901D82"/>
    <w:multiLevelType w:val="hybridMultilevel"/>
    <w:lvl w:ilvl="0">
      <w:lvlJc w:val="left"/>
      <w:lvlText w:val="%1."/>
      <w:numFmt w:val="decimal"/>
      <w:start w:val="6"/>
    </w:lvl>
  </w:abstractNum>
  <w:abstractNum w:abstractNumId="21">
    <w:nsid w:val="3A95F874"/>
    <w:multiLevelType w:val="hybridMultilevel"/>
    <w:lvl w:ilvl="0">
      <w:lvlJc w:val="left"/>
      <w:lvlText w:val="%1."/>
      <w:numFmt w:val="decimal"/>
      <w:start w:val="7"/>
    </w:lvl>
  </w:abstractNum>
  <w:abstractNum w:abstractNumId="22">
    <w:nsid w:val="8138641"/>
    <w:multiLevelType w:val="hybridMultilevel"/>
    <w:lvl w:ilvl="0">
      <w:lvlJc w:val="left"/>
      <w:lvlText w:val="%1."/>
      <w:numFmt w:val="decimal"/>
      <w:start w:val="8"/>
    </w:lvl>
  </w:abstractNum>
  <w:abstractNum w:abstractNumId="23">
    <w:nsid w:val="1E7FF521"/>
    <w:multiLevelType w:val="hybridMultilevel"/>
    <w:lvl w:ilvl="0">
      <w:lvlJc w:val="left"/>
      <w:lvlText w:val="%1."/>
      <w:numFmt w:val="decimal"/>
      <w:start w:val="9"/>
    </w:lvl>
    <w:lvl w:ilvl="1">
      <w:lvlJc w:val="left"/>
      <w:lvlText w:val="(%2)"/>
      <w:numFmt w:val="lowerLetter"/>
      <w:start w:val="1"/>
    </w:lvl>
  </w:abstractNum>
  <w:abstractNum w:abstractNumId="24">
    <w:nsid w:val="7C3DBD3D"/>
    <w:multiLevelType w:val="hybridMultilevel"/>
    <w:lvl w:ilvl="0">
      <w:lvlJc w:val="left"/>
      <w:lvlText w:val="%1."/>
      <w:numFmt w:val="decimal"/>
      <w:start w:val="11"/>
    </w:lvl>
  </w:abstractNum>
  <w:abstractNum w:abstractNumId="25">
    <w:nsid w:val="737B8DDC"/>
    <w:multiLevelType w:val="hybridMultilevel"/>
    <w:lvl w:ilvl="0">
      <w:lvlJc w:val="left"/>
      <w:lvlText w:val="%1."/>
      <w:numFmt w:val="decimal"/>
      <w:start w:val="12"/>
    </w:lvl>
  </w:abstractNum>
  <w:abstractNum w:abstractNumId="26">
    <w:nsid w:val="6CEAF087"/>
    <w:multiLevelType w:val="hybridMultilevel"/>
    <w:lvl w:ilvl="0">
      <w:lvlJc w:val="left"/>
      <w:lvlText w:val="%1"/>
      <w:numFmt w:val="lowerLetter"/>
      <w:start w:val="1"/>
    </w:lvl>
    <w:lvl w:ilvl="1">
      <w:lvlJc w:val="left"/>
      <w:lvlText w:val="%2."/>
      <w:numFmt w:val="decimal"/>
      <w:start w:val="13"/>
    </w:lvl>
  </w:abstractNum>
  <w:abstractNum w:abstractNumId="27">
    <w:nsid w:val="22221A70"/>
    <w:multiLevelType w:val="hybridMultilevel"/>
    <w:lvl w:ilvl="0">
      <w:lvlJc w:val="left"/>
      <w:lvlText w:val="(%1)"/>
      <w:numFmt w:val="lowerLetter"/>
      <w:start w:val="1"/>
    </w:lvl>
    <w:lvl w:ilvl="1">
      <w:lvlJc w:val="left"/>
      <w:lvlText w:val="%2"/>
      <w:numFmt w:val="decimal"/>
      <w:start w:val="1"/>
    </w:lvl>
  </w:abstractNum>
  <w:abstractNum w:abstractNumId="28">
    <w:nsid w:val="4516DDE9"/>
    <w:multiLevelType w:val="hybridMultilevel"/>
    <w:lvl w:ilvl="0">
      <w:lvlJc w:val="left"/>
      <w:lvlText w:val="(%1)"/>
      <w:numFmt w:val="lowerLetter"/>
      <w:start w:val="4"/>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3"/>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07" Type="http://schemas.openxmlformats.org/officeDocument/2006/relationships/hyperlink" Target="http://www.sec.gov/Archives/edgar/data/106040/000095013706001502/a17011exv3w1.htm" TargetMode="External"/><Relationship Id="rId108" Type="http://schemas.openxmlformats.org/officeDocument/2006/relationships/hyperlink" Target="https://www.sec.gov/Archives/edgar/data/106040/000119312523020502/d425756dex31.htm" TargetMode="External"/><Relationship Id="rId109" Type="http://schemas.openxmlformats.org/officeDocument/2006/relationships/hyperlink" Target="https://www.sec.gov/Archives/edgar/data/106040/000119312521041457/d12820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2023-11-07T05:14:39Z</dcterms:created>
  <dcterms:modified xsi:type="dcterms:W3CDTF">2023-11-07T05:14:39Z</dcterms:modified>
</cp:coreProperties>
</file>