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June 30, 2017</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tbl>
      <w:tblPr>
        <w:tblLayout w:type="fixed"/>
        <w:tblInd w:w="1620" w:type="dxa"/>
        <w:tblCellMar>
          <w:top w:w="0" w:type="dxa"/>
          <w:left w:w="0" w:type="dxa"/>
          <w:bottom w:w="0" w:type="dxa"/>
          <w:right w:w="0" w:type="dxa"/>
        </w:tblCellMar>
      </w:tblPr>
      <w:tr>
        <w:trPr>
          <w:trHeight w:val="160"/>
        </w:trPr>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0" w:type="dxa"/>
            <w:vAlign w:val="bottom"/>
            <w:gridSpan w:val="3"/>
          </w:tcPr>
          <w:p>
            <w:pPr>
              <w:jc w:val="center"/>
              <w:ind w:right="2877"/>
              <w:spacing w:after="0"/>
              <w:rPr>
                <w:sz w:val="20"/>
                <w:szCs w:val="20"/>
                <w:color w:val="auto"/>
              </w:rPr>
            </w:pPr>
            <w:r>
              <w:rPr>
                <w:rFonts w:ascii="Arial" w:cs="Arial" w:eastAsia="Arial" w:hAnsi="Arial"/>
                <w:sz w:val="13"/>
                <w:szCs w:val="13"/>
                <w:i w:val="1"/>
                <w:iCs w:val="1"/>
                <w:color w:val="auto"/>
                <w:w w:val="88"/>
              </w:rPr>
              <w:t>(Exact Name of Registrant as Specified in Its Charter)</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1980" w:type="dxa"/>
            <w:vAlign w:val="bottom"/>
            <w:gridSpan w:val="3"/>
          </w:tcPr>
          <w:p>
            <w:pPr>
              <w:jc w:val="center"/>
              <w:ind w:right="559"/>
              <w:spacing w:after="0"/>
              <w:rPr>
                <w:sz w:val="20"/>
                <w:szCs w:val="20"/>
                <w:color w:val="auto"/>
              </w:rPr>
            </w:pPr>
            <w:r>
              <w:rPr>
                <w:rFonts w:ascii="Arial" w:cs="Arial" w:eastAsia="Arial" w:hAnsi="Arial"/>
                <w:sz w:val="16"/>
                <w:szCs w:val="16"/>
                <w:b w:val="1"/>
                <w:bCs w:val="1"/>
                <w:color w:val="auto"/>
                <w:w w:val="93"/>
              </w:rPr>
              <w:t>Delaware</w:t>
            </w:r>
          </w:p>
        </w:tc>
        <w:tc>
          <w:tcPr>
            <w:tcW w:w="6000" w:type="dxa"/>
            <w:vAlign w:val="bottom"/>
            <w:gridSpan w:val="3"/>
          </w:tcPr>
          <w:p>
            <w:pPr>
              <w:jc w:val="right"/>
              <w:ind w:right="1157"/>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(State or other jurisdiction of</w:t>
            </w:r>
          </w:p>
        </w:tc>
        <w:tc>
          <w:tcPr>
            <w:tcW w:w="3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Pr>
          <w:p>
            <w:pPr>
              <w:jc w:val="center"/>
              <w:ind w:right="897"/>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92"/>
              </w:rPr>
              <w:t>incorporation or organization)</w:t>
            </w:r>
          </w:p>
        </w:tc>
        <w:tc>
          <w:tcPr>
            <w:tcW w:w="3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40" w:type="dxa"/>
            <w:vAlign w:val="bottom"/>
          </w:tcPr>
          <w:p>
            <w:pPr>
              <w:jc w:val="center"/>
              <w:ind w:right="917"/>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5601 Great Oaks Parkway</w:t>
            </w:r>
          </w:p>
        </w:tc>
        <w:tc>
          <w:tcPr>
            <w:tcW w:w="6000" w:type="dxa"/>
            <w:vAlign w:val="bottom"/>
            <w:gridSpan w:val="3"/>
            <w:vMerge w:val="restart"/>
          </w:tcPr>
          <w:p>
            <w:pPr>
              <w:jc w:val="right"/>
              <w:ind w:right="1377"/>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980" w:type="dxa"/>
            <w:vAlign w:val="bottom"/>
            <w:gridSpan w:val="3"/>
          </w:tcPr>
          <w:p>
            <w:pPr>
              <w:jc w:val="center"/>
              <w:ind w:right="579"/>
              <w:spacing w:after="0"/>
              <w:rPr>
                <w:sz w:val="20"/>
                <w:szCs w:val="20"/>
                <w:color w:val="auto"/>
              </w:rPr>
            </w:pPr>
            <w:r>
              <w:rPr>
                <w:rFonts w:ascii="Arial" w:cs="Arial" w:eastAsia="Arial" w:hAnsi="Arial"/>
                <w:sz w:val="14"/>
                <w:szCs w:val="14"/>
                <w:b w:val="1"/>
                <w:bCs w:val="1"/>
                <w:color w:val="auto"/>
                <w:w w:val="92"/>
              </w:rPr>
              <w:t>San Jose, California</w:t>
            </w:r>
          </w:p>
        </w:tc>
        <w:tc>
          <w:tcPr>
            <w:tcW w:w="6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60" w:type="dxa"/>
            <w:vAlign w:val="bottom"/>
            <w:gridSpan w:val="4"/>
          </w:tcPr>
          <w:p>
            <w:pPr>
              <w:jc w:val="center"/>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3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tcPr>
          <w:p>
            <w:pPr>
              <w:jc w:val="center"/>
              <w:ind w:right="917"/>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7980" w:type="dxa"/>
            <w:vAlign w:val="bottom"/>
            <w:gridSpan w:val="6"/>
          </w:tcPr>
          <w:p>
            <w:pPr>
              <w:jc w:val="center"/>
              <w:ind w:right="897"/>
              <w:spacing w:after="0"/>
              <w:rPr>
                <w:sz w:val="20"/>
                <w:szCs w:val="20"/>
                <w:color w:val="auto"/>
              </w:rPr>
            </w:pPr>
            <w:r>
              <w:rPr>
                <w:rFonts w:ascii="Arial" w:cs="Arial" w:eastAsia="Arial" w:hAnsi="Arial"/>
                <w:sz w:val="16"/>
                <w:szCs w:val="16"/>
                <w:b w:val="1"/>
                <w:bCs w:val="1"/>
                <w:color w:val="auto"/>
                <w:w w:val="90"/>
              </w:rPr>
              <w:t>Registrant’s telephone number, including area code: (408) 717-6000</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tcBorders>
              <w:bottom w:val="single" w:sz="8" w:color="auto"/>
            </w:tcBorders>
            <w:gridSpan w:val="2"/>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gridSpan w:val="4"/>
          </w:tcPr>
          <w:p>
            <w:pPr>
              <w:jc w:val="center"/>
              <w:ind w:right="2177"/>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1980" w:type="dxa"/>
            <w:vAlign w:val="bottom"/>
            <w:gridSpan w:val="3"/>
          </w:tcPr>
          <w:p>
            <w:pPr>
              <w:jc w:val="center"/>
              <w:ind w:right="679"/>
              <w:spacing w:after="0"/>
              <w:rPr>
                <w:sz w:val="20"/>
                <w:szCs w:val="20"/>
                <w:color w:val="auto"/>
              </w:rPr>
            </w:pPr>
            <w:r>
              <w:rPr>
                <w:rFonts w:ascii="Arial" w:cs="Arial" w:eastAsia="Arial" w:hAnsi="Arial"/>
                <w:sz w:val="16"/>
                <w:szCs w:val="16"/>
                <w:b w:val="1"/>
                <w:bCs w:val="1"/>
                <w:color w:val="auto"/>
                <w:w w:val="88"/>
              </w:rPr>
              <w:t>Title of each class</w:t>
            </w:r>
          </w:p>
        </w:tc>
        <w:tc>
          <w:tcPr>
            <w:tcW w:w="6000" w:type="dxa"/>
            <w:vAlign w:val="bottom"/>
            <w:gridSpan w:val="3"/>
          </w:tcPr>
          <w:p>
            <w:pPr>
              <w:jc w:val="center"/>
              <w:ind w:left="2926"/>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560" w:type="dxa"/>
            <w:vAlign w:val="bottom"/>
            <w:gridSpan w:val="4"/>
          </w:tcPr>
          <w:p>
            <w:pPr>
              <w:jc w:val="center"/>
              <w:ind w:right="79"/>
              <w:spacing w:after="0"/>
              <w:rPr>
                <w:sz w:val="20"/>
                <w:szCs w:val="20"/>
                <w:color w:val="auto"/>
              </w:rPr>
            </w:pPr>
            <w:r>
              <w:rPr>
                <w:rFonts w:ascii="Arial" w:cs="Arial" w:eastAsia="Arial" w:hAnsi="Arial"/>
                <w:sz w:val="14"/>
                <w:szCs w:val="14"/>
                <w:color w:val="auto"/>
                <w:w w:val="91"/>
              </w:rPr>
              <w:t>Common Stock, $.01 Par Value Per Share</w:t>
            </w:r>
          </w:p>
        </w:tc>
        <w:tc>
          <w:tcPr>
            <w:tcW w:w="3000" w:type="dxa"/>
            <w:vAlign w:val="bottom"/>
          </w:tcPr>
          <w:p>
            <w:pPr>
              <w:spacing w:after="0"/>
              <w:rPr>
                <w:sz w:val="20"/>
                <w:szCs w:val="20"/>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4" w:lineRule="exact"/>
        <w:rPr>
          <w:sz w:val="24"/>
          <w:szCs w:val="24"/>
          <w:color w:val="auto"/>
        </w:rPr>
      </w:pPr>
    </w:p>
    <w:p>
      <w:pPr>
        <w:ind w:left="340" w:right="3100"/>
        <w:spacing w:after="0" w:line="2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26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27" w:lineRule="exact"/>
        <w:rPr>
          <w:sz w:val="24"/>
          <w:szCs w:val="24"/>
          <w:color w:val="auto"/>
        </w:rPr>
      </w:pPr>
    </w:p>
    <w:p>
      <w:pPr>
        <w:ind w:right="3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8" w:lineRule="exact"/>
        <w:rPr>
          <w:sz w:val="24"/>
          <w:szCs w:val="24"/>
          <w:color w:val="auto"/>
        </w:rPr>
      </w:pPr>
    </w:p>
    <w:p>
      <w:pPr>
        <w:ind w:left="500"/>
        <w:spacing w:after="0"/>
        <w:tabs>
          <w:tab w:leader="none" w:pos="2940" w:val="left"/>
          <w:tab w:leader="none" w:pos="5080" w:val="left"/>
          <w:tab w:leader="none" w:pos="7180" w:val="left"/>
          <w:tab w:leader="none" w:pos="94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Arial" w:cs="Arial" w:eastAsia="Arial" w:hAnsi="Arial"/>
          <w:sz w:val="13"/>
          <w:szCs w:val="13"/>
          <w:color w:val="auto"/>
        </w:rPr>
        <w:t>Emerging growth company</w:t>
      </w:r>
    </w:p>
    <w:p>
      <w:pPr>
        <w:spacing w:after="0" w:line="8" w:lineRule="exact"/>
        <w:rPr>
          <w:sz w:val="24"/>
          <w:szCs w:val="24"/>
          <w:color w:val="auto"/>
        </w:rPr>
      </w:pPr>
    </w:p>
    <w:p>
      <w:pPr>
        <w:ind w:left="1080"/>
        <w:spacing w:after="0" w:line="141" w:lineRule="exact"/>
        <w:tabs>
          <w:tab w:leader="none" w:pos="3340" w:val="left"/>
          <w:tab w:leader="none" w:pos="5620" w:val="left"/>
          <w:tab w:leader="none" w:pos="7900" w:val="left"/>
          <w:tab w:leader="none" w:pos="102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1"/>
          <w:szCs w:val="11"/>
          <w:i w:val="1"/>
          <w:iCs w:val="1"/>
          <w:color w:val="auto"/>
        </w:rPr>
        <w:t>(Do not check if a smaller reporting company)</w:t>
      </w:r>
    </w:p>
    <w:p>
      <w:pPr>
        <w:spacing w:after="0" w:line="175"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right="240" w:firstLine="324"/>
        <w:spacing w:after="0" w:line="27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December 30, 2016, the last business day of the registrant’s most recently completed second fiscal quarter, was $15.0 billion, based on the closing sale price as reported on the NASDAQ Global Select Market.</w:t>
      </w:r>
    </w:p>
    <w:p>
      <w:pPr>
        <w:spacing w:after="0" w:line="12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294,875,015 shares of common stock, par value $0.01 per share, outstanding as of the close of business on August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00"/>
          </w:cols>
          <w:pgMar w:left="240" w:top="517" w:right="259" w:bottom="0" w:gutter="0" w:footer="0" w:header="0"/>
          <w:type w:val="continuous"/>
        </w:sectPr>
      </w:pPr>
    </w:p>
    <w:bookmarkStart w:id="1" w:name="page2"/>
    <w:bookmarkEnd w:id="1"/>
    <w:p>
      <w:pPr>
        <w:jc w:val="both"/>
        <w:ind w:firstLine="324"/>
        <w:spacing w:after="0" w:line="257"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(the “Proxy Statement”) for the 2017 Annual Meeting of Stockholders, which will be filed with the Securities and Exchange Commission within 120 days after the end of the 2017 fiscal year. Except with respect to information specifically incorporated by reference in this Form 10-K, the Proxy Statement is not deemed to be filed as part hereof.</w:t>
      </w:r>
    </w:p>
    <w:p>
      <w:pPr>
        <w:sectPr>
          <w:pgSz w:w="11900" w:h="16838" w:orient="portrait"/>
          <w:cols w:equalWidth="0" w:num="1">
            <w:col w:w="11380"/>
          </w:cols>
          <w:pgMar w:left="240" w:top="283"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820" w:type="dxa"/>
            <w:vAlign w:val="bottom"/>
          </w:tcPr>
          <w:p>
            <w:pPr>
              <w:spacing w:after="0"/>
              <w:rPr>
                <w:sz w:val="22"/>
                <w:szCs w:val="22"/>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w w:val="99"/>
              </w:rPr>
              <w:t>WESTERN DIGITAL CORPORATION</w:t>
            </w:r>
          </w:p>
        </w:tc>
        <w:tc>
          <w:tcPr>
            <w:tcW w:w="1700" w:type="dxa"/>
            <w:vAlign w:val="bottom"/>
          </w:tcPr>
          <w:p>
            <w:pPr>
              <w:spacing w:after="0"/>
              <w:rPr>
                <w:sz w:val="22"/>
                <w:szCs w:val="22"/>
                <w:color w:val="auto"/>
              </w:rPr>
            </w:pPr>
          </w:p>
        </w:tc>
      </w:tr>
      <w:tr>
        <w:trPr>
          <w:trHeight w:val="281"/>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22"/>
                <w:szCs w:val="22"/>
                <w:b w:val="1"/>
                <w:bCs w:val="1"/>
                <w:color w:val="auto"/>
              </w:rPr>
              <w:t>INDEX</w:t>
            </w:r>
          </w:p>
        </w:tc>
        <w:tc>
          <w:tcPr>
            <w:tcW w:w="1700" w:type="dxa"/>
            <w:vAlign w:val="bottom"/>
          </w:tcPr>
          <w:p>
            <w:pPr>
              <w:spacing w:after="0"/>
              <w:rPr>
                <w:sz w:val="24"/>
                <w:szCs w:val="24"/>
                <w:color w:val="auto"/>
              </w:rPr>
            </w:pPr>
          </w:p>
        </w:tc>
      </w:tr>
      <w:tr>
        <w:trPr>
          <w:trHeight w:val="389"/>
        </w:trPr>
        <w:tc>
          <w:tcPr>
            <w:tcW w:w="8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PAGE NO.</w:t>
            </w:r>
          </w:p>
        </w:tc>
      </w:tr>
      <w:tr>
        <w:trPr>
          <w:trHeight w:val="230"/>
        </w:trPr>
        <w:tc>
          <w:tcPr>
            <w:tcW w:w="820" w:type="dxa"/>
            <w:vAlign w:val="bottom"/>
          </w:tcPr>
          <w:p>
            <w:pPr>
              <w:spacing w:after="0"/>
              <w:rPr>
                <w:sz w:val="19"/>
                <w:szCs w:val="19"/>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w w:val="98"/>
              </w:rPr>
              <w:t>PART I</w:t>
            </w:r>
          </w:p>
        </w:tc>
        <w:tc>
          <w:tcPr>
            <w:tcW w:w="1700" w:type="dxa"/>
            <w:vAlign w:val="bottom"/>
          </w:tcPr>
          <w:p>
            <w:pPr>
              <w:spacing w:after="0"/>
              <w:rPr>
                <w:sz w:val="19"/>
                <w:szCs w:val="19"/>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700" w:type="dxa"/>
            <w:vAlign w:val="bottom"/>
          </w:tcPr>
          <w:p>
            <w:pPr>
              <w:jc w:val="cente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1B.</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Unresolved Staff Comments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89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700" w:type="dxa"/>
            <w:vAlign w:val="bottom"/>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3.</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890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700" w:type="dxa"/>
            <w:vAlign w:val="bottom"/>
          </w:tcPr>
          <w:p>
            <w:pPr>
              <w:jc w:val="cente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789"/>
              <w:spacing w:after="0"/>
              <w:rPr>
                <w:sz w:val="20"/>
                <w:szCs w:val="20"/>
                <w:color w:val="auto"/>
              </w:rPr>
            </w:pPr>
            <w:r>
              <w:rPr>
                <w:rFonts w:ascii="Arial" w:cs="Arial" w:eastAsia="Arial" w:hAnsi="Arial"/>
                <w:sz w:val="18"/>
                <w:szCs w:val="18"/>
                <w:b w:val="1"/>
                <w:bCs w:val="1"/>
                <w:color w:val="auto"/>
              </w:rPr>
              <w:t>PART 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890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700" w:type="dxa"/>
            <w:vAlign w:val="bottom"/>
          </w:tcPr>
          <w:p>
            <w:pPr>
              <w:jc w:val="cente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7.</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Conditions and Results of Operations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7A.</w:t>
            </w:r>
          </w:p>
        </w:tc>
        <w:tc>
          <w:tcPr>
            <w:tcW w:w="89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700" w:type="dxa"/>
            <w:vAlign w:val="bottom"/>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8.</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w:t>
            </w:r>
          </w:p>
        </w:tc>
        <w:tc>
          <w:tcPr>
            <w:tcW w:w="89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700" w:type="dxa"/>
            <w:vAlign w:val="bottom"/>
          </w:tcPr>
          <w:p>
            <w:pPr>
              <w:jc w:val="center"/>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141</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9A.</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141</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9B.</w:t>
            </w:r>
          </w:p>
        </w:tc>
        <w:tc>
          <w:tcPr>
            <w:tcW w:w="89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700" w:type="dxa"/>
            <w:vAlign w:val="bottom"/>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392"/>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III</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10.</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Director, Executive Officers and Corporate Governance</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11.</w:t>
            </w:r>
          </w:p>
        </w:tc>
        <w:tc>
          <w:tcPr>
            <w:tcW w:w="890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700" w:type="dxa"/>
            <w:vAlign w:val="bottom"/>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12.</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13.</w:t>
            </w:r>
          </w:p>
        </w:tc>
        <w:tc>
          <w:tcPr>
            <w:tcW w:w="890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00" w:type="dxa"/>
            <w:vAlign w:val="bottom"/>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14.</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142</w:t>
              </w:r>
            </w:hyperlink>
          </w:p>
        </w:tc>
      </w:tr>
      <w:tr>
        <w:trPr>
          <w:trHeight w:val="365"/>
        </w:trPr>
        <w:tc>
          <w:tcPr>
            <w:tcW w:w="820" w:type="dxa"/>
            <w:vAlign w:val="bottom"/>
          </w:tcPr>
          <w:p>
            <w:pPr>
              <w:spacing w:after="0"/>
              <w:rPr>
                <w:sz w:val="24"/>
                <w:szCs w:val="24"/>
                <w:color w:val="auto"/>
              </w:rPr>
            </w:pPr>
          </w:p>
        </w:tc>
        <w:tc>
          <w:tcPr>
            <w:tcW w:w="8900" w:type="dxa"/>
            <w:vAlign w:val="bottom"/>
          </w:tcPr>
          <w:p>
            <w:pPr>
              <w:jc w:val="center"/>
              <w:ind w:left="809"/>
              <w:spacing w:after="0"/>
              <w:rPr>
                <w:sz w:val="20"/>
                <w:szCs w:val="20"/>
                <w:color w:val="auto"/>
              </w:rPr>
            </w:pPr>
            <w:r>
              <w:rPr>
                <w:rFonts w:ascii="Arial" w:cs="Arial" w:eastAsia="Arial" w:hAnsi="Arial"/>
                <w:sz w:val="18"/>
                <w:szCs w:val="18"/>
                <w:b w:val="1"/>
                <w:bCs w:val="1"/>
                <w:color w:val="auto"/>
              </w:rPr>
              <w:t>PART IV</w:t>
            </w:r>
          </w:p>
        </w:tc>
        <w:tc>
          <w:tcPr>
            <w:tcW w:w="170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15.</w:t>
            </w:r>
          </w:p>
        </w:tc>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143</w:t>
              </w:r>
            </w:hyperlink>
          </w:p>
        </w:tc>
      </w:tr>
      <w:tr>
        <w:trPr>
          <w:trHeight w:val="243"/>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16.</w:t>
            </w:r>
          </w:p>
        </w:tc>
        <w:tc>
          <w:tcPr>
            <w:tcW w:w="8900" w:type="dxa"/>
            <w:vAlign w:val="bottom"/>
          </w:tcPr>
          <w:p>
            <w:pPr>
              <w:ind w:left="140"/>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Summary</w:t>
            </w:r>
          </w:p>
        </w:tc>
        <w:tc>
          <w:tcPr>
            <w:tcW w:w="1700" w:type="dxa"/>
            <w:vAlign w:val="bottom"/>
          </w:tcPr>
          <w:p>
            <w:pPr>
              <w:jc w:val="cente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143</w:t>
              </w:r>
            </w:hyperlink>
          </w:p>
        </w:tc>
      </w:tr>
    </w:tbl>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jc w:val="both"/>
        <w:ind w:right="500" w:firstLine="324"/>
        <w:spacing w:after="0" w:line="221" w:lineRule="exact"/>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Western Digital, WD, the WD logo and SanDisk are registered trademarks or trademarks of Western Digital Corporation or its affiliates in the U.S.</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integration of, and anticipated benefits from, our acquisition of SanDisk Corporation;</w:t>
      </w:r>
    </w:p>
    <w:p>
      <w:pPr>
        <w:spacing w:after="0" w:line="23"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Toshiba;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growth of digital data and demand for digital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business strategy, our ability to execute that strategy and its intended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relationships with our customers, employees, suppliers and strategic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personal computer market and the emergence of new storage markets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amount and timing of charges and cash expenditures associated with our restructuring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 Item 1A of this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Western Digital Corporation (“Western Digital”) is a leading developer, manufacturer, and provider of data storage devices and solutions that address the evolving needs of the information technology (“IT”) industry and the infrastructure that enables the proliferation of data in virtually every other industry. Our broad portfolio of technology and products address the following key markets: Data Center Devices and Solutions; Client Devices; and Client Solutions. We also generate license and royalty revenue related to our intellectual property (“IP”) which is included in each of the three categories.</w:t>
      </w:r>
    </w:p>
    <w:p>
      <w:pPr>
        <w:spacing w:after="0" w:line="154"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a rich heritage of innovation and operational excellence, a wide range of IP assets and broad research and development (“R&amp;D”) capabilities. The growth and the value of data continues unabated which in turn is rapidly evolving the landscape of storage markets we serve. We estimate that on a worldwide basis, the rate at which data is stored will likely increase 400% by the year 2020. We are transforming ourselves to address this growth by providing the broadest range of storage technologies, deep product portfolio and global reach in the industry. Founded in 1970 in Santa Ana, California and now headquartered in San Jose, California, Western Digital has one of the technology industry’s most valuable patent portfolios with more than 14,000 patents awarded worldwide. Since 2009, we have been a Standard &amp; Poor’s 500 (“S&amp;P 500”) company.</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Built on decades of expertise in developing leading technology and components, we are enabling enterprises to collect virtually limitless data and helping cloud providers build more powerful, cost effective and efficient data centers. We have relationships with the full range of original equipment manufacturers (“OEM”) and data center customers currently addressing storage opportunities, such as storage subsystem suppliers, major server OEMs, Internet and social media infrastructure players, and personal computer (“PC”) and Mac™ OEMs. We have also built strong consumer brands by providing people with effective tools to manage fast-accumulating libraries of personal content. We market our products primarily under the HGST, SanDisk and WD brands, and our products are sold through distribution, retail and direct channels worldwide. We are a vertically integrated company with deep capabilities to transform disk drive and NAND-flash components into products and solutions in our broad portfolio. We operate a series of joint ventures in Yokkaichi, Japan, that provides us industry leading NAND-flash technology for use in our solid-state offerings </w:t>
      </w:r>
      <w:r>
        <w:rPr>
          <w:rFonts w:ascii="Arial" w:cs="Arial" w:eastAsia="Arial" w:hAnsi="Arial"/>
          <w:sz w:val="16"/>
          <w:szCs w:val="16"/>
          <w:b w:val="1"/>
          <w:bCs w:val="1"/>
          <w:color w:val="auto"/>
        </w:rPr>
        <w:t>(</w:t>
      </w:r>
      <w:r>
        <w:rPr>
          <w:rFonts w:ascii="Arial" w:cs="Arial" w:eastAsia="Arial" w:hAnsi="Arial"/>
          <w:sz w:val="16"/>
          <w:szCs w:val="16"/>
          <w:color w:val="auto"/>
        </w:rPr>
        <w:t>see “Ventures with Toshiba” Section below</w:t>
      </w:r>
      <w:r>
        <w:rPr>
          <w:rFonts w:ascii="Arial" w:cs="Arial" w:eastAsia="Arial" w:hAnsi="Arial"/>
          <w:sz w:val="16"/>
          <w:szCs w:val="16"/>
          <w:b w:val="1"/>
          <w:bCs w:val="1"/>
          <w:color w:val="auto"/>
        </w:rPr>
        <w:t>).</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believe we are well positioned to capitalize on the ongoing expansion in digital content generation and management. These trends are linked directly to commercial enterprises’ and consumers’ increasingly ubiquitous experience with data and the increasing value of that data. The continued growth of data and the value creation of this data are driving the need for the long-term retention of as much data as possible. The ways in which people and organizations are creating and using data are changing and that the amount of data considered useful to store is expanding. Increasingly, more and more digital content is being stored and managed in a cloud environment on both hard disk drives (“HDDs”) and solid state drives (“SSDs”), and we believe we are well positioned to continue to play a role in this transition. With a focus on innovation and user value creation, our goal is to grow through continued strong execution and with targeted investments in data center infrastructure, mobility and the cloud.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operate in the data storage and data management industry. Our devices and solutions are made using either rotating magnetic or NAND-flash technologies that together provide a broad range of reliability, performance, storage capacity and data retention capabilities to our customers. With increasing ability to capture and create meaning and value from data, we believe our customers view insights gained from data analytics as one of their most important assets. In a connected global marketplace, there is a proliferation in the methods by and the rates at which content is generated, consumed and stored by end users. When combined with fast global networks, these trends create tremendous need for cost effective, high-performance and/or high-capacity storage solutions in mobile, computing and consumer electronic devices, as well as in a wide range of storage systems, servers and data centers.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storage industry is increasingly utilizing tiered architectures with HDDs, SSDs and other NAND-flash storage devices to address an expanding set of uses and applications. The growth in computing complexity, cloud computing applications, connected mobile devices and Internet connected products in the world continues unabated, creating the need for greater volumes of digital content to be stored, which in turn, drives a proliferation of data storage form factors. In addition, we monitor the advantages, disadvantages and advances of the full array of storage technologies, and review these with our customers on an ongoing basis to ensure we are appropriately resourced to meet our customers’ storage needs. Storage solutions that hold large amounts of data are a key enabler of the trends seen in the evolution of a data driven economy, underpinned by the proliferation of digital content creation, consumption and monetization.</w:t>
      </w:r>
    </w:p>
    <w:p>
      <w:pPr>
        <w:spacing w:after="0" w:line="1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are a market and customer driven company, focused on growth, innovation and value creation for our customers, employees and shareholders. We develop deep and collaborative relationships with our customers with a goal of enabling their continued success, an approach that has made us a trusted advisor and market maker in our served markets. As our portfolio of storage solutions expands further, we believe our customer engagement approach is one of the key factors that will help us continue to achieve strong financial performance over the long term. We believe that our product platform is broad-based and compelling, and our unique competitive advantages with growth drivers will continue to provide us the opportunity to expand our value-creation model within an evolving, changing and growing storage ecosystem.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industry is highly competitive. We compete with manufacturers of HDDs and NAND-flash memory for client devices and solutions, and data center devices and solutions. The HDD market consists of three principal manufacturers: Seagate Technology plc, with its Maxtor and Samsung brands, Toshiba Corporation (“Toshiba”) and Western Digital, with our HGST and WD brands. In NAND-flash memory, we compete with a wide range of manufacturers, from numerous small startup companies to large multinational corporations, including captive NAND suppliers SK Hynix, Inc. (“SK Hynix”), Intel Corporation (“Intel”), Micron Technology, Inc., Samsung Electronics Co., Ltd. (“Samsung Electronics”) and Toshiba.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Our overall strategy is to leverage our innovation and execution capabilities to be an industry-leading and broad-based developer, manufacturer and provider of storage devices and solutions that support the evolving IT industry infrastructure that enables the unabated proliferation of data. We strive to successfully execute our strategy through the following foundational elements: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Focus on strategy and execution: </w:t>
      </w:r>
      <w:r>
        <w:rPr>
          <w:rFonts w:ascii="Arial" w:cs="Arial" w:eastAsia="Arial" w:hAnsi="Arial"/>
          <w:sz w:val="16"/>
          <w:szCs w:val="16"/>
          <w:color w:val="auto"/>
        </w:rPr>
        <w:t>We focus on both strategy and execution to deliver the best outcome for our customers, partners and employees;</w:t>
      </w:r>
    </w:p>
    <w:p>
      <w:pPr>
        <w:spacing w:after="0" w:line="248" w:lineRule="exact"/>
        <w:rPr>
          <w:rFonts w:ascii="Arial" w:cs="Arial" w:eastAsia="Arial" w:hAnsi="Arial"/>
          <w:sz w:val="16"/>
          <w:szCs w:val="16"/>
          <w:color w:val="auto"/>
        </w:rPr>
      </w:pPr>
    </w:p>
    <w:p>
      <w:pPr>
        <w:ind w:left="660" w:right="7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Optimize our core HDD business: </w:t>
      </w:r>
      <w:r>
        <w:rPr>
          <w:rFonts w:ascii="Arial" w:cs="Arial" w:eastAsia="Arial" w:hAnsi="Arial"/>
          <w:sz w:val="18"/>
          <w:szCs w:val="18"/>
          <w:color w:val="auto"/>
        </w:rPr>
        <w:t>We are focused on delivering the best value for our customers in data center and client markets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relentless focus on operational excellence and continued innovation;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Lead in NAND-flash memory and solutions: </w:t>
      </w:r>
      <w:r>
        <w:rPr>
          <w:rFonts w:ascii="Arial" w:cs="Arial" w:eastAsia="Arial" w:hAnsi="Arial"/>
          <w:sz w:val="18"/>
          <w:szCs w:val="18"/>
          <w:color w:val="auto"/>
        </w:rPr>
        <w:t>We strategically align our investments to focus on established profitable and growing markets,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 emerging markets such as “Internet of Things”, commonly referred to as “IoT”, to enable our future growth;</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Grow in higher value markets with a blend of HDD and NAND-flash technologies: </w:t>
      </w:r>
      <w:r>
        <w:rPr>
          <w:rFonts w:ascii="Arial" w:cs="Arial" w:eastAsia="Arial" w:hAnsi="Arial"/>
          <w:sz w:val="18"/>
          <w:szCs w:val="18"/>
          <w:color w:val="auto"/>
        </w:rPr>
        <w:t>We leverage our capabilities in firmware, software and systems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compelling storage solutions to our customers that offer the best combinations of performance, cost, power consumption, form factor, quality and reliability; and</w:t>
      </w:r>
    </w:p>
    <w:p>
      <w:pPr>
        <w:spacing w:after="0" w:line="18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Align our retail offerings and client solutions portfolio: </w:t>
      </w:r>
      <w:r>
        <w:rPr>
          <w:rFonts w:ascii="Arial" w:cs="Arial" w:eastAsia="Arial" w:hAnsi="Arial"/>
          <w:sz w:val="18"/>
          <w:szCs w:val="18"/>
          <w:color w:val="auto"/>
        </w:rPr>
        <w:t>We compete with the industry’s broadest portfolio of storage offerings for consumers in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channels we serve while creating new use cases for our solutions in emerging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strategy provides the following benefits, which distinguish us in the dynamic and competitive storage industry:</w:t>
      </w:r>
    </w:p>
    <w:p>
      <w:pPr>
        <w:spacing w:after="0" w:line="225" w:lineRule="exact"/>
        <w:rPr>
          <w:sz w:val="20"/>
          <w:szCs w:val="20"/>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enables scaling for efficiency and flexibility, allowing us to leverage our R&amp;D and capital expenditures to deliver storage solutions to multiple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in continued diversification of our storage solutions portfolio and entry into additional growing adjacent markets;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allows us to achieve strong financial performance, including healthy cash generation, thereby enabling allocation of capital to shareholders and strategic long-term investments in innovative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Storage Solutions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a broad line of data storage solutions to meet the evolving storage needs of end markets which include the following: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Data Center Devices and Solutions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Data Center Devices and Solutions consist of high-performance and high-capacity enterprise HDDs and enterprise SSDs, data center software and system solutions. Our nearline capacity helium hard drives provide the massive high capacity storage needs and low total cost of ownership benefits for the growing hyperscale data center market. Our high-performance enterprise class HDDs are optimized for performance applications providing a range of capacity and performance levels primarily for use in enterprise servers, supporting high volume on-line transactions, data analysis and other enterprise applications. Our data center solutions also include a wide range of high-capacity HDDs and drive configurations which provide enterprise class reliability at the lowest cost per gigabyte (“GB”) and are primarily for use in data storage systems, in tiered storage models and where data must be stored reliably for years. Our enterprise SSDs include high-performance NAND-flash SSDs and software solutions designed to improve the performance in various enterprise workload environments and encompass all major storage interface protocols. Our system solutions provide petabyte scalable capacity with high performance at compelling economics. We also provide higher value data storage platforms and systems to the market through our vertically integrated scale-out object storage active archive systems.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Devices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Client Devices consist of HDDs and SSDs for computing devices, such as desktop and notebook PCs, security surveillance systems, gaming consoles and set top boxes; NAND-flash embedded storage products for mobile phones, tablets, notebook PCs and other portable and wearable devices, automotive, IoT and connected home applications; and NAND-flash memory wafers. Our HDDs and SSDs are designed for use in devices requiring high performance, reliability and capacity with various attributes such as low cost per GB, quiet acoustics, low power consumption and protection against shocks. Our embedded storage include custom embedded solutions and iNAND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embedded flash products, such as our multi-chip package (“MCP”) solutions that combine NAND-flash and mobile dynamic random-access memory (“DRAM”) in an integrated package.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Client Solutions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Client Solutions consist of HDDs and SSDs embedded into external storage products and removable NAND-flash products which include cards, universal serial bus (“USB”) flash drives and wireless drives. Our external HDD storage products in both mobile and desktop form factors provide affordable, high quality, reliable storage for backup and capacity expansion that are designed to keep digital content secure. We offer client SSDs with a range of capacities and performance characteristics to address a broad spectrum of the client storage market. Our removable cards are designed primarily for use in consumer devices, such as mobile phones, tablets, imaging systems, still cameras, action video cameras and security surveillance systems. Our USB flash drives are used in the computing and consumer markets and are designed for high-performance and reliability. Our wireless drive products allow in-field back up of created content, as well as wireless streaming of high-definition movies, photos, music and documents to tablets, smartphones and PCs.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Rotating Magnetic Storage</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HDDs provide non-volatile data storage based on the recording of magnetic information on a rotating disk. We have successfully developed and commercialized HDDs that operate in an enclosed helium environment, instead of air, delivering industry leading HDD capacity and performance attributes. Our improvements in HDD capacity, which lower product costs over time, have been enabled largely through advancements in recording head and magnetic media technology. We develop and manufacture substantially all of the recording heads and magnetic media used in our hard drive products. We invest considerable resources in R&amp;D, manufacturing infrastructure and capital equipment for recording head and media technology, as well as in other aspects of the magnetic recording system such as HDD mechanics, controller and firmware technology, in order to secure our competitive position and cost structure.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Solid State Storage</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Solid state storage products provide non-volatile storage based on NAND-flash technology. We develop and manufacture solid state storage products in different form factors for a variety of different markets, including enterprise or cloud storage, client storage, automotive, mobile devices and removable memory devices.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solid state storage products utilize our captive NAND-flash technology which we develop and manufacture through our business ventures with Toshiba. We focus significant research, development and effort on developing highly reliable, high-performance, cost-effective NAND-flash technology. Over time, we have successfully developed and commercialized an increased number of bits per cell in an increasingly smaller form factor, further driving cost reductions.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2017, we achieved major milestones in NAND-flash technology. We have:</w:t>
      </w:r>
    </w:p>
    <w:p>
      <w:pPr>
        <w:spacing w:after="0" w:line="225" w:lineRule="exact"/>
        <w:rPr>
          <w:sz w:val="20"/>
          <w:szCs w:val="20"/>
          <w:color w:val="auto"/>
        </w:rPr>
      </w:pPr>
    </w:p>
    <w:p>
      <w:pPr>
        <w:ind w:left="660" w:right="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successfully introduced and commercialized 3-dimensional (“3D”) NAND technology, which we refer to as BiCS3, with 64 layers of vertical storage capability which features advances in high aspect ratio semiconductor processing. A key focus for us in BiCS3 is the use of X3 technology;</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developed and commercialized the world’s first 512-gigabit 64-layer 3D NAND chip based on our BiCS3 technology;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developed our next generation of 3D NAND, which we refer to as BiCS4, with 96 layers of vertical storage capability, which will be available in 3-bits-per-cell and 4-bits-per-cell architectures.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expect to develop and commercialize additional generations of 3D NAND technologies over the next several years while continuing to utilize our older technology for certain markets and applications.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are leveraging our expertise, resources and strategic investments in non-volatile memories to explore a wide spectrum of persistent memory and storage class memory technologies. We have also initiated, defined and developed standards to meet new market needs and to promote wide acceptance of flash storage standards through interoperability and ease-of-use.</w:t>
      </w:r>
    </w:p>
    <w:p>
      <w:pPr>
        <w:spacing w:after="0" w:line="181" w:lineRule="exact"/>
        <w:rPr>
          <w:sz w:val="20"/>
          <w:szCs w:val="20"/>
          <w:color w:val="auto"/>
        </w:rPr>
      </w:pPr>
    </w:p>
    <w:p>
      <w:pPr>
        <w:ind w:right="60" w:firstLine="324"/>
        <w:spacing w:after="0" w:line="220" w:lineRule="exact"/>
        <w:rPr>
          <w:sz w:val="20"/>
          <w:szCs w:val="20"/>
          <w:color w:val="auto"/>
        </w:rPr>
      </w:pPr>
      <w:r>
        <w:rPr>
          <w:rFonts w:ascii="Arial" w:cs="Arial" w:eastAsia="Arial" w:hAnsi="Arial"/>
          <w:sz w:val="17"/>
          <w:szCs w:val="17"/>
          <w:color w:val="auto"/>
        </w:rPr>
        <w:t xml:space="preserve">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 For a discussion of associated risks,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324"/>
        <w:spacing w:after="0" w:line="220" w:lineRule="exact"/>
        <w:rPr>
          <w:sz w:val="20"/>
          <w:szCs w:val="20"/>
          <w:color w:val="auto"/>
        </w:rPr>
      </w:pPr>
      <w:r>
        <w:rPr>
          <w:rFonts w:ascii="Arial" w:cs="Arial" w:eastAsia="Arial" w:hAnsi="Arial"/>
          <w:sz w:val="18"/>
          <w:szCs w:val="18"/>
          <w:color w:val="auto"/>
        </w:rPr>
        <w:t xml:space="preserve">We devote substantial resources to the development of new products and the improvement of existing products. We focus our engineering efforts on coordinating our product design and manufacturing processes to bring our products to market in a cost-effective and timely manner. R&amp;D expenses totaled $2.44 billion, $1.63 billion and $1.65 billion in 2017, 2016 and 2015, respectively.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Information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rely on a combination of patents, trademarks, copyright and trade secret laws, confidentiality procedures and licensing arrangements to protect our IP rights.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more than 14,000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spacing w:after="0" w:line="188" w:lineRule="exact"/>
        <w:rPr>
          <w:sz w:val="20"/>
          <w:szCs w:val="20"/>
          <w:color w:val="auto"/>
        </w:rPr>
      </w:pPr>
    </w:p>
    <w:p>
      <w:pPr>
        <w:ind w:right="220" w:firstLine="324"/>
        <w:spacing w:after="0" w:line="221" w:lineRule="exact"/>
        <w:rPr>
          <w:sz w:val="20"/>
          <w:szCs w:val="20"/>
          <w:color w:val="auto"/>
        </w:rPr>
      </w:pPr>
      <w:r>
        <w:rPr>
          <w:rFonts w:ascii="Arial" w:cs="Arial" w:eastAsia="Arial" w:hAnsi="Arial"/>
          <w:sz w:val="18"/>
          <w:szCs w:val="18"/>
          <w:color w:val="auto"/>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that we have significant know-how, unique product manufacturing processes, test and tooling, execution skills and human resources to continue to be successful and to grow our manufacturing operations as necessary. We strive to maintain manufacturing flexibility, high manufacturing yields, reliable products and high-quality components. The critical elements of our production of HDD and NAND-flash products are high-volume and utilization, low-cost assembly and testing, strict adherence to quality metrics and maintaining close relationships with our strategic component suppliers to access best-in-class technology and manufacturing capacity.</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HDD and NAND-flash product manufacturing are complex processes involving the production and assembly of precision components with narrow tolerances and rigorous testing. The assembly process occurs in a “clean room” environment that demands skill in process engineering and efficient space utilization to control the operating costs of this manufacturing environment. Our clean room manufacturing process consists of modular production units, each of which contains a number of work cells.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majority of our NAND-flash supply requirements for our NAND-flash products is obtained from our business ventures with Toshiba, which provide us with leading-edge, high-quality and low-cost NAND-flash memory wafers. This represents a captive supply and we are obligated to take our share of the output from these ventures or pay the fixed costs associated with that capacity. See “Ventures with Toshiba” below for additional information. While a majority of our flash memory supply utilized for our products is purchased from these ventures, from time-to-time, we also purchase flash memory from other NAND-flash manufacturers, which we refer to as non-captive. While we do not unilaterally control the operations of these ventures, we believe that our business venture relationship with Toshiba helps us to reduce the costs of producing our products, increases our ability to control the quality of our products and speeds delivery of our products to our customers. Our vertically integrated manufacturing operations for our NAND-flash products are concentrated in three locations, with our business ventures with Toshiba located in Yokkaichi, Japan, and our in-house assembly and test operations located in Shanghai, China and Penang, Malaysia.</w:t>
      </w:r>
    </w:p>
    <w:p>
      <w:pPr>
        <w:spacing w:after="0" w:line="197" w:lineRule="exact"/>
        <w:rPr>
          <w:sz w:val="20"/>
          <w:szCs w:val="20"/>
          <w:color w:val="auto"/>
        </w:rPr>
      </w:pPr>
    </w:p>
    <w:p>
      <w:pPr>
        <w:ind w:right="340" w:firstLine="324"/>
        <w:spacing w:after="0" w:line="223" w:lineRule="exact"/>
        <w:rPr>
          <w:sz w:val="20"/>
          <w:szCs w:val="20"/>
          <w:color w:val="auto"/>
        </w:rPr>
      </w:pPr>
      <w:r>
        <w:rPr>
          <w:rFonts w:ascii="Arial" w:cs="Arial" w:eastAsia="Arial" w:hAnsi="Arial"/>
          <w:sz w:val="18"/>
          <w:szCs w:val="18"/>
          <w:color w:val="auto"/>
        </w:rPr>
        <w:t xml:space="preserve">We also leverage the efficiencies of contract manufacturers when strategically advantageous.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Supplies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HDD primarily consists of recording heads, magnetic media and a printed circuit board assembly. We design and manufacture substantially all of the recording heads and magnetic media required for our products. As a result, we are more dependent upon our own development and execution efforts and less reliant on recording head and magnetic media technologies developed by other manufacturers. We depend on an external supply base for all remaining components and materials for use in our HDD product design and manufacturing.</w:t>
      </w:r>
    </w:p>
    <w:p>
      <w:pPr>
        <w:spacing w:after="0" w:line="18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NAND-flash product consists of NAND-flash memory and controllers. A majority of our NAND-flash memory is primarily supplied by our business ventures with Toshiba. Controllers are primarily designed in-house and manufactured by third-party foundries or acquired from third-party suppliers. We believe the use of our in-house assembly and test facilities, as well as contract manufacturers, provides flexibility and gives us access to increased production capacity. We have developed deep relationships with these vendors and Toshiba to establish continuous supply of NAND-flash memory and controllers.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540" w:firstLine="324"/>
        <w:spacing w:after="0" w:line="221" w:lineRule="exact"/>
        <w:rPr>
          <w:sz w:val="20"/>
          <w:szCs w:val="20"/>
          <w:color w:val="auto"/>
        </w:rPr>
      </w:pPr>
      <w:r>
        <w:rPr>
          <w:rFonts w:ascii="Arial" w:cs="Arial" w:eastAsia="Arial" w:hAnsi="Arial"/>
          <w:sz w:val="18"/>
          <w:szCs w:val="18"/>
          <w:color w:val="auto"/>
        </w:rPr>
        <w:t xml:space="preserve">We generally retain multiple suppliers for our component requirements but in some instances use sole or single sources for business or technology reasons. Currently, we believe that there are no major issues with component availability.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Ventures with Toshiba</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and Toshiba currently operate three business ventures in 300-millimeter NAND-flash manufacturing facilities in Yokkaichi, Japan, which provide us leading-edge, cost-competitive NAND-flash memory wafers for our end products. Through Flash Partners Ltd., Flash Alliance Ltd., and Flash Forward Ltd., which we collectively refer to as Flash Ventures, we and Toshiba collaborate in the development and manufacture of NAND-flash memory wafers using semiconductor manufacturing equipment owned or leased by each of the Flash Venture entities. We hold a 49.9% ownership position in each of the Flash Venture entities. Each Flash Venture entity purchases wafers from Toshiba at cost and then resells those wafers to us and Toshiba at cost plus a mark-up. We are obligated to purchase half of Flash Ventures’ NAND-flash memory wafer supply or pay for half of Flash Ventures’ fixed costs regardless of the output we choose to purchase. We are also obligated to fund 49.9% to 50% of Flash Ventures’ investments to the extent that Flash Ventures’ operating cash flow is insufficient to fund these investments. We and Toshiba also collaborate on certain R&amp;D activities in support of Flash Ventures.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agreements governing the operations of the Flash Venture entities also set out a framework for any investment by the joint venture partners in NAND manufacturing capacity. We have a facility agreement with Toshiba related to the construction and operation of Toshiba’s “New Fab 2” fabrication facility, which is primarily intended to provide additional clean room space to convert a significant portion of existing 2-dimensional (“2D”) NAND wafer capacity to 3D NAND. In addition, Toshiba has announced that it is investing in a new “Fab 6” fabrication facility in Yokkaichi, Japan. Similar to New Fab 2, the additional clean room space in Fab 6 is primarily intended to support the continued conversion of 2D NAND capacity to 3D NAND. Pursuant to our agreements governing Flash Ventures, which give us priority to participate in expansions and conversions of NAND manufacturing capacity, we intend to jointly invest in Fab 6 equipment with Toshiba and our board of directors has authorized investments for our share of initial Fab 6 equipment. We have been in discussions with Toshiba to come to mutually acceptable terms around our planned investment in Fab 6.</w:t>
      </w:r>
    </w:p>
    <w:p>
      <w:pPr>
        <w:spacing w:after="0" w:line="179"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 xml:space="preserve">Toshiba has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Lease financings guaranteed by both Toshiba and us are not currently available to Flash Ventures on favorable terms and we are pursuing alternative forms of financing to fund our share of investments, which might not continue to be accessible. Toshiba has also announced various efforts to stabilize its financial condition, including a possible sale of a majority or the entire stake in its memory business, which includes its interests in Flash Ventures. According to Toshiba, on April 1, 2017, it transferred its memory business, including its interests in Flash Ventures, to a newly formed affiliate as part of those efforts. We have asserted our consent rights under the terms of the Flash Ventures agreements with respect to transactions involving the transfer of Toshiba’s interests in Flash Ventures. See Part II, Item 8, Note 17,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are monitoring and evaluating other potential impacts of Toshiba’s financial condition and efforts to sell its memory business on Flash Ventures and, in turn, on our own memory business and financial condition.</w:t>
      </w:r>
    </w:p>
    <w:p>
      <w:pPr>
        <w:spacing w:after="0" w:line="20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For a discussion of risks associated with our business ventures with Toshiba,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8"/>
          <w:szCs w:val="18"/>
          <w:color w:val="auto"/>
        </w:rPr>
        <w:t xml:space="preserve">We maintain sales offices in selected parts of the world including the major geographies of the Americas, Asia Pacific, Europe and the Middle East. Our international sales, which include sales to foreign subsidiaries of U.S. companies but do not include sales to U.S. subsidiaries of foreign companies, represented 80%, 72% and 79% of our net revenue for 2017, 2016 and 2015, respectively. Sales to international customers are subject to certain risks not normally encountered in domestic operations, including exposure to tariffs and various trade regulations.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perform our marketing and advertising functions internally and through outside firms utilizing both consumer media and trade publications targeting various reseller and end-user categories. We also maintain customer relationships through direct communication and by providing information and support through our website. In accordance with standard storage industry practice, we provide distributors and retailers with limited price protection and programs under which we reimburse certain marketing expenditures. We also provide distributors, resellers and OEMs with other sales incentive programs. While these groups of customers make up our end markets, some of these customers cross into multiple groups. We define these customers as follows:</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Original Equipment Manufacturers. </w:t>
      </w:r>
      <w:r>
        <w:rPr>
          <w:rFonts w:ascii="Arial" w:cs="Arial" w:eastAsia="Arial" w:hAnsi="Arial"/>
          <w:sz w:val="18"/>
          <w:szCs w:val="18"/>
          <w:color w:val="auto"/>
        </w:rPr>
        <w:t>OEMs, including large-scale data center operators</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integrators and hyperscale customers who bundle, embed,</w:t>
      </w:r>
      <w:r>
        <w:rPr>
          <w:rFonts w:ascii="Arial" w:cs="Arial" w:eastAsia="Arial" w:hAnsi="Arial"/>
          <w:sz w:val="18"/>
          <w:szCs w:val="18"/>
          <w:i w:val="1"/>
          <w:iCs w:val="1"/>
          <w:color w:val="auto"/>
        </w:rPr>
        <w:t xml:space="preserve"> </w:t>
      </w:r>
      <w:r>
        <w:rPr>
          <w:rFonts w:ascii="Arial" w:cs="Arial" w:eastAsia="Arial" w:hAnsi="Arial"/>
          <w:sz w:val="18"/>
          <w:szCs w:val="18"/>
          <w:color w:val="auto"/>
        </w:rPr>
        <w:t>or integrate our storage solutions, purchase our products either directly or through a contract manufacturer such as an original design manufacturer (“ODM”) and assemble them into the devices they build. OEMs typically seek to qualify two or more providers for each generation of products and generally will purchase products from those vendors for the life of that product. Many of our OEM customers utilize just-in-time inventory management processes. As a result, for certain OEMs, we maintain a base stock of finished goods inventory in facilities located near or adjacent to the OEM’s operations. In addition, we sell directly to cloud infrastructure players as well as flash storage solutions to customers that offer our products under their own brand name in the retail market, which we also classify as OEMs.</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Distributors. </w:t>
      </w:r>
      <w:r>
        <w:rPr>
          <w:rFonts w:ascii="Arial" w:cs="Arial" w:eastAsia="Arial" w:hAnsi="Arial"/>
          <w:sz w:val="18"/>
          <w:szCs w:val="18"/>
          <w:color w:val="auto"/>
        </w:rPr>
        <w:t>We use a broad group of distributors to sell our products to non-direct customers such as small computer and consumer electronics (“CE”)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dealers, value-added resellers, systems integrators, online retailers and other resellers. Distributors generally enter into non-exclusive agreements with us for the purchase and redistribution of our products in specific territories.</w:t>
      </w:r>
    </w:p>
    <w:p>
      <w:pPr>
        <w:spacing w:after="0" w:line="18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sell our branded products directly to a select group of major retailers such as computer superstores, warehouse clubs, online retailers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 electronics stores, and authorize sales through distributors to smaller retailers. The retail channel complements our other sales channels while helping to build brand awareness for us and our products. We also sell our branded products through our websites.</w:t>
      </w:r>
    </w:p>
    <w:p>
      <w:pPr>
        <w:spacing w:after="0" w:line="166" w:lineRule="exact"/>
        <w:rPr>
          <w:sz w:val="20"/>
          <w:szCs w:val="20"/>
          <w:color w:val="auto"/>
        </w:rPr>
      </w:pPr>
    </w:p>
    <w:p>
      <w:pPr>
        <w:ind w:right="140" w:firstLine="324"/>
        <w:spacing w:after="0" w:line="219" w:lineRule="exact"/>
        <w:rPr>
          <w:sz w:val="20"/>
          <w:szCs w:val="20"/>
          <w:color w:val="auto"/>
        </w:rPr>
      </w:pPr>
      <w:r>
        <w:rPr>
          <w:rFonts w:ascii="Arial" w:cs="Arial" w:eastAsia="Arial" w:hAnsi="Arial"/>
          <w:sz w:val="18"/>
          <w:szCs w:val="18"/>
          <w:color w:val="auto"/>
        </w:rPr>
        <w:t xml:space="preserve">For both 2017 and 2016, no single customer accounted for 10% or more of our net revenue. For 2015, Hewlett-Packard Company accounted for 11% of our net revenue.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For additional information regarding revenue recognition, sales by geographic region and major customers, see Part II, Item 8, Note 1, </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Business Segment, Geographic Information and Concentration of Risk</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substantial portion of our orders are generally for shipments within 60 days of the placement of the order. Customers’ purchase orders may be canceled with relatively short notice to us, with little or no cost to the customer, or modified by customers to provide for delivery at a later date. In addition, for many of our OEMs utilizing just-in-time inventory, we do not generally require firm order commitments and instead, receive a periodic forecast of requirements. Therefore, backlog information as of the end of a particular period is not necessarily indicative of future levels of our revenue and profit and may not be comparable to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8"/>
          <w:szCs w:val="18"/>
          <w:color w:val="auto"/>
        </w:rPr>
        <w:t xml:space="preserve">We have historically experienced seasonal fluctuations in our business with higher levels of demand in the first and second quarters of our fiscal year as a result of increased customer spending. Seasonality can also be impacted by the growth in emerging markets and macroeconomic conditions. 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 xml:space="preserve">We generally warrant our newly manufactured products against defects in materials and workmanship from one to five years from the date of manufacture depending on the type of product, with a small number of products having a warranty ranging up to ten years or more.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are subject to a variety of U.S. and foreign laws and regulations in connection with our operations and relating to the protection of the environment, including those governing discharges of pollutants into the air and water, the management and disposal of hazardous substances and the clean-up of contaminated sites. Some of our operations require environmental permits and controls to prevent and reduce air and water pollution. These permits are subject to modification, renewal and revocation by issuing authorities. We believe that we have obtained or are in the process of obtaining all necessary environmental permits for our operations.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established environmental management systems and continually update our environmental policies and standard operating procedures for our operations worldwide. We believe that our operations are in material compliance with applicable environmental laws, regulations and permits. We budget for operating and capital costs on an ongoing basis to comply with environmental laws.</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properties have in some cases been operated for many years and may contain soil or groundwater contamination. In certain of our facilities we are undertaking voluntary monitoring of soil and groundwater. Based on available information, including our voluntary monitoring activities, we do not believe that we have a current affirmative legal obligation for any remedial action.</w:t>
      </w:r>
    </w:p>
    <w:p>
      <w:pPr>
        <w:spacing w:after="0" w:line="18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For a discussion of associated risks,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2017, we employed a total of approximately 68,000 employees worldwide, excluding temporary employees and contractors. Many of our employees are highly skilled and our continued success depends in part upon our ability to attract and retain such employees. Accordingly, we offer employee benefit programs that we believe are, in the aggregate, competitive with those offered by our competitors.</w:t>
      </w:r>
    </w:p>
    <w:p>
      <w:pPr>
        <w:spacing w:after="0" w:line="181" w:lineRule="exact"/>
        <w:rPr>
          <w:sz w:val="20"/>
          <w:szCs w:val="20"/>
          <w:color w:val="auto"/>
        </w:rPr>
      </w:pPr>
    </w:p>
    <w:p>
      <w:pPr>
        <w:ind w:right="160" w:firstLine="324"/>
        <w:spacing w:after="0" w:line="221" w:lineRule="exact"/>
        <w:rPr>
          <w:sz w:val="20"/>
          <w:szCs w:val="20"/>
          <w:color w:val="auto"/>
        </w:rPr>
      </w:pPr>
      <w:r>
        <w:rPr>
          <w:rFonts w:ascii="Arial" w:cs="Arial" w:eastAsia="Arial" w:hAnsi="Arial"/>
          <w:sz w:val="18"/>
          <w:szCs w:val="18"/>
          <w:color w:val="auto"/>
        </w:rPr>
        <w:t xml:space="preserve">While the substantial majority of our employees are not party to a collective bargaining agreement, a majority of our employees in Japan and China are subject to collective bargaining agreements. We consider our employee relations to be good. For a discussion of associated risks,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that corporate social responsibility is an essential factor for our overall success. This includes adopting ethical and sustainable practices to direct how we do business while keeping the interests of our stakeholders and the environment in mind.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strive to uphold the following principles: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treat all employees with dignity and respect;</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up processes and procedures intended to comply with applicable laws and regulations as well as our internal guidelines and uphold ethical standards;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policies and procedures intended to promote the idea that the quality of our products and services, consistency of production and employee well-being are predicated on a safe and healthy work environment;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policies and procedures intended to promote environmental responsibility as an integral part of our culture.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219" w:lineRule="exact"/>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i w:val="1"/>
          <w:iCs w:val="1"/>
          <w:color w:val="auto"/>
        </w:rPr>
        <w:t>www.wdc.com</w:t>
      </w:r>
      <w:r>
        <w:rPr>
          <w:rFonts w:ascii="Arial" w:cs="Arial" w:eastAsia="Arial" w:hAnsi="Arial"/>
          <w:sz w:val="16"/>
          <w:szCs w:val="16"/>
          <w:color w:val="auto"/>
        </w:rPr>
        <w:t>.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 xml:space="preserve">K and amendments to reports filed or furnished pursuant to Sections 13(a) and 15(d) of the Securities Exchange Act of 1934, as amended, are available on our website at </w:t>
      </w:r>
      <w:r>
        <w:rPr>
          <w:rFonts w:ascii="Arial" w:cs="Arial" w:eastAsia="Arial" w:hAnsi="Arial"/>
          <w:sz w:val="16"/>
          <w:szCs w:val="16"/>
          <w:i w:val="1"/>
          <w:iCs w:val="1"/>
          <w:color w:val="auto"/>
        </w:rPr>
        <w:t>www.wdc.com</w:t>
      </w:r>
      <w:r>
        <w:rPr>
          <w:rFonts w:ascii="Arial" w:cs="Arial" w:eastAsia="Arial" w:hAnsi="Arial"/>
          <w:sz w:val="16"/>
          <w:szCs w:val="16"/>
          <w:color w:val="auto"/>
        </w:rPr>
        <w:t>, free of charge, as soon as reasonably practicable after the electronic filing of these reports with, or furnishing of these reports to, the Securities and Exchange Commission (“SEC”). Any materials we file with the SEC are available at the SEC’s Public Reference Room at 100 F Street NE, Washington, DC 20549. Additional information about the operation of the Public Reference Room can also be obtained by calling the SEC at</w:t>
      </w:r>
    </w:p>
    <w:p>
      <w:pPr>
        <w:spacing w:after="0" w:line="2" w:lineRule="exact"/>
        <w:rPr>
          <w:sz w:val="20"/>
          <w:szCs w:val="20"/>
          <w:color w:val="auto"/>
        </w:rPr>
      </w:pPr>
    </w:p>
    <w:p>
      <w:pPr>
        <w:ind w:right="380"/>
        <w:spacing w:after="0" w:line="216"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SEC</w:t>
      </w:r>
      <w:r>
        <w:rPr>
          <w:rFonts w:ascii="MS PGothic" w:cs="MS PGothic" w:eastAsia="MS PGothic" w:hAnsi="MS PGothic"/>
          <w:sz w:val="18"/>
          <w:szCs w:val="18"/>
          <w:color w:val="auto"/>
        </w:rPr>
        <w:t>‑</w:t>
      </w:r>
      <w:r>
        <w:rPr>
          <w:rFonts w:ascii="Arial" w:cs="Arial" w:eastAsia="Arial" w:hAnsi="Arial"/>
          <w:sz w:val="18"/>
          <w:szCs w:val="18"/>
          <w:color w:val="auto"/>
        </w:rPr>
        <w:t xml:space="preserve">0330.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2016 referendum by British voters to exit the European Union, commonly referred to as “Brexit,” and changes to policies, rules and regulations which may be proposed or implemented by the U.S. President and his administration. Some of the risks and uncertainties we face as a result of these conditions include the following:</w:t>
      </w:r>
    </w:p>
    <w:p>
      <w:pPr>
        <w:spacing w:after="0" w:line="189" w:lineRule="exact"/>
        <w:rPr>
          <w:sz w:val="20"/>
          <w:szCs w:val="20"/>
          <w:color w:val="auto"/>
        </w:rPr>
      </w:pPr>
    </w:p>
    <w:p>
      <w:pPr>
        <w:ind w:left="660" w:right="2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64"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18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seek to mitigate our credit risk from time to time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4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93"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our business ventures with Toshiba for the supply of NAND-flash memory, which subjects us to risks and uncertainties that could harm our business, financial condition and operating results.</w:t>
      </w:r>
    </w:p>
    <w:p>
      <w:pPr>
        <w:spacing w:after="0" w:line="170"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We are dependent on our ventures with Toshiba to develop and manufacture NAND-flash memory products for our NAND-flash memory supply, and therefore our business, financial condition and operating results, and our ability to realize the anticipated benefits from our acquisition of SanDisk Corporation (“SanDisk”), pursuant to an Agreement and Plan of Merger (the “Merger”), will be dependent on the success of Flash Ventures.</w:t>
      </w:r>
    </w:p>
    <w:p>
      <w:pPr>
        <w:spacing w:after="0" w:line="1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 majority of our NAND-flash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we partner with Toshiba on the development of NAND-flash technology, including the next technology transitions of NAND-flash, as well as other non-volatile memory technology in support of Flash Ventures.</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These ventures are subject to various risks that could harm the value of our investments, our revenue and costs, our future rate of spending, our technology plans and our future growth opportunities. Under the terms of our venture agreements with Toshiba, which govern the operations of Flash Ventures, we have limited power to unilaterally direct most of the activities that most significantly impact Flash Ventures’ performance. The integration of SanDisk into our organization could complicate the process of reaching agreement with Toshiba in a timely and favorable manner. We may not always agree with Toshiba on our joint R&amp;D roadmap or expansions or conversions of production capacity. In addition, Toshiba’s financial position or shift in strategic priorities could adversely impact our business.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Flash Ventures requires significant investments by both Toshiba and us for technology transitions, including the transition to 3D NAND, and capacity expansions. In March 2016, Toshiba announced plans to construct a new wafer fab in Yokkaichi, Japan, to provide additional cleanroom space to support the continued conversion of 2D NAND capacity to 3D NAND, and we intend to participate in that wafer fab. Although we have had discussions to extend the joint venture partnership with Toshiba to the new wafer fab, there is no certainty as to when, and on what terms, we will participate with Toshiba in any investment in equipment for the new wafer fab, if at all. Failure to extend the joint venture partnership or failure to continue to secure and invest in additional cleanroom space to support the continued 3D NAND transition could adversely impact our supply of captive NAND-flash memory and financial results. If Toshiba does not or we do not provide sufficient resources or have adequate access to credit, investments in Flash Ventures could be delayed or reduced. In addition, in the event that lease financings for Flash Ventures are not available on favorable terms or at all, more cash would be required to fund these investments.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Toshiba has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Lease financings guaranteed by both Toshiba and us are not currently available to Flash Ventures on favorable terms and we are pursuing alternative forms of financing to fund our share of investments, which might not continue to be accessible. Toshiba has also announced various efforts to stabilize its financial condition, including a possible sale of a majority or the entire stake in its memory business. According to Toshiba, on April 1, 2017, it transferred its memory business, including its interests in Flash Ventures, to a newly formed affiliate as part of those efforts. On May 14, 2017, several of our SanDisk subsidiaries filed a request for arbitration with the ICC International Court of Arbitration seeking an order requiring Toshiba to unwind the transfer to its affiliate, and injunctive relief preventing Toshiba from further breaching the Flash Ventures agreements (copies of which are incorporated by reference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by transferring its interests in Flash Ventures without SanDisk’s consent. Numerous proceedings and actions related to Flash Ventures and our consent and other rights under the terms of the Flash Ventures agreements followed and are ongoing. Please see Part II, Item 8, Note 17,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a further description of these proceedings and actions. While we have asserted our consent rights under the terms of the Flash Ventures agreements with respect to transactions involving the transfer of Toshiba’s interests in Flash Ventures, our request for arbitration, legal proceedings, other potential litigation, a change in the management or control of Flash Ventures or of Toshiba’s memory business could lead to delays in decision-making, disputes, or changes in strategic direction that could adversely impact Flash Ventures, and therefore adversely affect our business prospects, results of operations and financial condition.</w:t>
      </w:r>
    </w:p>
    <w:p>
      <w:pPr>
        <w:spacing w:after="0" w:line="21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If a third party acquires any of Toshiba’s interests in Flash Ventures, that third party might not have the same interest that we do in protecting and growing Flash Ventures’ business and might have conflicts of interest between itself and Flash Ventures or us. Reduced investment in manufacturing capacity or research and development, or other misalignment between us and our partner or any third party acquirer on strategic direction, could impact Flash Ventures’ ability to stay at the forefront of technological advancement. Flash Ventures’ competitiveness could also be harmed by a mishandling or misuse of IP or other competitively sensitive confidential information regarding Flash Ventures, such as its technology roadmap, business or investment plans, by any acquirer or other third party that might gain access to such information during the bidding process.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failure by Toshiba to successfully stabilize its financial condition could lead to insolvency or bankruptcy proceedings, which could result in Flash Ventures and related agreements being terminated early or modified unfavorably for us. We are monitoring and evaluating other potential impacts of Toshiba’s financial condition and efforts to sell its memory business on Flash Ventures and, in turn, on our own memory business and financial condition. The deterioration of our partner’s financial condition could adversely affect the value of our investments in Flash Ventures and our business prospects, results of operations and financial condition.</w:t>
      </w:r>
    </w:p>
    <w:p>
      <w:pPr>
        <w:spacing w:after="0" w:line="188"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Integrating SanDisk’s operations with ours may be more difficult, costly or time consuming than expected and the anticipated benefits, synergies and cost savings of the Merger may not be realized.</w:t>
      </w:r>
    </w:p>
    <w:p>
      <w:pPr>
        <w:spacing w:after="0" w:line="17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success of our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9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coordinating and integrating independent R&amp;D and engineering teams across technologies and product platforms to enhance product development while reducing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transitioning to 3D NAND and future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obligations that we have to counterparties of SanDisk that arose as a result of the change in control of SanDisk;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25"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81"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Merger, we substantially increased our indebtedness, which could adversely affect our ability to fulfill our obligations and have a negative impact on our financing options and liquidity position. As of June 30, 2017, our total indebtedness was $13.36 billion in aggregate principal, and we had $1.00 billion of additional borrowing availability under our revolving credit facility.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4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their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8"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NAND-flash memory is influenced by, among other factors, the balance between supply and demand, including the effects of new fab capacity in the industry, macroeconomic factors, business conditions, technology transitions, conversion of industry DRAM capacity to NAND, conversion of 2D NAND capacity to 3D NAND or other actions taken by us or our competitors. The price of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significant sales seasonality and cyclicality, which could cause our operating results to fluctuate.</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178"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b w:val="1"/>
          <w:bCs w:val="1"/>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7" w:lineRule="exact"/>
        <w:rPr>
          <w:sz w:val="20"/>
          <w:szCs w:val="20"/>
          <w:color w:val="auto"/>
        </w:rPr>
      </w:pPr>
    </w:p>
    <w:p>
      <w:pPr>
        <w:ind w:left="660" w:right="2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77" w:lineRule="exact"/>
        <w:rPr>
          <w:rFonts w:ascii="Arial" w:cs="Arial" w:eastAsia="Arial" w:hAnsi="Arial"/>
          <w:sz w:val="17"/>
          <w:szCs w:val="17"/>
          <w:color w:val="auto"/>
        </w:rPr>
      </w:pPr>
    </w:p>
    <w:p>
      <w:pPr>
        <w:ind w:left="660" w:right="20" w:hanging="328"/>
        <w:spacing w:after="0" w:line="29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66"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8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IoT or big data, could harm our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Deterioration in the PC market may continue or accelerate, which could cause our operating results to suffer.</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83"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During 2017, 36%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HDDs, SSDs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178"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develop NAND-flash memory as well as other non-volatile memory technology through our partnership with Toshiba;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or future competitors may gain a technology advantage or develop an advantageous cost structure that we cannot match.</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Consolidation within the data storage industry could provide competitive advantages to our competitors.</w:t>
      </w:r>
    </w:p>
    <w:p>
      <w:pPr>
        <w:spacing w:after="0" w:line="22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The data storage industry as a whole has experienced consolidation over the past several years through acquisitions, mergers and decisions by industry players to exit the industry. Further consolidation across the industry, including by our competitors who are vertically integrated with NAND-flash memory, may enhance their capacity, abilities and resources and lower their cost structure, causing us to be at a competitive disadvantage.</w:t>
      </w:r>
    </w:p>
    <w:p>
      <w:pPr>
        <w:spacing w:after="0" w:line="166" w:lineRule="exact"/>
        <w:rPr>
          <w:sz w:val="20"/>
          <w:szCs w:val="20"/>
          <w:color w:val="auto"/>
        </w:rPr>
      </w:pPr>
    </w:p>
    <w:p>
      <w:pPr>
        <w:jc w:val="both"/>
        <w:ind w:right="180" w:firstLine="162"/>
        <w:spacing w:after="0" w:line="277" w:lineRule="auto"/>
        <w:rPr>
          <w:sz w:val="20"/>
          <w:szCs w:val="20"/>
          <w:color w:val="auto"/>
        </w:rPr>
      </w:pPr>
      <w:r>
        <w:rPr>
          <w:rFonts w:ascii="Arial" w:cs="Arial" w:eastAsia="Arial" w:hAnsi="Arial"/>
          <w:sz w:val="18"/>
          <w:szCs w:val="18"/>
          <w:b w:val="1"/>
          <w:bCs w:val="1"/>
          <w:i w:val="1"/>
          <w:iCs w:val="1"/>
          <w:color w:val="auto"/>
        </w:rPr>
        <w:t>Some of our competitors with diversified business units outside of storage products, may, over extended periods of time, sell storage products at prices that we cannot profitably match.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qualify our products and achieve design wins with our customers, it may have a significant adverse impact on our sales and margins.</w:t>
      </w:r>
    </w:p>
    <w:p>
      <w:pPr>
        <w:spacing w:after="0" w:line="248"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169"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NAND-flash memory supply. In addition, in the first quarter of 2017, our joint venture with Unisplendour Corporation Limited (“Unis”) to market and sell our current data center storage systems in China and to develop data storage systems for the Chinese market in the future became operational; the joint venture is 49% owned by us and 51% owned by Unis and its subsidiary, Unissoft (Wuxi) Group Co. Ltd. Please see the risk factor entitled “</w:t>
      </w:r>
      <w:r>
        <w:rPr>
          <w:rFonts w:ascii="Arial" w:cs="Arial" w:eastAsia="Arial" w:hAnsi="Arial"/>
          <w:sz w:val="17"/>
          <w:szCs w:val="17"/>
          <w:i w:val="1"/>
          <w:iCs w:val="1"/>
          <w:color w:val="auto"/>
        </w:rPr>
        <w:t>Because we are dependent on a limited number</w:t>
      </w:r>
      <w:r>
        <w:rPr>
          <w:rFonts w:ascii="Arial" w:cs="Arial" w:eastAsia="Arial" w:hAnsi="Arial"/>
          <w:sz w:val="17"/>
          <w:szCs w:val="17"/>
          <w:color w:val="auto"/>
        </w:rPr>
        <w:t xml:space="preserve"> </w:t>
      </w:r>
      <w:r>
        <w:rPr>
          <w:rFonts w:ascii="Arial" w:cs="Arial" w:eastAsia="Arial" w:hAnsi="Arial"/>
          <w:sz w:val="17"/>
          <w:szCs w:val="17"/>
          <w:i w:val="1"/>
          <w:iCs w:val="1"/>
          <w:color w:val="auto"/>
        </w:rPr>
        <w:t>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7"/>
          <w:szCs w:val="17"/>
          <w:color w:val="auto"/>
        </w:rPr>
        <w:t>” for a further description of the risks associated with our reliance on external suppliers. These strategic relationships are subject 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1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Some of our suppliers may be competitors in other areas of our business, which could lead to difficulties in price negotiations or meeting our supply requirements. Any disruption in our supply chain could reduce our revenue and adversely impact our financial results.</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products require preamps,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166"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and we rely on our business ventures with Toshiba for the supply of NAND-flash memory. Please see the risk factors entitled, “</w:t>
      </w:r>
      <w:r>
        <w:rPr>
          <w:rFonts w:ascii="Arial" w:cs="Arial" w:eastAsia="Arial" w:hAnsi="Arial"/>
          <w:sz w:val="18"/>
          <w:szCs w:val="18"/>
          <w:i w:val="1"/>
          <w:iCs w:val="1"/>
          <w:color w:val="auto"/>
        </w:rPr>
        <w:t>The substitution or replacement of our technologies and products 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new technologies could make our products obsolete and harm our operating results,” “If we do not properly manage technology transitions, our competitiveness and operating results may be negatively affected,” </w:t>
      </w:r>
      <w:r>
        <w:rPr>
          <w:rFonts w:ascii="Arial" w:cs="Arial" w:eastAsia="Arial" w:hAnsi="Arial"/>
          <w:sz w:val="18"/>
          <w:szCs w:val="18"/>
          <w:color w:val="auto"/>
        </w:rPr>
        <w:t>and</w:t>
      </w:r>
      <w:r>
        <w:rPr>
          <w:rFonts w:ascii="Arial" w:cs="Arial" w:eastAsia="Arial" w:hAnsi="Arial"/>
          <w:sz w:val="18"/>
          <w:szCs w:val="18"/>
          <w:i w:val="1"/>
          <w:iCs w:val="1"/>
          <w:color w:val="auto"/>
        </w:rPr>
        <w:t xml:space="preserve"> “We rely substantially on our business ventures with Toshiba for the supply of NAND-flash memory, which subjects us to risks and uncertainties that could harm our business, financial condition and operating results” </w:t>
      </w:r>
      <w:r>
        <w:rPr>
          <w:rFonts w:ascii="Arial" w:cs="Arial" w:eastAsia="Arial" w:hAnsi="Arial"/>
          <w:sz w:val="18"/>
          <w:szCs w:val="18"/>
          <w:color w:val="auto"/>
        </w:rPr>
        <w:t>for a review of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risks related to these supplies.</w:t>
      </w:r>
    </w:p>
    <w:p>
      <w:pPr>
        <w:spacing w:after="0" w:line="19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may negatively impact our operating results.</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NAND-flash memory,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6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b w:val="1"/>
          <w:bCs w:val="1"/>
          <w:i w:val="1"/>
          <w:iCs w:val="1"/>
          <w:color w:val="auto"/>
        </w:rPr>
        <w:t>Contractual commitments with component suppliers may result in us paying increased charges and cash advances for such components or may cause us to have inadequate or excess component inventory.</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NAND-flash memory producers or may not fall commensurate with declines in the price of NAND-flash memory, which would harm revenues, our gross margin and operating results.</w:t>
      </w:r>
    </w:p>
    <w:p>
      <w:pPr>
        <w:spacing w:after="0" w:line="178"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w:t>
      </w:r>
    </w:p>
    <w:p>
      <w:pPr>
        <w:jc w:val="both"/>
        <w:ind w:right="300"/>
        <w:spacing w:after="0" w:line="277" w:lineRule="auto"/>
        <w:rPr>
          <w:sz w:val="20"/>
          <w:szCs w:val="20"/>
          <w:color w:val="auto"/>
        </w:rPr>
      </w:pPr>
      <w:r>
        <w:rPr>
          <w:rFonts w:ascii="Arial" w:cs="Arial" w:eastAsia="Arial" w:hAnsi="Arial"/>
          <w:sz w:val="17"/>
          <w:szCs w:val="17"/>
          <w:color w:val="auto"/>
        </w:rPr>
        <w:t>2D NAND to 3D NAND, could reduce the competitiveness and future revenue and profitability of our 2D NAND and 3D NAND-flash technologies. For additional technology transition risks related to 3D NAND, see “</w:t>
      </w:r>
      <w:r>
        <w:rPr>
          <w:rFonts w:ascii="Arial" w:cs="Arial" w:eastAsia="Arial" w:hAnsi="Arial"/>
          <w:sz w:val="17"/>
          <w:szCs w:val="17"/>
          <w:i w:val="1"/>
          <w:iCs w:val="1"/>
          <w:color w:val="auto"/>
        </w:rPr>
        <w:t>We rely substantially on our business ventures with Toshiba for the supply of NAND-flash</w:t>
      </w:r>
      <w:r>
        <w:rPr>
          <w:rFonts w:ascii="Arial" w:cs="Arial" w:eastAsia="Arial" w:hAnsi="Arial"/>
          <w:sz w:val="17"/>
          <w:szCs w:val="17"/>
          <w:color w:val="auto"/>
        </w:rPr>
        <w:t xml:space="preserve"> </w:t>
      </w:r>
      <w:r>
        <w:rPr>
          <w:rFonts w:ascii="Arial" w:cs="Arial" w:eastAsia="Arial" w:hAnsi="Arial"/>
          <w:sz w:val="17"/>
          <w:szCs w:val="17"/>
          <w:i w:val="1"/>
          <w:iCs w:val="1"/>
          <w:color w:val="auto"/>
        </w:rPr>
        <w:t>memory, which subjects us to risks and uncertainties that could harm our business, financial condition and operating results.</w:t>
      </w:r>
      <w:r>
        <w:rPr>
          <w:rFonts w:ascii="Arial" w:cs="Arial" w:eastAsia="Arial" w:hAnsi="Arial"/>
          <w:sz w:val="17"/>
          <w:szCs w:val="17"/>
          <w:color w:val="auto"/>
        </w:rPr>
        <w:t>”</w:t>
      </w:r>
    </w:p>
    <w:p>
      <w:pPr>
        <w:spacing w:after="0" w:line="17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product life cycles could adversely affect our financial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(“RAM”), resistive random-access memory (“ReRAM”) and phase change,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7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The difficulty of introducing hard drives with higher levels of areal density and the challenges of reducing other costs may impact our ability to achieve historical levels of cost reduction.</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NV in March 2015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right="8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restrictions or higher tariffs and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import and export restrictions and license and certification requirements, including on encryption technology, and complex customs regulations;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which may be proposed or implemented by the U.S. President and his administration.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125" w:right="3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Sudden disruptions to the availability of air transportation, or ocean or land freight lanes, could have an impact on our operations.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are unable to successfully integrate the business and operations of HGST, our business and financial condition may be adversely affected.</w:t>
      </w:r>
    </w:p>
    <w:p>
      <w:pPr>
        <w:spacing w:after="0" w:line="248" w:lineRule="exact"/>
        <w:rPr>
          <w:sz w:val="20"/>
          <w:szCs w:val="20"/>
          <w:color w:val="auto"/>
        </w:rPr>
      </w:pPr>
    </w:p>
    <w:p>
      <w:pPr>
        <w:jc w:val="both"/>
        <w:ind w:right="260" w:firstLine="324"/>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Western Digital Technologies, Inc. (“WDT”) subsidiaries may also increase the risk that our internal controls are found to be ineffective. Further, until we are able to begin combining our HGST and WD product brands and sales teams following the expiration of the MOFCOM restrictions on October 19, 2017,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 frames or cost expectations or at all.</w:t>
      </w:r>
    </w:p>
    <w:p>
      <w:pPr>
        <w:spacing w:after="0" w:line="183"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0"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(“EICC”), could cause an increase in our operating costs.</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EICC,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Conflict minerals regulations may cause us to incur additional expenses and could limit the supply and increase the cost of certain components and metals contained in our products.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As a result of these rules, we report annually regarding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22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most of which we and Toshiba each guarantee half of the total outstanding obligations and some of which we guarantee in full for our share of the Flash Ventures investment. As of June 30, 2017, the portion of outstanding Flash Ventures’ lease obligations covered by our guarantees totaled approximately $968 million, based upon the Japanese yen to U.S. dollar exchange rate at June 30, 2017.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could cause the market price for our common stock to decline.</w:t>
      </w:r>
    </w:p>
    <w:p>
      <w:pPr>
        <w:spacing w:after="0" w:line="24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NAND-flash memory from Flash Ventures and our investment in Flash Ventures are denominated in Japanese yen. If the Japanese yen appreciates against the U.S. dollar, our cost of purchasing NAND-flash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accruals for litigation and other contingencies;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liabilities for unrecognized tax benefits.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 substantial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internal controls are found to be ineffective, our stock price may be adversely affected.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most recent evaluation resulted in our conclusion that as of June 30, 2017,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188"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20" w:firstLine="324"/>
        <w:spacing w:after="0" w:line="218" w:lineRule="exact"/>
        <w:rPr>
          <w:sz w:val="20"/>
          <w:szCs w:val="20"/>
          <w:color w:val="auto"/>
        </w:rPr>
      </w:pPr>
      <w:r>
        <w:rPr>
          <w:rFonts w:ascii="Arial" w:cs="Arial" w:eastAsia="Arial" w:hAnsi="Arial"/>
          <w:sz w:val="16"/>
          <w:szCs w:val="16"/>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II, Item 8, Note 13, </w:t>
      </w:r>
      <w:r>
        <w:rPr>
          <w:rFonts w:ascii="Arial" w:cs="Arial" w:eastAsia="Arial" w:hAnsi="Arial"/>
          <w:sz w:val="16"/>
          <w:szCs w:val="16"/>
          <w:i w:val="1"/>
          <w:iCs w:val="1"/>
          <w:color w:val="auto"/>
        </w:rPr>
        <w:t>Income Tax Expense (Benefit)</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Tax laws are dynamic and subject to change as new laws and regulations are passed and new interpretations of the laws are issued or applied. While the former U.S. administration and members of Congress made public statements indicating that tax reform is a priority, and certain changes to the U.S. tax laws and regulations have been made and others proposed, additional changes may be proposed by the current U.S. administration or members of Congress and new U.S. tax laws and regulations may go into effect. 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principal executive offices are located in San Jose, California. Our leased facilities are occupied under leases that expire at various times through 2027. Our principal manufacturing, R&amp;D, marketing and administrative facilities as of June 30, 2017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Buildings Owned</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Approximate</w:t>
            </w:r>
          </w:p>
        </w:tc>
        <w:tc>
          <w:tcPr>
            <w:tcW w:w="61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or Leased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Square Footage</w:t>
            </w:r>
          </w:p>
        </w:tc>
        <w:tc>
          <w:tcPr>
            <w:tcW w:w="100" w:type="dxa"/>
            <w:vAlign w:val="bottom"/>
            <w:tcBorders>
              <w:bottom w:val="single" w:sz="8" w:color="CCEEFF"/>
            </w:tcBorders>
          </w:tcPr>
          <w:p>
            <w:pPr>
              <w:spacing w:after="0"/>
              <w:rPr>
                <w:sz w:val="16"/>
                <w:szCs w:val="16"/>
                <w:color w:val="auto"/>
              </w:rPr>
            </w:pPr>
          </w:p>
        </w:tc>
        <w:tc>
          <w:tcPr>
            <w:tcW w:w="6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color w:val="auto"/>
              </w:rPr>
              <w:t>California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Fremont</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head wafers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Irvine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490,000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administrative, marketing and sales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Milpitas</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marketing and sales, operations and administrative</w:t>
            </w:r>
          </w:p>
        </w:tc>
        <w:tc>
          <w:tcPr>
            <w:tcW w:w="0" w:type="dxa"/>
            <w:vAlign w:val="bottom"/>
          </w:tcPr>
          <w:p>
            <w:pPr>
              <w:spacing w:after="0"/>
              <w:rPr>
                <w:sz w:val="1"/>
                <w:szCs w:val="1"/>
                <w:color w:val="auto"/>
              </w:rPr>
            </w:pPr>
          </w:p>
        </w:tc>
      </w:tr>
      <w:tr>
        <w:trPr>
          <w:trHeight w:val="22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San Jose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2,887,000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w w:val="94"/>
              </w:rPr>
              <w:t>Manufacturing of head wafers, head, media and product development, R&amp;D, administrative,</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Colorado</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Longmont</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Minnesota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Rochester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118,000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China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Shanghai</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w:t>
            </w:r>
          </w:p>
        </w:tc>
        <w:tc>
          <w:tcPr>
            <w:tcW w:w="0" w:type="dxa"/>
            <w:vAlign w:val="bottom"/>
          </w:tcPr>
          <w:p>
            <w:pPr>
              <w:spacing w:after="0"/>
              <w:rPr>
                <w:sz w:val="1"/>
                <w:szCs w:val="1"/>
                <w:color w:val="auto"/>
              </w:rPr>
            </w:pPr>
          </w:p>
        </w:tc>
      </w:tr>
      <w:tr>
        <w:trPr>
          <w:trHeight w:val="22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Shenzhen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 and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548,000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media and administrative</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Japan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Fujisawa</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Malaysia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Johor</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271,000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substrates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Kuala Lumpur</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1,074,000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hard drives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Kuching</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285,000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and development of substrates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Penang</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and test, manufacturing of media and SSDs, and R&amp;D</w:t>
            </w: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Philippines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Laguna</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HGAs and slider fabrication</w:t>
            </w: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Singapore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Leased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324,000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and administrative</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Thailand</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Bang Pa-In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1,665,000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Slider fabrication, manufacturing of hard drives and HGAs, and R&amp;D</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Navanakorn</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of HGAs</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Prachinburi</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729,000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Manufacturing of hard drives</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India</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Bangalore</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240,000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marketing and administrative</w:t>
            </w: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Middle East</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40" w:type="dxa"/>
            <w:vAlign w:val="bottom"/>
            <w:gridSpan w:val="2"/>
          </w:tcPr>
          <w:p>
            <w:pPr>
              <w:ind w:left="380"/>
              <w:spacing w:after="0"/>
              <w:rPr>
                <w:sz w:val="20"/>
                <w:szCs w:val="20"/>
                <w:color w:val="auto"/>
              </w:rPr>
            </w:pPr>
            <w:r>
              <w:rPr>
                <w:rFonts w:ascii="Arial" w:cs="Arial" w:eastAsia="Arial" w:hAnsi="Arial"/>
                <w:sz w:val="16"/>
                <w:szCs w:val="16"/>
                <w:b w:val="1"/>
                <w:bCs w:val="1"/>
                <w:color w:val="auto"/>
              </w:rPr>
              <w:t>Israel</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Kfar Saba</w:t>
            </w: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167,000</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R&amp;D, marketing and administrative</w:t>
            </w:r>
          </w:p>
        </w:tc>
        <w:tc>
          <w:tcPr>
            <w:tcW w:w="0" w:type="dxa"/>
            <w:vAlign w:val="bottom"/>
          </w:tcPr>
          <w:p>
            <w:pPr>
              <w:spacing w:after="0"/>
              <w:rPr>
                <w:sz w:val="1"/>
                <w:szCs w:val="1"/>
                <w:color w:val="auto"/>
              </w:rPr>
            </w:pPr>
          </w:p>
        </w:tc>
      </w:tr>
      <w:tr>
        <w:trPr>
          <w:trHeight w:val="224"/>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Tefen</w:t>
            </w: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Owned</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64,000</w:t>
            </w:r>
          </w:p>
        </w:tc>
        <w:tc>
          <w:tcPr>
            <w:tcW w:w="10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Arial" w:cs="Arial" w:eastAsia="Arial" w:hAnsi="Arial"/>
                <w:sz w:val="16"/>
                <w:szCs w:val="16"/>
                <w:color w:val="auto"/>
              </w:rPr>
              <w:t>R&amp;D, marketing and administrative</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also lease office space in various other locations throughout the world primarily for R&amp;D, sales, operations, administration and technical support. We believe our present facilities are adequate for our current needs, although we upgrade our facilities from time to time to meet anticipated future technological and market requirements. In general, new manufacturing facilities can be developed and become operational within approximately nine to eighteen months should we require such additional facilities.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firstLine="324"/>
        <w:spacing w:after="0" w:line="223" w:lineRule="exact"/>
        <w:rPr>
          <w:sz w:val="20"/>
          <w:szCs w:val="20"/>
          <w:color w:val="auto"/>
        </w:rPr>
      </w:pPr>
      <w:r>
        <w:rPr>
          <w:rFonts w:ascii="Arial" w:cs="Arial" w:eastAsia="Arial" w:hAnsi="Arial"/>
          <w:sz w:val="18"/>
          <w:szCs w:val="18"/>
          <w:color w:val="auto"/>
        </w:rPr>
        <w:t xml:space="preserve">For a description of our legal proceedings, see Part II, Item 8, Note 17,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by reference in response to this item.</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“WDC.” The approximate number of holders of record of our common stock as of August 16, 2017 was 1,069.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high and low sales prices of our common stock as reported by NASDAQ for each quarter of 2017 and 2016 were as follows:</w:t>
      </w:r>
    </w:p>
    <w:p>
      <w:pPr>
        <w:spacing w:after="0" w:line="185" w:lineRule="exact"/>
        <w:rPr>
          <w:sz w:val="20"/>
          <w:szCs w:val="20"/>
          <w:color w:val="auto"/>
        </w:rPr>
      </w:pPr>
    </w:p>
    <w:p>
      <w:pPr>
        <w:ind w:left="40"/>
        <w:spacing w:after="0"/>
        <w:tabs>
          <w:tab w:leader="none" w:pos="8900" w:val="left"/>
          <w:tab w:leader="none" w:pos="10520" w:val="left"/>
        </w:tabs>
        <w:rPr>
          <w:sz w:val="20"/>
          <w:szCs w:val="20"/>
          <w:color w:val="auto"/>
        </w:rPr>
      </w:pPr>
      <w:r>
        <w:rPr>
          <w:rFonts w:ascii="Arial" w:cs="Arial" w:eastAsia="Arial" w:hAnsi="Arial"/>
          <w:sz w:val="16"/>
          <w:szCs w:val="16"/>
          <w:b w:val="1"/>
          <w:bCs w:val="1"/>
          <w:color w:val="auto"/>
        </w:rPr>
        <w:t>Quarter Ended</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30, 2016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$43.09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December 30,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$72.01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$52.10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March 31,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$84.28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$68.58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June 30,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$95.00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$80.51</w:t>
            </w:r>
          </w:p>
        </w:tc>
      </w:tr>
      <w:tr>
        <w:trPr>
          <w:trHeight w:val="588"/>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High</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Low</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October 2, 2015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$67.87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January 1,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$86.39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$57.94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April 1, 2016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$38.64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July 1,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$51.27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$34.99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repurchases by us of shares of our common stock during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September 13, 2012, we announced that our Board of Directors had authorized the adoption of a quarterly cash dividend policy. Under the cash dividend policy, holders of our common stock receive dividends when and as declared by our Board of Directors. In 2017, we declared aggregate cash dividends of $2.00 per share of our common stock, totaling $579 million. We may modify, suspend, or cancel our cash dividend policy in any manner and at any 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quarterly dividends our Board of Directors declared in the last two fiscal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20" w:type="dxa"/>
            <w:vAlign w:val="bottom"/>
          </w:tcPr>
          <w:p>
            <w:pPr>
              <w:spacing w:after="0"/>
              <w:rPr>
                <w:sz w:val="16"/>
                <w:szCs w:val="16"/>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Dividend Per Share</w:t>
            </w:r>
          </w:p>
        </w:tc>
      </w:tr>
      <w:tr>
        <w:trPr>
          <w:trHeight w:val="243"/>
        </w:trPr>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 2015</w:t>
            </w: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15, 2015</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1, 2016</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15, 2016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r>
      <w:tr>
        <w:trPr>
          <w:trHeight w:val="243"/>
        </w:trPr>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April 1, 2016</w:t>
            </w: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15,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1, 2016</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15, 2016</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r>
      <w:tr>
        <w:trPr>
          <w:trHeight w:val="243"/>
        </w:trPr>
        <w:tc>
          <w:tcPr>
            <w:tcW w:w="4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30, 2016</w:t>
            </w: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17, 2016</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30, 2016</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17,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r>
      <w:tr>
        <w:trPr>
          <w:trHeight w:val="243"/>
        </w:trPr>
        <w:tc>
          <w:tcPr>
            <w:tcW w:w="4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2017</w:t>
            </w: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17, 2017</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30, 2017</w:t>
            </w:r>
          </w:p>
        </w:tc>
        <w:tc>
          <w:tcPr>
            <w:tcW w:w="5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17, 2017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$0.50</w:t>
            </w:r>
          </w:p>
        </w:tc>
      </w:tr>
      <w:tr>
        <w:trPr>
          <w:trHeight w:val="45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jc w:val="right"/>
              <w:ind w:right="39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following graph compares the cumulative total stockholder return of our common stock with the cumulative total return of the S&amp;P 500 Index and the Dow Jones US Technology Hardware &amp; Equipment Index for the five years ended June 30, 2017. The graph assumes that $100 was invested in our common stock at the close of market on June 29, 2012 and that all dividends were reinvested. Stockholder returns over the indicated period should not be considered indicative of future stockholder returns.</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TOTAL RETURN TO STOCKHOLDERS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(Assumes $100 investment on June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5715</wp:posOffset>
            </wp:positionV>
            <wp:extent cx="4733925" cy="363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28,</w:t>
            </w: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w:t>
            </w: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4"/>
                <w:szCs w:val="14"/>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June 30,</w:t>
            </w:r>
          </w:p>
        </w:tc>
      </w:tr>
      <w:tr>
        <w:trPr>
          <w:trHeight w:val="192"/>
        </w:trPr>
        <w:tc>
          <w:tcPr>
            <w:tcW w:w="5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2017</w:t>
            </w:r>
          </w:p>
        </w:tc>
      </w:tr>
      <w:tr>
        <w:trPr>
          <w:trHeight w:val="23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Western Digital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208.29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316.45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280.92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167.36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326.27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120.60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150.32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162.54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168.23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197.92</w:t>
            </w: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Technology Hardware &amp; Equipment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96.91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137.92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144.23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203.76</w:t>
            </w:r>
          </w:p>
        </w:tc>
      </w:tr>
      <w:tr>
        <w:trPr>
          <w:trHeight w:val="33"/>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The stock performance graph shall not be deemed soliciting material or to be filed with the SEC or subject to Regulation 14A or 14C under the Securities Exchange Act of 1934 or to the liabilities of Section 18 of the Securities Exchange Act of 1934, nor shall it be incorporated by reference into any past or future filing under the Securities Act of 1933 or the Securities Exchange Act of 1934, except to the extent we specifically request that it be treated as soliciting material or specifically incorporate it by reference into a filing under the Securities Act of 1933 or the Securities Exchange Act of 1934.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140" w:firstLine="324"/>
        <w:spacing w:after="0" w:line="221" w:lineRule="exact"/>
        <w:rPr>
          <w:sz w:val="20"/>
          <w:szCs w:val="20"/>
          <w:color w:val="auto"/>
        </w:rPr>
      </w:pPr>
      <w:r>
        <w:rPr>
          <w:rFonts w:ascii="Arial" w:cs="Arial" w:eastAsia="Arial" w:hAnsi="Arial"/>
          <w:sz w:val="18"/>
          <w:szCs w:val="18"/>
          <w:color w:val="auto"/>
        </w:rPr>
        <w:t>This selected consolidated financial data should be read together with the Consolidated Financial Statements and related Notes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well as the section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entitled “Management’s Discussion and Analysis of Financial Condition and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020" w:type="dxa"/>
            <w:vAlign w:val="bottom"/>
          </w:tcPr>
          <w:p>
            <w:pPr>
              <w:jc w:val="right"/>
              <w:ind w:right="320"/>
              <w:spacing w:after="0"/>
              <w:rPr>
                <w:sz w:val="20"/>
                <w:szCs w:val="20"/>
                <w:color w:val="auto"/>
              </w:rPr>
            </w:pPr>
            <w:r>
              <w:rPr>
                <w:rFonts w:ascii="Arial" w:cs="Arial" w:eastAsia="Arial" w:hAnsi="Arial"/>
                <w:sz w:val="14"/>
                <w:szCs w:val="14"/>
                <w:b w:val="1"/>
                <w:bCs w:val="1"/>
                <w:color w:val="auto"/>
              </w:rPr>
              <w:t>July 1,</w:t>
            </w:r>
          </w:p>
        </w:tc>
        <w:tc>
          <w:tcPr>
            <w:tcW w:w="34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July 3,</w:t>
            </w:r>
          </w:p>
        </w:tc>
        <w:tc>
          <w:tcPr>
            <w:tcW w:w="300" w:type="dxa"/>
            <w:vAlign w:val="bottom"/>
          </w:tcPr>
          <w:p>
            <w:pPr>
              <w:spacing w:after="0"/>
              <w:rPr>
                <w:sz w:val="14"/>
                <w:szCs w:val="14"/>
                <w:color w:val="auto"/>
              </w:rPr>
            </w:pPr>
          </w:p>
        </w:tc>
        <w:tc>
          <w:tcPr>
            <w:tcW w:w="940" w:type="dxa"/>
            <w:vAlign w:val="bottom"/>
          </w:tcPr>
          <w:p>
            <w:pPr>
              <w:jc w:val="right"/>
              <w:ind w:right="260"/>
              <w:spacing w:after="0"/>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4"/>
                <w:szCs w:val="14"/>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June 28,</w:t>
            </w:r>
          </w:p>
        </w:tc>
      </w:t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w w:val="92"/>
              </w:rPr>
              <w:t>(in millions, except per share and employee data)</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15,351</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6,072</w:t>
            </w:r>
          </w:p>
        </w:tc>
        <w:tc>
          <w:tcPr>
            <w:tcW w:w="26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3,435</w:t>
            </w:r>
          </w:p>
        </w:tc>
        <w:tc>
          <w:tcPr>
            <w:tcW w:w="3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4,221</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4,360</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4,363</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6.31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4.07</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r>
      <w:tr>
        <w:trPr>
          <w:trHeight w:val="324"/>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29,860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32,862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15,170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15,499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14,036</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1,725</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11,418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11,145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9,219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8,842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7,893</w:t>
            </w: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311"/>
        </w:trPr>
        <w:tc>
          <w:tcPr>
            <w:tcW w:w="5240" w:type="dxa"/>
            <w:vAlign w:val="bottom"/>
          </w:tcPr>
          <w:p>
            <w:pPr>
              <w:ind w:left="40"/>
              <w:spacing w:after="0"/>
              <w:rPr>
                <w:sz w:val="20"/>
                <w:szCs w:val="20"/>
                <w:color w:val="auto"/>
              </w:rPr>
            </w:pPr>
            <w:r>
              <w:rPr>
                <w:rFonts w:ascii="Arial" w:cs="Arial" w:eastAsia="Arial" w:hAnsi="Arial"/>
                <w:sz w:val="16"/>
                <w:szCs w:val="16"/>
                <w:color w:val="auto"/>
              </w:rPr>
              <w:t xml:space="preserve">Number of employees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67,629</w:t>
            </w:r>
          </w:p>
        </w:tc>
        <w:tc>
          <w:tcPr>
            <w:tcW w:w="26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72,878</w:t>
            </w:r>
          </w:p>
        </w:tc>
        <w:tc>
          <w:tcPr>
            <w:tcW w:w="34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76,449</w:t>
            </w:r>
          </w:p>
        </w:tc>
        <w:tc>
          <w:tcPr>
            <w:tcW w:w="30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84,072</w:t>
            </w:r>
          </w:p>
        </w:tc>
        <w:tc>
          <w:tcPr>
            <w:tcW w:w="28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85,777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Excludes temporary employees and contractors.</w:t>
      </w: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Results for SanDisk, Amplidata NV, Virident Systems, Inc., sTec, Inc. and VeloBit, Inc., which were acquired on May 12, 2016, March 9, 2015,</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October 17, 2013, September 12, 2013 and July 9, 2013, respectively, are included in our operating results only after their respective dates of acquisition.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a leading developer, manufacturer and provider of data storage devices and solutions that address the evolving needs of the information technology (“IT”) industry and the infrastructure that enables the proliferation of data in virtually every other industry. Our broad portfolio of technology and products address the following key markets: Data Center Devices and Solutions; Client Devices; and Client Solutions. We also generate license and royalty revenue related to our IP, which is included in each of the three categories.</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fiscal year ends on the Friday nearest to June 30 and typically consists of 52 weeks. Approximately every six years, we report a 53-week fiscal year to align our fiscal year with the foregoing policy. Fiscal years 2017 and 2016, which ended on June 30, 2017 and July 1, 2016, respectively, both comprised 52 weeks, with all quarters presented consisting of 13 weeks. Fiscal year 2015, which ended on July 3, 2015, comprised 53 weeks, with the first quarter consisting of 14 weeks and the second, third and fourth quarters consisting of 13 weeks each.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 of SanDisk</w:t>
      </w:r>
    </w:p>
    <w:p>
      <w:pPr>
        <w:spacing w:after="0" w:line="225" w:lineRule="exact"/>
        <w:rPr>
          <w:sz w:val="20"/>
          <w:szCs w:val="20"/>
          <w:color w:val="auto"/>
        </w:rPr>
      </w:pPr>
    </w:p>
    <w:p>
      <w:pPr>
        <w:ind w:right="40" w:firstLine="392"/>
        <w:spacing w:after="0" w:line="218" w:lineRule="exact"/>
        <w:rPr>
          <w:sz w:val="20"/>
          <w:szCs w:val="20"/>
          <w:color w:val="auto"/>
        </w:rPr>
      </w:pPr>
      <w:r>
        <w:rPr>
          <w:rFonts w:ascii="Arial" w:cs="Arial" w:eastAsia="Arial" w:hAnsi="Arial"/>
          <w:sz w:val="16"/>
          <w:szCs w:val="16"/>
          <w:color w:val="auto"/>
        </w:rPr>
        <w:t xml:space="preserve">On May 12, 2016 (the “SanDisk Closing Date”), we completed the acquisition of SanDisk (the “Merger”), a global leader in NAND-flash storage solutions, pursuant to the terms of the Agreement and Plan of Merger, dated October 21, 2015. The Merger is primarily intended to deepen our expertise in non-volatile memory and enable us to vertically integrate into NAND, securing long-term access to solid state technology at a lower cost. The aggregate purchase price of the Merger was $15.59 billion. This acquisition broadened our product portfolio, significantly increased our revenues in 2017 and enhanced our gross margins. Operating expenses also increased with the assumption of the SanDisk operations. For additional information on the acquisition, see Part II, Item 8, Note 15, </w:t>
      </w:r>
      <w:r>
        <w:rPr>
          <w:rFonts w:ascii="Arial" w:cs="Arial" w:eastAsia="Arial" w:hAnsi="Arial"/>
          <w:sz w:val="16"/>
          <w:szCs w:val="16"/>
          <w:i w:val="1"/>
          <w:iCs w:val="1"/>
          <w:color w:val="auto"/>
        </w:rPr>
        <w:t>Acquisitions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Facilities</w:t>
      </w:r>
    </w:p>
    <w:p>
      <w:pPr>
        <w:spacing w:after="0" w:line="225" w:lineRule="exact"/>
        <w:rPr>
          <w:sz w:val="20"/>
          <w:szCs w:val="20"/>
          <w:color w:val="auto"/>
        </w:rPr>
      </w:pPr>
    </w:p>
    <w:p>
      <w:pPr>
        <w:ind w:firstLine="392"/>
        <w:spacing w:after="0" w:line="218" w:lineRule="exact"/>
        <w:rPr>
          <w:sz w:val="20"/>
          <w:szCs w:val="20"/>
          <w:color w:val="auto"/>
        </w:rPr>
      </w:pPr>
      <w:r>
        <w:rPr>
          <w:rFonts w:ascii="Arial" w:cs="Arial" w:eastAsia="Arial" w:hAnsi="Arial"/>
          <w:sz w:val="17"/>
          <w:szCs w:val="17"/>
          <w:color w:val="auto"/>
        </w:rPr>
        <w:t xml:space="preserve">In connection with the Merger, we entered into new debt facilities aggregating approximately $18.09 billion in principal to finance a portion of the purchase price related to the Merger. The proceeds were also used to refinance certain existing indebtedness of Western Digital and SanDisk, and pay certain transaction costs. This new debt significantly increased our interest expense in 2017. During 2017, we repaid a $3.00 billion short-term bridge loan, made a voluntary $750 million principal payment on one of the term loans and entered into several repricing transactions that significantly lowered the rate of interest on some of the new term loans. We also settled a substantial portion of the remaining assumed SanDisk convertible notes. The reductions in principal and the repricing transactions are expected to lower our interest expense going forward compared to 2017. For additional information, see Part II, Item 8,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Ventures with Toshiba</w:t>
      </w:r>
    </w:p>
    <w:p>
      <w:pPr>
        <w:spacing w:after="0" w:line="225" w:lineRule="exact"/>
        <w:rPr>
          <w:sz w:val="20"/>
          <w:szCs w:val="20"/>
          <w:color w:val="auto"/>
        </w:rPr>
      </w:pPr>
    </w:p>
    <w:p>
      <w:pPr>
        <w:ind w:right="80" w:firstLine="324"/>
        <w:spacing w:after="0" w:line="218" w:lineRule="exact"/>
        <w:rPr>
          <w:sz w:val="20"/>
          <w:szCs w:val="20"/>
          <w:color w:val="auto"/>
        </w:rPr>
      </w:pPr>
      <w:r>
        <w:rPr>
          <w:rFonts w:ascii="Arial" w:cs="Arial" w:eastAsia="Arial" w:hAnsi="Arial"/>
          <w:sz w:val="16"/>
          <w:szCs w:val="16"/>
          <w:color w:val="auto"/>
        </w:rPr>
        <w:t xml:space="preserve">Through Flash Ventures, we and Toshiba currently operate three business ventures in 300-millimeter NAND-flash manufacturing facilities in Yokkaichi, Japan, which provide us leading-edge, cost-competitive NAND wafers for our end products. Toshiba has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We are committed to the success of Flash Ventures and we intend to, and have been engaged in discussions with Toshiba to, jointly invest in Fab 6 equipment with Toshiba. See Part I, Item I,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Ventures with Toshiba</w:t>
      </w:r>
      <w:r>
        <w:rPr>
          <w:rFonts w:ascii="Arial" w:cs="Arial" w:eastAsia="Arial" w:hAnsi="Arial"/>
          <w:sz w:val="16"/>
          <w:szCs w:val="16"/>
          <w:color w:val="auto"/>
        </w:rPr>
        <w:t xml:space="preserve">, for additional information. For a discussion of risks associated with our business ventures with Toshiba,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 Comparison of 2017, 2016 and 2015</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consolidated statements of operations by dollars and percentage of net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6"/>
                <w:szCs w:val="16"/>
                <w:color w:val="auto"/>
              </w:rPr>
            </w:pPr>
          </w:p>
        </w:tc>
      </w:tr>
      <w:tr>
        <w:trPr>
          <w:trHeight w:val="190"/>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3"/>
          </w:tcPr>
          <w:p>
            <w:pPr>
              <w:jc w:val="center"/>
              <w:ind w:right="139"/>
              <w:spacing w:after="0"/>
              <w:rPr>
                <w:sz w:val="20"/>
                <w:szCs w:val="20"/>
                <w:color w:val="auto"/>
              </w:rPr>
            </w:pPr>
            <w:r>
              <w:rPr>
                <w:rFonts w:ascii="Arial" w:cs="Arial" w:eastAsia="Arial" w:hAnsi="Arial"/>
                <w:sz w:val="14"/>
                <w:szCs w:val="14"/>
                <w:i w:val="1"/>
                <w:iCs w:val="1"/>
                <w:color w:val="auto"/>
                <w:w w:val="93"/>
              </w:rPr>
              <w:t>(in millions, except percentages)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66"/>
        </w:trPr>
        <w:tc>
          <w:tcPr>
            <w:tcW w:w="4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19,093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12,994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14,572</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13,021</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68.2</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9,559</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73.6</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10,351</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71.0</w:t>
            </w:r>
          </w:p>
        </w:tc>
      </w:tr>
      <w:tr>
        <w:trPr>
          <w:trHeight w:val="33"/>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31.8</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3,435</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26.4</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4,221</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4,118</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21.6</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2,969</w:t>
            </w:r>
          </w:p>
        </w:tc>
        <w:tc>
          <w:tcPr>
            <w:tcW w:w="340" w:type="dxa"/>
            <w:vAlign w:val="bottom"/>
          </w:tcPr>
          <w:p>
            <w:pPr>
              <w:spacing w:after="0"/>
              <w:rPr>
                <w:sz w:val="20"/>
                <w:szCs w:val="20"/>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22.8</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2,610</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17.9</w:t>
            </w:r>
          </w:p>
        </w:tc>
      </w:tr>
      <w:tr>
        <w:trPr>
          <w:trHeight w:val="33"/>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466</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1,611</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Total interest and other expense, net</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(1,185)</w:t>
            </w:r>
          </w:p>
        </w:tc>
        <w:tc>
          <w:tcPr>
            <w:tcW w:w="34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w:t>
            </w:r>
          </w:p>
        </w:tc>
        <w:tc>
          <w:tcPr>
            <w:tcW w:w="34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(0.2)</w:t>
            </w:r>
          </w:p>
        </w:tc>
      </w:tr>
      <w:tr>
        <w:trPr>
          <w:trHeight w:val="33"/>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1,577</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10.8</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372</w:t>
            </w:r>
          </w:p>
        </w:tc>
        <w:tc>
          <w:tcPr>
            <w:tcW w:w="340" w:type="dxa"/>
            <w:vAlign w:val="bottom"/>
          </w:tcPr>
          <w:p>
            <w:pPr>
              <w:spacing w:after="0"/>
              <w:rPr>
                <w:sz w:val="20"/>
                <w:szCs w:val="20"/>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w:t>
            </w:r>
          </w:p>
        </w:tc>
        <w:tc>
          <w:tcPr>
            <w:tcW w:w="34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20"/>
                <w:szCs w:val="20"/>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0.8</w:t>
            </w:r>
          </w:p>
        </w:tc>
      </w:tr>
      <w:tr>
        <w:trPr>
          <w:trHeight w:val="33"/>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1,465</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net revenues by geography and end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5"/>
          </w:tcPr>
          <w:p>
            <w:pPr>
              <w:jc w:val="right"/>
              <w:ind w:right="440"/>
              <w:spacing w:after="0"/>
              <w:rPr>
                <w:sz w:val="20"/>
                <w:szCs w:val="20"/>
                <w:color w:val="auto"/>
              </w:rPr>
            </w:pPr>
            <w:r>
              <w:rPr>
                <w:rFonts w:ascii="Arial" w:cs="Arial" w:eastAsia="Arial" w:hAnsi="Arial"/>
                <w:sz w:val="14"/>
                <w:szCs w:val="14"/>
                <w:i w:val="1"/>
                <w:iCs w:val="1"/>
                <w:color w:val="auto"/>
              </w:rPr>
              <w:t>(in millions, except exabytes and percentages)</w:t>
            </w:r>
          </w:p>
        </w:tc>
      </w:tr>
      <w:tr>
        <w:trPr>
          <w:trHeight w:val="66"/>
        </w:trPr>
        <w:tc>
          <w:tcPr>
            <w:tcW w:w="7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19,093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12,994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14,572</w:t>
            </w:r>
          </w:p>
        </w:tc>
      </w:tr>
      <w:tr>
        <w:trPr>
          <w:trHeight w:val="297"/>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 by Geography (%)</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3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Asia</w:t>
            </w:r>
          </w:p>
        </w:tc>
        <w:tc>
          <w:tcPr>
            <w:tcW w:w="28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50</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7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7680" w:type="dxa"/>
            <w:vAlign w:val="bottom"/>
          </w:tcPr>
          <w:p>
            <w:pPr>
              <w:ind w:left="40"/>
              <w:spacing w:after="0"/>
              <w:rPr>
                <w:sz w:val="20"/>
                <w:szCs w:val="20"/>
                <w:color w:val="auto"/>
              </w:rPr>
            </w:pPr>
            <w:r>
              <w:rPr>
                <w:rFonts w:ascii="Arial" w:cs="Arial" w:eastAsia="Arial" w:hAnsi="Arial"/>
                <w:sz w:val="16"/>
                <w:szCs w:val="16"/>
                <w:color w:val="auto"/>
              </w:rPr>
              <w:t>Revenues by End Market (%)</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768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28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34</w:t>
            </w:r>
          </w:p>
        </w:tc>
      </w:tr>
      <w:tr>
        <w:trPr>
          <w:trHeight w:val="33"/>
        </w:trPr>
        <w:tc>
          <w:tcPr>
            <w:tcW w:w="7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r>
      <w:tr>
        <w:trPr>
          <w:trHeight w:val="297"/>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7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Exabytes Shipped</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313</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262</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249</w:t>
            </w:r>
          </w:p>
        </w:tc>
      </w:tr>
      <w:tr>
        <w:trPr>
          <w:trHeight w:val="33"/>
        </w:trPr>
        <w:tc>
          <w:tcPr>
            <w:tcW w:w="7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For 2017 and 2016, no customer accounted for 10% or more of our net revenue. For 2015, one customer, Hewlett-Packard Company, accounted for 11% of our net revenue. For 2017, 2016 and 2015, our top 10 customers accounted for 36%, 43% and 44%, of our net revenue, respectively.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Net Revenue and Gross Margin Compared to Fiscal Year 2016 Net Revenue and Gross Margin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Net revenue was $19.09 billion for 2017, an increase of $6.10 billion, or 47%, as compared to 2016, primarily due to a full year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of NAND-flash products following the SanDisk Closing Date, compared to a partial year of such revenue in the prior year. This increase was partially offset by lower revenue related to lower PC and enterprise HDD shipments.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Consistent with standard industry practice, we have sales incentive and marketing programs that provide customers with price protection and other incentives or reimbursements that are recorded as a reduction to gross revenue. For 2017 and 2016, these programs represented 12% and 13% of gross revenues, respectively. The decrease in sales incentive and marketing programs year-over-year reflects lower incentive programs offered on NAND-flash products as a result of the Merger. The amounts attributed to our sales incentive and marketing programs also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17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Net Revenue by Geography. </w:t>
      </w:r>
      <w:r>
        <w:rPr>
          <w:rFonts w:ascii="Arial" w:cs="Arial" w:eastAsia="Arial" w:hAnsi="Arial"/>
          <w:sz w:val="18"/>
          <w:szCs w:val="18"/>
          <w:color w:val="auto"/>
        </w:rPr>
        <w:t>Changes in the mix of net revenue by geography for 2017, as compared to 2016, reflect the additional revenues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which has comparatively higher revenue in Asia than our pre-acquisition business.</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Net Revenue by End Market. </w:t>
      </w:r>
      <w:r>
        <w:rPr>
          <w:rFonts w:ascii="Arial" w:cs="Arial" w:eastAsia="Arial" w:hAnsi="Arial"/>
          <w:sz w:val="18"/>
          <w:szCs w:val="18"/>
          <w:color w:val="auto"/>
        </w:rPr>
        <w:t>Our end markets include Data Center Devices and Solutions (capacity and performance enterprise HDD, enterprise SSD,</w:t>
      </w:r>
      <w:r>
        <w:rPr>
          <w:rFonts w:ascii="Arial" w:cs="Arial" w:eastAsia="Arial" w:hAnsi="Arial"/>
          <w:sz w:val="18"/>
          <w:szCs w:val="18"/>
          <w:i w:val="1"/>
          <w:iCs w:val="1"/>
          <w:color w:val="auto"/>
        </w:rPr>
        <w:t xml:space="preserve"> </w:t>
      </w:r>
      <w:r>
        <w:rPr>
          <w:rFonts w:ascii="Arial" w:cs="Arial" w:eastAsia="Arial" w:hAnsi="Arial"/>
          <w:sz w:val="18"/>
          <w:szCs w:val="18"/>
          <w:color w:val="auto"/>
        </w:rPr>
        <w:t>data center software and system solutions); Client Devices (mobile, desktop, gaming and digital video hard drives, client SSDs, embedded products and wafers); and Client Solutions (removable products, hard drive content solutions and flash content solutions).</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Changes in the mix of net revenue by end market for 2017, as compared to 2016, reflect the full year increase in revenues from the Merger which has comparatively higher revenue in Client Devices and Client Solutions than our pre-acquisition business.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was $6.07 billion for 2017, an increase of $2.64 billion, or 77%, as compared to 2016, largely driven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revenue mentioned above. Gross profit for 2017 was negatively impacted by amortization expense on acquired intangible assets, charges related to the implementation of cost-saving initiatives, stock-based compensation and acquisition related charges, which aggregated $1.14 billion, or 6.0% of revenue, for 2017, and $375 million, or 2.9% of revenue, for 2016. Gross margin increased to 31.8% for 2017, as compared to 26.4% for 2016. The increase in gross margin was primarily due to sales of NAND-flash products following the SanDisk Closing Date, as such products have comparatively higher gross margins than our pre-acquisition products, cost improvements across all products driven by manufacturing integration activities and cost improvements as NAND-flash technology transitions to more cost efficient designs.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2016 Net Revenue and Gross Margin Compared to Fiscal Year 2015 Net Revenue and Gross Margin</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Net revenue was $12.99 billion for 2016, a decrease of $1.58 billion, or 11%, as compared to 2015, primarily due to lower HDD unit</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partially offset by an increase in HDD ASPs and partial year revenues from SanDisk of $793 million following the SanDisk Closing Date. The decrease in HDD unit shipments was primarily due to a softer demand environment. The increase in HDD ASPs was primarily due to a change in HDD product mix.</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2016 and 2015, these programs represented 13% and 10% of gross revenues, respectively. These amounts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188"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i w:val="1"/>
          <w:iCs w:val="1"/>
          <w:color w:val="auto"/>
        </w:rPr>
        <w:t xml:space="preserve">Net Revenue by Geography. </w:t>
      </w:r>
      <w:r>
        <w:rPr>
          <w:rFonts w:ascii="Arial" w:cs="Arial" w:eastAsia="Arial" w:hAnsi="Arial"/>
          <w:sz w:val="16"/>
          <w:szCs w:val="16"/>
          <w:color w:val="auto"/>
        </w:rPr>
        <w:t>Changes in the mix of net revenue by geography for 2016, as compared to 2015, reflect a decrease in Asia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demand of client HDD shipments as a result of a decline in the desktop and notebook PC market and a decrease in Europe, Middle East and Africa due to lower demand for our client and retail HDD products primarily due to the continued decline of PC-related after-market sales.</w:t>
      </w:r>
    </w:p>
    <w:p>
      <w:pPr>
        <w:spacing w:after="0" w:line="147"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i w:val="1"/>
          <w:iCs w:val="1"/>
          <w:color w:val="auto"/>
        </w:rPr>
        <w:t xml:space="preserve">Net Revenue by End Market. </w:t>
      </w:r>
      <w:r>
        <w:rPr>
          <w:rFonts w:ascii="Arial" w:cs="Arial" w:eastAsia="Arial" w:hAnsi="Arial"/>
          <w:sz w:val="16"/>
          <w:szCs w:val="16"/>
          <w:color w:val="auto"/>
        </w:rPr>
        <w:t>Changes in the mix of net revenue by end market for 2016, as compared to 2015, reflected lower Client Devices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reduced demand for HDDs as a result of a decline in desktop and notebook PC market, partially offset by a partial year increase in revenues from the Merger, which has comparatively higher revenue in Client Devices and Client Solutions than our pre-acquisition business.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was $3.44 billion for 2016, a decrease of $786 million, or 19%, from 2015. Gross margin decreased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26.4% in 2016, as compared to 29.0% in 2015. This decrease was primarily the result of lower HDD unit sales and the related absorption impact, and accelerated depreciation on assets related to both the closure of the Odawara, Japan facility and the restructuring plan (“Restructuring Plan 2016”) associated with the integration of substantial portions of our HGST and WD subsidiaries. This decrease in gross profit was partially offset by SanDisk’s gross profit following the SanDisk Closing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operating expense information from our Consolidated Statement of Operations by dollar and percentage</w:t>
      </w:r>
      <w:r>
        <w:rPr>
          <w:rFonts w:ascii="Arial" w:cs="Arial" w:eastAsia="Arial" w:hAnsi="Arial"/>
          <w:sz w:val="16"/>
          <w:szCs w:val="16"/>
          <w:b w:val="1"/>
          <w:bCs w:val="1"/>
          <w:color w:val="auto"/>
          <w:vertAlign w:val="superscript"/>
        </w:rPr>
        <w:t>(1)</w:t>
      </w:r>
      <w:r>
        <w:rPr>
          <w:rFonts w:ascii="Arial" w:cs="Arial" w:eastAsia="Arial" w:hAnsi="Arial"/>
          <w:sz w:val="16"/>
          <w:szCs w:val="16"/>
          <w:color w:val="auto"/>
        </w:rPr>
        <w:t xml:space="preserve"> of net revenue.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jc w:val="center"/>
              <w:ind w:right="159"/>
              <w:spacing w:after="0"/>
              <w:rPr>
                <w:sz w:val="20"/>
                <w:szCs w:val="20"/>
                <w:color w:val="auto"/>
              </w:rPr>
            </w:pPr>
            <w:r>
              <w:rPr>
                <w:rFonts w:ascii="Arial" w:cs="Arial" w:eastAsia="Arial" w:hAnsi="Arial"/>
                <w:sz w:val="14"/>
                <w:szCs w:val="14"/>
                <w:i w:val="1"/>
                <w:iCs w:val="1"/>
                <w:color w:val="auto"/>
                <w:w w:val="93"/>
              </w:rPr>
              <w:t>(in millions, except percentages)</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2,441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1,627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1,646</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1,445</w:t>
            </w:r>
          </w:p>
        </w:tc>
        <w:tc>
          <w:tcPr>
            <w:tcW w:w="380" w:type="dxa"/>
            <w:vAlign w:val="bottom"/>
          </w:tcPr>
          <w:p>
            <w:pPr>
              <w:spacing w:after="0"/>
              <w:rPr>
                <w:sz w:val="20"/>
                <w:szCs w:val="20"/>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997</w:t>
            </w:r>
          </w:p>
        </w:tc>
        <w:tc>
          <w:tcPr>
            <w:tcW w:w="380" w:type="dxa"/>
            <w:vAlign w:val="bottom"/>
          </w:tcPr>
          <w:p>
            <w:pPr>
              <w:spacing w:after="0"/>
              <w:rPr>
                <w:sz w:val="20"/>
                <w:szCs w:val="20"/>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7.7</w:t>
            </w:r>
          </w:p>
        </w:tc>
        <w:tc>
          <w:tcPr>
            <w:tcW w:w="3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788</w:t>
            </w:r>
          </w:p>
        </w:tc>
        <w:tc>
          <w:tcPr>
            <w:tcW w:w="36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33"/>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232</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345</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44"/>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4,118</w:t>
            </w:r>
          </w:p>
        </w:tc>
        <w:tc>
          <w:tcPr>
            <w:tcW w:w="380" w:type="dxa"/>
            <w:vAlign w:val="bottom"/>
          </w:tcPr>
          <w:p>
            <w:pPr>
              <w:spacing w:after="0"/>
              <w:rPr>
                <w:sz w:val="21"/>
                <w:szCs w:val="21"/>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21.6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2,969</w:t>
            </w:r>
          </w:p>
        </w:tc>
        <w:tc>
          <w:tcPr>
            <w:tcW w:w="380" w:type="dxa"/>
            <w:vAlign w:val="bottom"/>
          </w:tcPr>
          <w:p>
            <w:pPr>
              <w:spacing w:after="0"/>
              <w:rPr>
                <w:sz w:val="21"/>
                <w:szCs w:val="21"/>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22.8</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2,610</w:t>
            </w:r>
          </w:p>
        </w:tc>
        <w:tc>
          <w:tcPr>
            <w:tcW w:w="3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17.9</w:t>
            </w:r>
          </w:p>
        </w:tc>
      </w:tr>
      <w:tr>
        <w:trPr>
          <w:trHeight w:val="20"/>
        </w:trPr>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Operating Expenses Compared to Fiscal Year 2016 Operating Expenses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Research and development (“R&amp;D”) expense was $2.44 billion in 2017, an increase of $814 million, or 50%, from 2016, primarily due to the Merger and continued development of NAND-flash technology. Fiscal year 2017 also included aggregate charges of $199 million related to stock-based compensation expenses, charges related to the implementation of cost-saving initiatives, acquisition-related charges and other discrete charges, compared to $106 million in 2016 related to such charges.</w:t>
      </w:r>
    </w:p>
    <w:p>
      <w:pPr>
        <w:spacing w:after="0" w:line="18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Selling, general and administrative (“SG&amp;A”) expense was $1.45 billion in 2017, an increase of $448 million, or 45%, from 2016, primarily due to the Merger. Fiscal year 2017 also included aggregate charges of $404 million, related to stock-based compensation expenses, amortization expense on acquired intangible assets, charges related to the implementation of cost-saving initiatives, acquisition-related charges and other discrete charges, compared to $379 million in 2016 related to such charges.</w:t>
      </w:r>
    </w:p>
    <w:p>
      <w:pPr>
        <w:spacing w:after="0" w:line="187" w:lineRule="exact"/>
        <w:rPr>
          <w:sz w:val="20"/>
          <w:szCs w:val="20"/>
          <w:color w:val="auto"/>
        </w:rPr>
      </w:pPr>
    </w:p>
    <w:p>
      <w:pPr>
        <w:ind w:right="200" w:firstLine="324"/>
        <w:spacing w:after="0" w:line="220" w:lineRule="exact"/>
        <w:rPr>
          <w:sz w:val="20"/>
          <w:szCs w:val="20"/>
          <w:color w:val="auto"/>
        </w:rPr>
      </w:pPr>
      <w:r>
        <w:rPr>
          <w:rFonts w:ascii="Arial" w:cs="Arial" w:eastAsia="Arial" w:hAnsi="Arial"/>
          <w:sz w:val="16"/>
          <w:szCs w:val="16"/>
          <w:color w:val="auto"/>
        </w:rPr>
        <w:t xml:space="preserve">Employee termination and other charges were $232 million in 2017, a decrease of $113 million, or 33%, from 2016. These charges in 2017 primarily related to further actions under the Restructuring Plan 2016 associated with the integration and business realignment of substantial portions of our business. For additional information regarding employee termination, asset impairment and other charges, see Part II, Item 8, Note 16, </w:t>
      </w:r>
      <w:r>
        <w:rPr>
          <w:rFonts w:ascii="Arial" w:cs="Arial" w:eastAsia="Arial" w:hAnsi="Arial"/>
          <w:sz w:val="16"/>
          <w:szCs w:val="16"/>
          <w:i w:val="1"/>
          <w:iCs w:val="1"/>
          <w:color w:val="auto"/>
        </w:rPr>
        <w:t>Employee Termination, Asset</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and Other Charges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2016 Operating Expenses Compared to Fiscal Year 2015 Operating Expenses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R&amp;D expense was $1.63 billion in 2016, a decrease of $19 million, or 1%, from 2015. This slight decrease was primarily due to reductions in employee compensation expenses due to a reduction in headcount as a result of our business realignment initiatives, reduction in material spend due to the consolidation of our product roadmap in relation to the integration of our HGST and WD subsidiaries and an additional week in the prior year. These decreases were partially offset by SanDisk’s R&amp;D expenses following the SanDisk Closing Date and expenses related to the integration of our HGST and WD subsidiaries.</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SG&amp;A expense was $997 million in 2016, an increase of $209 million, or 27%, from 2015. This increase was primarily due to SanDisk’s SG&amp;A expenses following the SanDisk Closing Date, acquisition charges and expenses related to the integration of our HGST and WD subsidiaries. These charges were partially offset by a reduction in employee compensation expenses due to a reduction in headcount as a result of our business realignment initiatives and an additional week in the prior year.</w:t>
      </w:r>
    </w:p>
    <w:p>
      <w:pPr>
        <w:spacing w:after="0" w:line="187" w:lineRule="exact"/>
        <w:rPr>
          <w:sz w:val="20"/>
          <w:szCs w:val="20"/>
          <w:color w:val="auto"/>
        </w:rPr>
      </w:pPr>
    </w:p>
    <w:p>
      <w:pPr>
        <w:ind w:right="20" w:firstLine="324"/>
        <w:spacing w:after="0" w:line="220" w:lineRule="exact"/>
        <w:rPr>
          <w:sz w:val="20"/>
          <w:szCs w:val="20"/>
          <w:color w:val="auto"/>
        </w:rPr>
      </w:pPr>
      <w:r>
        <w:rPr>
          <w:rFonts w:ascii="Arial" w:cs="Arial" w:eastAsia="Arial" w:hAnsi="Arial"/>
          <w:sz w:val="18"/>
          <w:szCs w:val="18"/>
          <w:color w:val="auto"/>
        </w:rPr>
        <w:t xml:space="preserve">Employee termination, asset impairment and other charges was $345 million in 2016, an increase of $169 million, or 96%, from 2015 as we implemented our Restructuring Plan 2016 and initiated the closure of our hard component front-end wafer manufacturing facility in Odawara, Japan. For additional information, see Part II, Item 8, Note 16,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sets forth interest and other income (expense) information from our Consolidated Statement of Operations by dollar and percentage</w:t>
      </w:r>
      <w:r>
        <w:rPr>
          <w:rFonts w:ascii="Arial" w:cs="Arial" w:eastAsia="Arial" w:hAnsi="Arial"/>
          <w:sz w:val="18"/>
          <w:szCs w:val="18"/>
          <w:b w:val="1"/>
          <w:bCs w:val="1"/>
          <w:color w:val="auto"/>
          <w:vertAlign w:val="superscript"/>
        </w:rPr>
        <w:t>(1)</w:t>
      </w:r>
      <w:r>
        <w:rPr>
          <w:rFonts w:ascii="Arial" w:cs="Arial" w:eastAsia="Arial" w:hAnsi="Arial"/>
          <w:sz w:val="18"/>
          <w:szCs w:val="18"/>
          <w:color w:val="auto"/>
        </w:rPr>
        <w:t xml:space="preserve"> of net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center"/>
              <w:ind w:right="139"/>
              <w:spacing w:after="0"/>
              <w:rPr>
                <w:sz w:val="20"/>
                <w:szCs w:val="20"/>
                <w:color w:val="auto"/>
              </w:rPr>
            </w:pPr>
            <w:r>
              <w:rPr>
                <w:rFonts w:ascii="Arial" w:cs="Arial" w:eastAsia="Arial" w:hAnsi="Arial"/>
                <w:sz w:val="14"/>
                <w:szCs w:val="14"/>
                <w:i w:val="1"/>
                <w:iCs w:val="1"/>
                <w:color w:val="auto"/>
                <w:w w:val="93"/>
              </w:rPr>
              <w:t>(in millions, except percentages)</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0.2 %</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45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(847)</w:t>
            </w:r>
          </w:p>
        </w:tc>
        <w:tc>
          <w:tcPr>
            <w:tcW w:w="38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w:t>
            </w:r>
          </w:p>
        </w:tc>
        <w:tc>
          <w:tcPr>
            <w:tcW w:w="42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(0.3)</w:t>
            </w:r>
          </w:p>
        </w:tc>
      </w:tr>
      <w:tr>
        <w:trPr>
          <w:trHeight w:val="33"/>
        </w:trPr>
        <w:tc>
          <w:tcPr>
            <w:tcW w:w="1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(0.6)</w:t>
            </w: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4"/>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Total interest and other expense,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380" w:type="dxa"/>
            <w:vAlign w:val="bottom"/>
          </w:tcPr>
          <w:p>
            <w:pPr>
              <w:spacing w:after="0"/>
              <w:rPr>
                <w:sz w:val="21"/>
                <w:szCs w:val="21"/>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420" w:type="dxa"/>
            <w:vAlign w:val="bottom"/>
          </w:tcPr>
          <w:p>
            <w:pPr>
              <w:spacing w:after="0"/>
              <w:rPr>
                <w:sz w:val="21"/>
                <w:szCs w:val="21"/>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(0.2)</w:t>
            </w:r>
          </w:p>
        </w:tc>
      </w:tr>
      <w:tr>
        <w:trPr>
          <w:trHeight w:val="20"/>
        </w:trPr>
        <w:tc>
          <w:tcPr>
            <w:tcW w:w="1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Interest and Other Expense, Net Compared to Fiscal Year 2016 Interest and Other Expense, Net</w:t>
      </w:r>
    </w:p>
    <w:p>
      <w:pPr>
        <w:spacing w:after="0" w:line="225" w:lineRule="exact"/>
        <w:rPr>
          <w:sz w:val="20"/>
          <w:szCs w:val="20"/>
          <w:color w:val="auto"/>
        </w:rPr>
      </w:pPr>
    </w:p>
    <w:p>
      <w:pPr>
        <w:ind w:right="100" w:firstLine="324"/>
        <w:spacing w:after="0" w:line="220" w:lineRule="exact"/>
        <w:rPr>
          <w:sz w:val="20"/>
          <w:szCs w:val="20"/>
          <w:color w:val="auto"/>
        </w:rPr>
      </w:pPr>
      <w:r>
        <w:rPr>
          <w:rFonts w:ascii="Arial" w:cs="Arial" w:eastAsia="Arial" w:hAnsi="Arial"/>
          <w:sz w:val="18"/>
          <w:szCs w:val="18"/>
          <w:color w:val="auto"/>
        </w:rPr>
        <w:t xml:space="preserve">Total interest and other expense, net increased $872 million in 2017, primarily due to a full year of interest expense in 2017 resulting from the additional debt issued in connection with the Merger compared to only a partial year of such expense in 2016, as well as losses on the settlements of certain of our term loans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impairment charges related to our cost-method investments.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2016 Interest and Other Income (Expense) Compared to Fiscal Year 2015 Interest and Other Income (Expense)</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2016, Total interest and other expense, net increased $279 million over 2015, primarily due to interest expense resulting from the additional debt incurred in connection with the Merger, the loss on the settlement of convertible debt and write-off of debt issuance costs on settlement of other previously issued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r>
      <w:tr>
        <w:trPr>
          <w:trHeight w:val="190"/>
        </w:trPr>
        <w:tc>
          <w:tcPr>
            <w:tcW w:w="7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gridSpan w:val="4"/>
          </w:tcPr>
          <w:p>
            <w:pPr>
              <w:jc w:val="center"/>
              <w:ind w:left="42"/>
              <w:spacing w:after="0"/>
              <w:rPr>
                <w:sz w:val="20"/>
                <w:szCs w:val="20"/>
                <w:color w:val="auto"/>
              </w:rPr>
            </w:pPr>
            <w:r>
              <w:rPr>
                <w:rFonts w:ascii="Arial" w:cs="Arial" w:eastAsia="Arial" w:hAnsi="Arial"/>
                <w:sz w:val="14"/>
                <w:szCs w:val="14"/>
                <w:i w:val="1"/>
                <w:iCs w:val="1"/>
                <w:color w:val="auto"/>
                <w:w w:val="93"/>
              </w:rPr>
              <w:t>(in millions, except percentages)</w:t>
            </w:r>
          </w:p>
        </w:tc>
        <w:tc>
          <w:tcPr>
            <w:tcW w:w="840" w:type="dxa"/>
            <w:vAlign w:val="bottom"/>
          </w:tcPr>
          <w:p>
            <w:pPr>
              <w:spacing w:after="0"/>
              <w:rPr>
                <w:sz w:val="16"/>
                <w:szCs w:val="16"/>
                <w:color w:val="auto"/>
              </w:rPr>
            </w:pPr>
          </w:p>
        </w:tc>
      </w:tr>
      <w:tr>
        <w:trPr>
          <w:trHeight w:val="66"/>
        </w:trPr>
        <w:tc>
          <w:tcPr>
            <w:tcW w:w="7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76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372</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112</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760" w:type="dxa"/>
            <w:vAlign w:val="bottom"/>
          </w:tcPr>
          <w:p>
            <w:pPr>
              <w:spacing w:after="0"/>
              <w:rPr>
                <w:sz w:val="20"/>
                <w:szCs w:val="20"/>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20"/>
                <w:szCs w:val="20"/>
                <w:color w:val="auto"/>
              </w:rPr>
            </w:pPr>
          </w:p>
        </w:tc>
        <w:tc>
          <w:tcPr>
            <w:tcW w:w="1000" w:type="dxa"/>
            <w:vAlign w:val="bottom"/>
          </w:tcPr>
          <w:p>
            <w:pPr>
              <w:ind w:left="500"/>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2017 Income Tax Expense Compared to Fiscal Year 2016 Income Tax Benefit</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Income tax expense was $372 million in 2017, as compared to an income tax benefit of $89 million in 2016. Income tax expense as a percentage of income before taxes was 48% in 2017, as compared to income tax benefit as a percentage of income before taxes of 58% in 2016. Income tax expense in 2017 reflects tax expense from the integration of SanDisk and a valuation allowance on both acquired tax attributes and net operating loss carryforwards from restructuring activities. The difference between the effective tax rate and the U.S. Federal statutory rate of 35% is primarily due to taxes on the integration of SanDisk and an increase in the valuation allowance for both acquired tax attributes and net operating loss carryforwards from restructuring activities, which are partially offset by the current year generation of tax credits and foreign income taxed at lower tax rates due to tax holidays in Malaysia, Philippines, Singapore and Thailand that expire at various dates from 2018 through 2030.</w:t>
      </w:r>
    </w:p>
    <w:p>
      <w:pPr>
        <w:spacing w:after="0" w:line="178"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Internal Revenue Service (“IRS”) previously completed its field examination of our federal income tax returns for fiscal years 2006 through 2009 and proposed certain adjustments. We have received Revenue Agent Reports from the IRS that seek to increase our U.S. taxable income which would result in additional federal tax expense totaling $795 million, subject to interest. The issues in dispute relate primarily to transfer pricing with our foreign subsidiaries and intercompany payable balances. We disagree with the proposed adjustments and in September 2015, filed a protest with the IRS Appeals Office and received the IRS rebuttal in July 2016. We believe that our tax positions are properly supported and will vigorously contest the position taken by the IRS. In September 2015, the IRS commenced an examination of our fiscal years 2010 through 2012.</w:t>
      </w:r>
    </w:p>
    <w:p>
      <w:pPr>
        <w:spacing w:after="0" w:line="17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believe that adequate provision has been made for any adjustments that may result from tax examinations. However, the outcome of tax examinations cannot be predicted with certainty. If any issues addressed in our tax examinations are resolved in a manner not consistent with management’s expectations, we could be required to adjust our provision for income taxes in the period such resolution occurs. As of June 30, 2017, it is not possible to estimate the amount of change, if any, in the unrecognized tax benefits that is reasonably possible within the next twelve months. Any significant change in the amount of our liability for unrecognized tax benefits would most likely result from additional information or settlements relating to the examination of our tax returns.</w:t>
      </w:r>
    </w:p>
    <w:p>
      <w:pPr>
        <w:spacing w:after="0" w:line="158" w:lineRule="exact"/>
        <w:rPr>
          <w:sz w:val="20"/>
          <w:szCs w:val="20"/>
          <w:color w:val="auto"/>
        </w:rPr>
      </w:pPr>
    </w:p>
    <w:p>
      <w:pPr>
        <w:ind w:right="88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II, Item 8, Note 13,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 2016 Income Tax Benefit Compared to Fiscal Year 2015 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benefit was $89 million in 2016, as compared to a $112 million expense in 2015. Tax benefit as a percentage of income before taxes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58.2% in 2016, as compared to tax expense of 7.1% in 2015. Fiscal year 2016 income tax benefit reflects tax benefits from expenses related to the Merger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interest expense related to new debt facilities. The difference between the effective tax rate and the U.S. Federal statutory rate is primarily due to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taxed at lower tax rates due to tax holidays in Malaysia, the Philippines, Singapore and Thailand that expire at various dates from 2016 through 2029,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current year generation of income tax credits and the tax deductible expenses related to the Merger.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2,242</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(4,595)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10,751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(1,797)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3,127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220</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21" w:lineRule="exact"/>
        <w:rPr>
          <w:sz w:val="20"/>
          <w:szCs w:val="20"/>
          <w:color w:val="auto"/>
        </w:rPr>
      </w:pPr>
      <w:r>
        <w:rPr>
          <w:rFonts w:ascii="Arial" w:cs="Arial" w:eastAsia="Arial" w:hAnsi="Arial"/>
          <w:sz w:val="18"/>
          <w:szCs w:val="18"/>
          <w:color w:val="auto"/>
        </w:rPr>
        <w:t xml:space="preserve">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indebtedness used to finance the Merger could cause us to place more reliance on cash generated from operations to pay principal and interest on our debt, thereby reducing the availability of our cash flow for working capital, capital expenditure needs, dividends, or to pursue other potential strategic plans.</w:t>
      </w:r>
    </w:p>
    <w:p>
      <w:pPr>
        <w:spacing w:after="0" w:line="12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2018, we expect cash used for purchases of property, plant and equipment and net activity in notes receivable and equity investments relating to Flash Ventures to be approximately $1.5 billion to $1.9 billion of our cash. The total expected cash to be used could vary depending on the timing and completion of various capital projects and the availability, timing and terms of related financing.</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 total of $4.99 billion and $6.90 billion of our cash and cash equivalents was held outside of the U.S. as of June 30, 2017 and July 1, 2016, respectively. Our current plans anticipate we can meet our U.S. cash needs while continuing to permanently reinvest the undistributed earnings of our foreign subsidiaries. In the event the reinvested earnings of our foreign subsidiaries are distributed to the U.S., such a distribution could result in the accrual and payment of additional U.S.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Cash flow from operating activities consists of net income, adjusted for non-cash charges, plus or minus working capital changes. This represents our principal source of cash. Net cash provided by changes in working capital was $91 million for 2017, as compared to net cash provided by changes in working capital of $374 million for 2016 and net cash used for changes in working capital of $593 million for 2015.</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working capital requirements primarily depend on the effective management of our cash conversion cycle, which measures how quickly we can convert our products into cash through sales. The cash conversion cycles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7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00" w:type="dxa"/>
            <w:vAlign w:val="bottom"/>
          </w:tcPr>
          <w:p>
            <w:pPr>
              <w:ind w:left="580"/>
              <w:spacing w:after="0"/>
              <w:rPr>
                <w:sz w:val="20"/>
                <w:szCs w:val="20"/>
                <w:color w:val="auto"/>
              </w:rPr>
            </w:pPr>
            <w:r>
              <w:rPr>
                <w:rFonts w:ascii="Arial" w:cs="Arial" w:eastAsia="Arial" w:hAnsi="Arial"/>
                <w:sz w:val="14"/>
                <w:szCs w:val="14"/>
                <w:i w:val="1"/>
                <w:iCs w:val="1"/>
                <w:color w:val="auto"/>
              </w:rPr>
              <w:t>(in days)</w:t>
            </w:r>
          </w:p>
        </w:tc>
        <w:tc>
          <w:tcPr>
            <w:tcW w:w="14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Days in inventory</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payables outstanding</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(66)</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conversion cycle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w:t>
            </w:r>
          </w:p>
        </w:tc>
      </w:tr>
    </w:tbl>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working capital metrics in 2016 were notably impacted by the inclusion of SanDisk’s accounts receivable, inventory and accounts payable balances as of July 1, 2016, but only including SanDisk’s revenue and cost of sales following the SanDisk Closing Date. The Merger inflated DSO, DIO and DPO by 12 days, 32 days and 14 days, respectively. Excluding the impact of the Merger in 2016, DSO in 2017 increased by 8 days over 2016 and was 2 days lower than 2015, primarily reflecting timing of customer receipts in the prior year. Excluding the impact of the Merger in 2016, DIO in 2017 increased by 16 days over both 2016 and 2015. The increase in DIO primarily reflects short-term build-up of inventory to maintain supply as we close certain facilities and transition production. Excluding the impact of the Merger in 2016, DPO in 2017 increased by 2 days over 2016 and decreased by 1 day from 2015, primarily reflecting routine variations in timing purchases and payments during the period.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During 2017, net cash used in investing activities primarily consisted of $578 million of capital expenditures and a net $277 million increase in notes receivable to and investments in Flash Ventures, partially offset by cash provided by a net $230 million decrease in our investments in marketable securities. During 2016, net cash used in investing activities primarily consisted of $9.84 billion related to the Merger, net of cash acquired, $632 million related to the purchase of investments, $584 million of capital expenditures, $90 million net increase in notes receivable to Flash Ventures and a net $76 million of other investing activities, partially offset by $1.20 billion of proceeds from sales of investments and $405 million of proceeds from maturities of investments. During 2015, net cash used in investing activities primarily consisted of $857 million related to the purchase of investments, $612 million of capital expenditures and $257 million related to acquisitions, net of cash acquired, partially offset by $505 million of proceeds from sales of investments and $263 million of proceeds from maturities of investments.</w:t>
      </w:r>
    </w:p>
    <w:p>
      <w:pPr>
        <w:spacing w:after="0" w:line="1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cash equivalents are primarily invested in highly liquid money market funds that are invested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During 2017, net cash used in financing activities primarily consisted of $11.70 billion to repay debt, $574 million to pay dividends on our common stock and $492 million to settle convertible debt, partially offset by $7.90 billion of proceeds from debt, net of issuance costs, a net $230 million provided by employee stock plans and $61 million of proceeds from call options. During 2016, net cash provided by financing activities consisted of $16.58 billion of proceeds from debt, net of issuance costs, $409 million of proceeds from call options, $125 million of proceeds from borrowings under our revolving credit facility and a net $74 million provided by employee stock plans, offset by a net $2.61 billion to settle convertible debt, $2.31 billion to repay debt,</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$613 million for payment upon settlement of warrants, $464 million to pay dividends on our common stock, $380 million to repay the revolving credit facility and $60 million to repurchase shares of our common stock. During 2015, net cash used in financing activities consisted of $970 million to repurchase shares of our common stock, $396 million to pay dividends on our common stock and $125 million to repay debt, partially offset by $255 million of proceeds from our revolving credit facility and a net $167 million provided by employee stock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8"/>
          <w:szCs w:val="18"/>
          <w:color w:val="auto"/>
        </w:rPr>
        <w:t xml:space="preserve">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we do not have an interest in, or relationships with, any special-purpose entities. For additional information regarding our off-balance sheet arrangements, see Part II, Item 8, Note 9,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Year (2018)</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2-3 Years (2019-</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4-5 Years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4"/>
              </w:rPr>
              <w:t>(Beyond 2022)</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27,145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5,732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4,989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10,224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580" w:firstLine="324"/>
        <w:spacing w:after="0" w:line="223" w:lineRule="exact"/>
        <w:rPr>
          <w:sz w:val="20"/>
          <w:szCs w:val="20"/>
          <w:color w:val="auto"/>
        </w:rPr>
      </w:pPr>
      <w:r>
        <w:rPr>
          <w:rFonts w:ascii="Arial" w:cs="Arial" w:eastAsia="Arial" w:hAnsi="Arial"/>
          <w:sz w:val="18"/>
          <w:szCs w:val="18"/>
          <w:color w:val="auto"/>
        </w:rPr>
        <w:t xml:space="preserve">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information regarding our indebtedness, including the principal repayment terms, interest rates, covenants and other key terms.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80" w:firstLine="324"/>
        <w:spacing w:after="0" w:line="221" w:lineRule="exact"/>
        <w:rPr>
          <w:sz w:val="20"/>
          <w:szCs w:val="20"/>
          <w:color w:val="auto"/>
        </w:rPr>
      </w:pPr>
      <w:r>
        <w:rPr>
          <w:rFonts w:ascii="Arial" w:cs="Arial" w:eastAsia="Arial" w:hAnsi="Arial"/>
          <w:sz w:val="16"/>
          <w:szCs w:val="16"/>
          <w:color w:val="auto"/>
        </w:rPr>
        <w:t xml:space="preserve">We have entered into interest rate swap agreements to moderate our exposure to fluctuations in interest rates underlying our variable rate debt. For a description of our current interest rate swaps, see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and Part II, Item 8, Note 5,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Flash Ventures sells and leases back from a consortium of financial institutions a portion of its tools and has entered into equipment lease agreements of which we guarantee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June 30, 2017, we were in compliance with all covenants under these Japanese lease facilities.</w:t>
      </w:r>
    </w:p>
    <w:p>
      <w:pPr>
        <w:spacing w:after="0" w:line="188" w:lineRule="exact"/>
        <w:rPr>
          <w:sz w:val="20"/>
          <w:szCs w:val="20"/>
          <w:color w:val="auto"/>
        </w:rPr>
      </w:pPr>
    </w:p>
    <w:p>
      <w:pPr>
        <w:ind w:right="100" w:firstLine="324"/>
        <w:spacing w:after="0" w:line="223" w:lineRule="exact"/>
        <w:rPr>
          <w:sz w:val="20"/>
          <w:szCs w:val="20"/>
          <w:color w:val="auto"/>
        </w:rPr>
      </w:pPr>
      <w:r>
        <w:rPr>
          <w:rFonts w:ascii="Arial" w:cs="Arial" w:eastAsia="Arial" w:hAnsi="Arial"/>
          <w:sz w:val="18"/>
          <w:szCs w:val="18"/>
          <w:color w:val="auto"/>
        </w:rPr>
        <w:t xml:space="preserve">See Part II, Item 8, Note 9,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information regarding Flash Ventures.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II, Item 8,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jc w:val="both"/>
        <w:ind w:right="60" w:firstLine="324"/>
        <w:spacing w:after="0" w:line="220" w:lineRule="exact"/>
        <w:rPr>
          <w:sz w:val="20"/>
          <w:szCs w:val="20"/>
          <w:color w:val="auto"/>
        </w:rPr>
      </w:pPr>
      <w:r>
        <w:rPr>
          <w:rFonts w:ascii="Arial" w:cs="Arial" w:eastAsia="Arial" w:hAnsi="Arial"/>
          <w:sz w:val="18"/>
          <w:szCs w:val="18"/>
          <w:color w:val="auto"/>
        </w:rPr>
        <w:t xml:space="preserve">As of June 30, 2017, the amount of unrecognized tax benefits, including related accrued interest and penalties, was $611 million, of which $493 million could result in potential cash payments. We are not able to provide a reasonable estimate of the timing of future tax payments related to these obligations. For additional information regarding our total tax liability for unrecognized tax benefits, see Part II, Item 8, Note 13, </w:t>
      </w:r>
      <w:r>
        <w:rPr>
          <w:rFonts w:ascii="Arial" w:cs="Arial" w:eastAsia="Arial" w:hAnsi="Arial"/>
          <w:sz w:val="18"/>
          <w:szCs w:val="18"/>
          <w:i w:val="1"/>
          <w:iCs w:val="1"/>
          <w:color w:val="auto"/>
        </w:rPr>
        <w:t>Income Tax Expense (Benefit)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Since the first quarter of 2013, we have issued a quarterly cash dividend. On May 3, 2017, we declared a cash dividend of $0.50 per share of our common stock to our shareholders of record as of June 30, 2017. The cash dividend of $147 million was paid on July 17, 2017. On August 2, 2017, we declared a cash dividend of $0.50 per share of our common stock to our shareholders of record as of September 29, 2017. The cash dividend will be paid on October 16, 2017. We may modify, suspend, or cancel our cash dividend policy in any manner and at any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March 2017, the Financial Accounting Standards Board (“FASB”) issued Accounting Standards Update (“ASU”) No. 2017-07, “Compensation— Retirement Benefits (Topic 715): Improving the Presentation of Net Periodic Pension Cost and Net Periodic Postretirement Benefit Cost” (“ASU 2017-07”).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new standard is effective for fiscal years beginning after December 15, 2017, which for us is the first quarter of 2019. Early adoption is permitted within the first interim period. We are currently evaluating the impact ASU 2017-07 will have on our Consolidated Financial Statements.</w:t>
      </w:r>
    </w:p>
    <w:p>
      <w:pPr>
        <w:spacing w:after="0" w:line="17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(“ASU 2017-04”). ASU 2017-04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The new standard is effective for goodwill impairment tests in fiscal years beginning after December 15, 2019, which for us is the first quarter of 2021. Early adoption is permitted for goodwill impairment tests performed after January 1, 2017. The adoption of this standard is not expected to have a material impact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(“ASU 2016-16”). ASU 2016-16 removes the prohibition in the FASB Accounting Standards Codification (“ASC”) Topic 740 against the immediate recognition of the current and deferred income tax effects of intra-entity transfers of assets other than inventory. The new standard is intended to reduce the complexity of U.S. GAAP and diversity in practice related to the tax consequences of certain types of intra-entity asset transfers, particularly those involving IP. The new standard is effective for fiscal years beginning after December 15, 2017, which for us is the first quarter of 2019. Early adoption is permitted. We are currently evaluating the impact ASU 2016-16 will have on our Consolidated Financial Statements.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ASU 2016-15 addresses certain cash flows issues regarding the classification of certain cash receipts and cash payments, which, among others, includes our disclosure requirement related to debt prepayment or extinguishment costs and distributions received from equity method investees. The new standard is effective for fiscal years beginning after December 15, 2017, which for us is the first quarter of 2019. Early adoption is permitted. We expect to adopt this standard in the first quarter of 2018. The adoption of this standard is not expected to have a material impact on our Consolidated Financial Statements.</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(“ASU 2016-09”). ASU 2016-09 simplifies several aspects of the accounting for stock-based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We will adopt this standard in the first quarter of 2018 using the modified retrospective approach. This adoption will result in a one-time increase to beginning retained earnings for cumulative adjustments of $58 million for the unrecognized windfall tax benefits related to previous vesting and exercises of stock-based awards and $19 million related to the change in our accounting policy for estimated forfeitures and share cancellations. In addition, under the new standard, we will prospectively reflect the tax deficiencies and benefits as an operating activity, rather than as a financing activity under the previous standard, in our Consolidated Statements of Cash Flows.</w:t>
      </w:r>
    </w:p>
    <w:p>
      <w:pPr>
        <w:spacing w:after="0" w:line="18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February 2016, the FASB issued ASU No. 2016-02, “Leases (Topic 842)” (“ASU 2016-02”). ASU 2016-02, among other things, requires lessees to recognize a right-of-use asset and a lease liability for leases. We expect to adopt this standard in the first quarter of 2020. We are currently evaluating the impact ASU 2016-02 will have on our Consolidated Financial Statements and related disclosures.</w:t>
      </w:r>
    </w:p>
    <w:p>
      <w:pPr>
        <w:spacing w:after="0" w:line="18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We are currently evaluating the impact ASU 2016-01 will have on our Consolidated Financial Statements.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(Topic 606)” (“ASC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standard is effective beginning the first quarter of fiscal 2019, with early adoption permitted. The standard may be applied retrospectively to all prior periods presented (“full retrospective method”), or retrospectively with the cumulative effect of initially applying the guidance recognized at the date of initial application (“modified retrospective method”). Based on our preliminary plan, we intend to adopt the new standard beginning with the first quarter of 2019 using the modified retrospective method. However, we continue to assess this in connection with our entire project plan.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the implementation of the new standard to impact the recognition of our revenue as follows:</w:t>
      </w:r>
    </w:p>
    <w:p>
      <w:pPr>
        <w:spacing w:after="0" w:line="225" w:lineRule="exact"/>
        <w:rPr>
          <w:sz w:val="20"/>
          <w:szCs w:val="20"/>
          <w:color w:val="auto"/>
        </w:rPr>
      </w:pPr>
    </w:p>
    <w:p>
      <w:pPr>
        <w:ind w:left="660" w:right="3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31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 which we do not expect to be material.</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software and IP licenses, we are still assessing the impact and timing to revenue from the implementation of the new standard. However, we do not currently expect the new standard to have a material impact on our revenue for these types of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revenue disclosures are expected to expand and may require judgment in certain areas.</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As we are completing our assessment, we are also identifying and preparing to implement changes to our processes, internal controls and systems configurations from the implementation of the new revenue standard. We do not currently expect any significant changes to our other accounting policies from the adoption of the new revenue standard. Our implementation efforts are progressing as planned.</w:t>
      </w:r>
    </w:p>
    <w:p>
      <w:pPr>
        <w:spacing w:after="0" w:line="181" w:lineRule="exact"/>
        <w:rPr>
          <w:sz w:val="20"/>
          <w:szCs w:val="20"/>
          <w:color w:val="auto"/>
        </w:rPr>
      </w:pPr>
    </w:p>
    <w:p>
      <w:pPr>
        <w:jc w:val="both"/>
        <w:ind w:right="100" w:firstLine="324"/>
        <w:spacing w:after="0" w:line="221" w:lineRule="exact"/>
        <w:rPr>
          <w:sz w:val="20"/>
          <w:szCs w:val="20"/>
          <w:color w:val="auto"/>
        </w:rPr>
      </w:pPr>
      <w:r>
        <w:rPr>
          <w:rFonts w:ascii="Arial" w:cs="Arial" w:eastAsia="Arial" w:hAnsi="Arial"/>
          <w:sz w:val="18"/>
          <w:szCs w:val="18"/>
          <w:color w:val="auto"/>
        </w:rPr>
        <w:t xml:space="preserve">For a description of recently adopted accounting pronouncements, including the respective dates of adoption and effects on our results of operations and financial condition, see Part II, Item 8, Note 2,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prepared the accompanying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We believe the following are our most critical accounting policies that affect significant areas and involve judgment and estimates made by us. If these estimates differ significantly from actual results, the impact to Consolidated Financial Statements may be material.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accordance with standard industry practice, we provide distributors and retailers (collectively referred to as “resellers”) with limited price protection for inventories held by resellers at the time of published list price reductions and/or a right of return and we provide resellers and OEMs with other sales incentive programs. At the time we recognize revenue to resellers and OEMs, we record a reduction of revenue for estimated price protection and/or returns until the resellers sell such inventory to their customers and we also record a reduction of revenue for the other programs in effect. We base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our products or market conditions differ from our expectations, our operating results could be materially affected. We also have programs under which we reimburse qualified distributors and retailers for certain marketing expenditures, which are recorded as a reduction of revenue. These amounts generally vary according to several factors including industry conditions, seasonal demand, competitor actions, channel mix and overall availability of product. Changes in future customer demand and market conditions may require us to adjust our incentive programs as a percentage of gross revenue from the current range. Total sales incentive and marketing programs have ranged from 8% to 14% of gross revenue and adjustments to revenue due to changes in accruals for these programs related to revenue reported in prior periods have generally averaged less than 1% of gross revenue over the last three fiscal years.</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establish provisions against revenue and cost of revenue for sales returns in the same period that the related revenue is recognized. We base these provisions on existing product return notifications. If actual sales returns exceed expectations, an increase in the sales return accrual would be required, which could materially affect operating results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value inventories at the lower of cost (first-in, first-out) or net realizable value. We record inventory write-downs for the valuation of inventory at the lower of cost or net realizable value by analyzing market conditions and estimates of future sales prices as compared to inventory costs and inventory balances.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inventory balances for excess quantities and obsolescence on a regular basis by analyzing estimated demand, inventory on hand, sales levels and other information and reduce inventory balances to net realizable value for excess and obsolete inventory based on this analysis. Unanticipated changes in technology or customer demand could result in a decrease in demand for one or more of our products, which may require a write down of inventory that could materially affect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 xml:space="preserve">When we become aware of a claim or potential claim, we assess the likelihood of any loss or exposure. We disclose information regarding each material claim where the likelihood of a loss contingency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judgments, estimates and inherent uncertainties. The actual outcome of such matters could differ materially from management’s estimates. For additional information, see Part II, Item 8, Note 17,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account for income taxes under the asset and liability method, which provides that deferred tax assets and liabilities be recognized for temporary differences between the financial reporting basis and the tax basis of our assets and liabilities and expected benefits of utilizing net operating loss and tax credit carryforwards. We record a valuation allowance when it is more likely than not that the deferred tax assets will not be realized. Each quarter, we evaluate the need for a valuation allowance for our deferred tax assets and we adjust the valuation allowance so that we record net deferred tax assets only to the extent that we conclude it is more likely than not that these deferred tax assets will be realized.</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recognize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previously-recorded liabilities for unrealized tax benefits and materially affect our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Goodwill is not amortized. Instead, it is tested for impairment on an annual basis or more frequently whenever events or changes in circumstances indicate that goodwill may be impaired. We perform our annual impairment test as of the first day of our fiscal fourth quarter. We either use qualitative factors to determine whether goodwill is more likely than not impaired or we perform a two-step approach to quantify impairment. If we conclude from the qualitative assessment that goodwill is more likely than not impaired, we are required to follow a two-step approach to quantify the impairment. We are required to use judgment when applying the goodwill impairment test, including the identification of reporting units, assignment of assets and liabilities to reporting units, assignment of goodwill to reporting units and determination of the fair value of each reporting unit. In addition, the estimates used to determine the fair value of each reporting unit may change based on results of operations, macroeconomic conditions or other factors. Changes in these estimates could materially affect our assessment of the fair value and goodwill impairment for each reporting unit. If our stock price decreases significantly, goodwill could become impaired, which could result in a material charge and adversely affect our results of operations.</w:t>
      </w:r>
    </w:p>
    <w:p>
      <w:pPr>
        <w:spacing w:after="0" w:line="18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In-process research and development (“IPR&amp;D”) is an intangible asset accounted as an indefinite-lived asset until the completion or abandonment of the associated R&amp;D effort. During the development period, we conduct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the impact of the economic environment on us and our customer base. If impairment is indicated, the impairment is measured as the amount by which the carrying amount of the assets exceeds the fair value of the assets.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w:t>
      </w: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240" w:top="125" w:right="3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II, Item 8,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of the Notes to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6"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As of June 30, 2017,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Unrealized Gain</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41"/>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British pound sterling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1,100</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0.87</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1,092</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111.55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118</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4.39</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50.26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1.39</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Thai baht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34.37</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4"/>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Total forward contracts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2,786</w:t>
            </w:r>
          </w:p>
        </w:tc>
        <w:tc>
          <w:tcPr>
            <w:tcW w:w="17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During 2017 and 2016, total net realized transaction and foreign exchange contract currency gains and losses were not material to our Consolidated Financial Statements.</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Borrowings under our Term Loan A and our revolving credit facility bear interest at a rate per annum, at our option, of either an adjusted LIBOR rate (subject to a 0.0% floor) plus an applicable margin of 2.00% or at a base rate plus an applicable margin of 1.0% (3.23% as of June 30, 2017). The applicable margin for the borrowings under our Term Loan A and our revolving credit facility will range, depending on our leverage, from 1.50% to 2.25% for LIBOR loans and from 0.50% to 1.25% for base rate loans.</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Borrowings under the U.S. Term Loan B-2 tranche bear interest at a rate per annum, at our option, of an adjusted LIBOR rate, subject to a 0.75% floor, plus 2.75% or a base rate plus 1.75% (3.98% as of June 30, 2017). Borrowings under the Euro Term Loan B-2 tranche bear interest at a rate per annum, at our option, equal to an adjusted EURIBOR rate, subject to a 0.75% floor, plus 2.00% (2.75% as of June 30, 2017).</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generally held a balance of fixed and variable rate debt. At June 30, 2017, 61% of the par value of our debt was at variable rates. To balance the portfolio, we entered into a pay-fixed interest rate swap on $1.00 billion notional amount, which effectively converts a portion of our term loan to fixed rates through May 2020. As of June 30, 2017, we had $8.10 billion of variable rate debt. After giving effect to the $1.00 billion of interest rate swaps, we effectively had $7.10 billion of long-term debt subject to variations in interest rates and a one percent increase in the variable rate of interest, subject to each loan’s specific floor, would increase annual interest expense by $61 million.</w:t>
      </w:r>
    </w:p>
    <w:p>
      <w:pPr>
        <w:spacing w:after="0" w:line="188" w:lineRule="exact"/>
        <w:rPr>
          <w:sz w:val="20"/>
          <w:szCs w:val="20"/>
          <w:color w:val="auto"/>
        </w:rPr>
      </w:pPr>
    </w:p>
    <w:p>
      <w:pPr>
        <w:ind w:right="10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term loans and our interest rate swaps,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0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70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904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Index to Financial Statements and Financial Statement Schedule</w:t>
            </w:r>
          </w:p>
        </w:tc>
        <w:tc>
          <w:tcPr>
            <w:tcW w:w="1700" w:type="dxa"/>
            <w:vAlign w:val="bottom"/>
          </w:tcPr>
          <w:p>
            <w:pPr>
              <w:spacing w:after="0"/>
              <w:rPr>
                <w:sz w:val="24"/>
                <w:szCs w:val="24"/>
                <w:color w:val="auto"/>
              </w:rPr>
            </w:pPr>
          </w:p>
        </w:tc>
      </w:tr>
      <w:tr>
        <w:trPr>
          <w:trHeight w:val="399"/>
        </w:trPr>
        <w:tc>
          <w:tcPr>
            <w:tcW w:w="68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PAGE NO.</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Reports of Independent Registered Public Accounting Firm</w:t>
            </w:r>
          </w:p>
        </w:tc>
        <w:tc>
          <w:tcPr>
            <w:tcW w:w="1700" w:type="dxa"/>
            <w:vAlign w:val="bottom"/>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Balance Sheets — As of June 30, 2017 and July 1, 2016</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 Three Years Ended June 30, 2017</w:t>
            </w:r>
          </w:p>
        </w:tc>
        <w:tc>
          <w:tcPr>
            <w:tcW w:w="1700" w:type="dxa"/>
            <w:vAlign w:val="bottom"/>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Statements of Comprehensive Income — Three Years Ended June 30, 2017</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Cash Flows — Three Years Ended June 30, 2017</w:t>
            </w:r>
          </w:p>
        </w:tc>
        <w:tc>
          <w:tcPr>
            <w:tcW w:w="1700" w:type="dxa"/>
            <w:vAlign w:val="bottom"/>
          </w:tcPr>
          <w:p>
            <w:pPr>
              <w:jc w:val="cente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Consolidated Statements of Shareholders' Equity — Three Years Ended June 30, 2017</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r>
      <w:tr>
        <w:trPr>
          <w:trHeight w:val="243"/>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r>
      <w:tr>
        <w:trPr>
          <w:trHeight w:val="594"/>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 Schedule:</w:t>
            </w:r>
          </w:p>
        </w:tc>
        <w:tc>
          <w:tcPr>
            <w:tcW w:w="1700" w:type="dxa"/>
            <w:vAlign w:val="bottom"/>
          </w:tcPr>
          <w:p>
            <w:pPr>
              <w:spacing w:after="0"/>
              <w:rPr>
                <w:sz w:val="24"/>
                <w:szCs w:val="24"/>
                <w:color w:val="auto"/>
              </w:rPr>
            </w:pPr>
          </w:p>
        </w:tc>
      </w:tr>
      <w:tr>
        <w:trPr>
          <w:trHeight w:val="27"/>
        </w:trPr>
        <w:tc>
          <w:tcPr>
            <w:tcW w:w="97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Schedule II — Consolidated Valuation and Qualifying Accounts — Three Years Ended June 30, 2017</w:t>
            </w:r>
          </w:p>
        </w:tc>
        <w:tc>
          <w:tcPr>
            <w:tcW w:w="1700" w:type="dxa"/>
            <w:vAlign w:val="bottom"/>
            <w:tcBorders>
              <w:bottom w:val="single" w:sz="8" w:color="CCEEFF"/>
            </w:tcBorders>
            <w:shd w:val="clear" w:color="auto" w:fill="CCEEFF"/>
          </w:tcPr>
          <w:p>
            <w:pPr>
              <w:jc w:val="center"/>
              <w:spacing w:after="0"/>
              <w:rPr>
                <w:rFonts w:ascii="Arial" w:cs="Arial" w:eastAsia="Arial" w:hAnsi="Arial"/>
                <w:sz w:val="18"/>
                <w:szCs w:val="18"/>
                <w:color w:val="0000EE"/>
                <w:w w:val="86"/>
              </w:rPr>
            </w:pPr>
            <w:hyperlink w:anchor="page142">
              <w:r>
                <w:rPr>
                  <w:rFonts w:ascii="Arial" w:cs="Arial" w:eastAsia="Arial" w:hAnsi="Arial"/>
                  <w:sz w:val="18"/>
                  <w:szCs w:val="18"/>
                  <w:color w:val="0000EE"/>
                  <w:w w:val="86"/>
                </w:rPr>
                <w:t>140</w:t>
              </w:r>
            </w:hyperlink>
          </w:p>
        </w:tc>
      </w:tr>
      <w:tr>
        <w:trPr>
          <w:trHeight w:val="675"/>
        </w:trPr>
        <w:tc>
          <w:tcPr>
            <w:tcW w:w="680" w:type="dxa"/>
            <w:vAlign w:val="bottom"/>
          </w:tcPr>
          <w:p>
            <w:pPr>
              <w:spacing w:after="0"/>
              <w:rPr>
                <w:sz w:val="24"/>
                <w:szCs w:val="24"/>
                <w:color w:val="auto"/>
              </w:rPr>
            </w:pPr>
          </w:p>
        </w:tc>
        <w:tc>
          <w:tcPr>
            <w:tcW w:w="9040" w:type="dxa"/>
            <w:vAlign w:val="bottom"/>
          </w:tcPr>
          <w:p>
            <w:pPr>
              <w:jc w:val="right"/>
              <w:ind w:right="3830"/>
              <w:spacing w:after="0"/>
              <w:rPr>
                <w:sz w:val="20"/>
                <w:szCs w:val="20"/>
                <w:color w:val="auto"/>
              </w:rPr>
            </w:pPr>
            <w:r>
              <w:rPr>
                <w:rFonts w:ascii="Arial" w:cs="Arial" w:eastAsia="Arial" w:hAnsi="Arial"/>
                <w:sz w:val="18"/>
                <w:szCs w:val="18"/>
                <w:color w:val="auto"/>
              </w:rPr>
              <w:t>62</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have audited the accompanying consolidated balance sheets of Western Digital Corporation and subsidiaries as of June 30, 2017 and July 1, 2016, and the related consolidated statements of operations, comprehensive income, cash flows, and shareholders’ equity, for each of the years in the three-year period ended June 30, 2017. In connection with our audits of the consolidated financial statements, we have also audited the related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5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Western Digital Corporation and subsidiaries as of June 30, 2017 and July 1, 2016, and the results of their operations and their cash flows for each of the years in the three-year period ended June 30, 2017,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Western Digital Corporation and subsidiaries’ internal control over financial reporting as of June 30,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and our report dated August 28, 2017,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1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28,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 xml:space="preserve">We have audited Western Digital Corporation and subsidiaries’ internal control over financial reporting as of June 30,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Western Digital Corporation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 Company’s internal control over financial reporting based on our audit.</w:t>
      </w:r>
    </w:p>
    <w:p>
      <w:pPr>
        <w:spacing w:after="0" w:line="15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 xml:space="preserve">In our opinion, Western Digital Corporation and subsidiaries maintained, in all material respects, effective internal control over financial reporting as of June 30,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Western Digital Corporation and subsidiaries as of June 30, 2017 and July 1, 2016, the related consolidated statements of operations, comprehensive income, cash flows, and shareholders’ equity for each of the years in the three-year period ended June 30, 2017, and the related financial statement schedule, and our report dated August 28, 2017, expressed an unqualified opinion on those consolidated financial statements and financial statement schedule.</w:t>
      </w:r>
    </w:p>
    <w:p>
      <w:pPr>
        <w:spacing w:after="0" w:line="10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28,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Irvine, California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520"/>
              <w:spacing w:after="0"/>
              <w:rPr>
                <w:sz w:val="20"/>
                <w:szCs w:val="20"/>
                <w:color w:val="auto"/>
              </w:rPr>
            </w:pPr>
            <w:r>
              <w:rPr>
                <w:rFonts w:ascii="Arial" w:cs="Arial" w:eastAsia="Arial" w:hAnsi="Arial"/>
                <w:sz w:val="14"/>
                <w:szCs w:val="14"/>
                <w:b w:val="1"/>
                <w:bCs w:val="1"/>
                <w:color w:val="auto"/>
              </w:rPr>
              <w:t>July 1,</w:t>
            </w:r>
          </w:p>
        </w:tc>
      </w:tr>
      <w:tr>
        <w:trPr>
          <w:trHeight w:val="192"/>
        </w:trPr>
        <w:tc>
          <w:tcPr>
            <w:tcW w:w="8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23"/>
        </w:trPr>
        <w:tc>
          <w:tcPr>
            <w:tcW w:w="812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b w:val="1"/>
                <w:bCs w:val="1"/>
                <w:color w:val="auto"/>
              </w:rPr>
              <w:t>ASSETS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227</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2,129</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11,056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Notes receivable and investments in Flash Ventures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1,171</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5,034</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29,860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32,862</w:t>
            </w:r>
          </w:p>
        </w:tc>
      </w:tr>
      <w:tr>
        <w:trPr>
          <w:trHeight w:val="73"/>
        </w:trPr>
        <w:tc>
          <w:tcPr>
            <w:tcW w:w="8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190"/>
        </w:trPr>
        <w:tc>
          <w:tcPr>
            <w:tcW w:w="8120" w:type="dxa"/>
            <w:vAlign w:val="bottom"/>
            <w:tcBorders>
              <w:bottom w:val="single" w:sz="8" w:color="CCEEFF"/>
            </w:tcBorders>
            <w:shd w:val="clear" w:color="auto" w:fill="CCEEFF"/>
          </w:tcPr>
          <w:p>
            <w:pPr>
              <w:ind w:left="396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10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 to Flash Ventures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168</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392</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warranty</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Bridge loan</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2,995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6,949</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1,108</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18,442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Commitments and contingencies (Notes 6, 9, 13 and 17)</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Common stock, $0.01 par value; authorized — 450 shares; issued — 312 shares in 2017 and 2016; outstanding — 294</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in 2017 and 284 shares in 2016</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4,506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4,429</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8,633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8,848</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 common shares at cost; 18 shares in 2017 and 28 shares in 2016</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shareholders’ equity</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11,145</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29,860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32,862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11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1,</w:t>
            </w:r>
          </w:p>
        </w:tc>
        <w:tc>
          <w:tcPr>
            <w:tcW w:w="260" w:type="dxa"/>
            <w:vAlign w:val="bottom"/>
          </w:tcPr>
          <w:p>
            <w:pPr>
              <w:spacing w:after="0"/>
              <w:rPr>
                <w:sz w:val="13"/>
                <w:szCs w:val="13"/>
                <w:color w:val="auto"/>
              </w:rPr>
            </w:pPr>
          </w:p>
        </w:tc>
        <w:tc>
          <w:tcPr>
            <w:tcW w:w="10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504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10,351</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50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788</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2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2,610</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2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5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Basic</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6.31</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237</w:t>
            </w:r>
          </w:p>
        </w:tc>
      </w:tr>
      <w:tr>
        <w:trPr>
          <w:trHeight w:val="27"/>
        </w:trPr>
        <w:tc>
          <w:tcPr>
            <w:tcW w:w="5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459"/>
        </w:trPr>
        <w:tc>
          <w:tcPr>
            <w:tcW w:w="9000" w:type="dxa"/>
            <w:vAlign w:val="bottom"/>
            <w:gridSpan w:val="6"/>
          </w:tcPr>
          <w:p>
            <w:pPr>
              <w:jc w:val="right"/>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5040" w:type="dxa"/>
            <w:vAlign w:val="bottom"/>
          </w:tcPr>
          <w:p>
            <w:pPr>
              <w:spacing w:after="0"/>
              <w:rPr>
                <w:sz w:val="24"/>
                <w:szCs w:val="24"/>
                <w:color w:val="auto"/>
              </w:rPr>
            </w:pPr>
          </w:p>
        </w:tc>
        <w:tc>
          <w:tcPr>
            <w:tcW w:w="2400" w:type="dxa"/>
            <w:vAlign w:val="bottom"/>
          </w:tcPr>
          <w:p>
            <w:pPr>
              <w:jc w:val="right"/>
              <w:ind w:right="15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July 1,</w:t>
            </w:r>
          </w:p>
        </w:tc>
        <w:tc>
          <w:tcPr>
            <w:tcW w:w="300" w:type="dxa"/>
            <w:vAlign w:val="bottom"/>
          </w:tcPr>
          <w:p>
            <w:pPr>
              <w:spacing w:after="0"/>
              <w:rPr>
                <w:sz w:val="13"/>
                <w:szCs w:val="13"/>
                <w:color w:val="auto"/>
              </w:rPr>
            </w:pPr>
          </w:p>
        </w:tc>
        <w:tc>
          <w:tcPr>
            <w:tcW w:w="9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pension gain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unrealized gain on available-for-sale securities</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7"/>
              </w:rPr>
              <w:t>Income tax benefit (expense) related to items of other comprehensive income (loss), before tax</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1,433</w:t>
            </w:r>
          </w:p>
        </w:tc>
      </w:tr>
      <w:tr>
        <w:trPr>
          <w:trHeight w:val="27"/>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3"/>
                <w:szCs w:val="13"/>
                <w:color w:val="auto"/>
              </w:rPr>
            </w:pPr>
          </w:p>
        </w:tc>
        <w:tc>
          <w:tcPr>
            <w:tcW w:w="90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1,465</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1,114</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arbitration award</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264"/>
        </w:trPr>
        <w:tc>
          <w:tcPr>
            <w:tcW w:w="75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7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6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r>
      <w:tr>
        <w:trPr>
          <w:trHeight w:val="256"/>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operations</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2,242</w:t>
            </w: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(857)</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263</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56"/>
        </w:trPr>
        <w:tc>
          <w:tcPr>
            <w:tcW w:w="7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Proceeds from acquired call option</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convertible debt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(970)</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2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Repayment of revolving credit facility</w:t>
            </w: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Settlement of debt hedge contracts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17,108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255</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Payment upon settlement of acquired warrants</w:t>
            </w:r>
          </w:p>
        </w:tc>
        <w:tc>
          <w:tcPr>
            <w:tcW w:w="24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5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10,751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(1,069)</w:t>
            </w:r>
          </w:p>
        </w:tc>
      </w:tr>
      <w:tr>
        <w:trPr>
          <w:trHeight w:val="25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4,804</w:t>
            </w: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5,024</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41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3"/>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for income taxes</w:t>
            </w:r>
          </w:p>
        </w:tc>
        <w:tc>
          <w:tcPr>
            <w:tcW w:w="19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5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5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614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777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6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9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6140" w:type="dxa"/>
            <w:vAlign w:val="bottom"/>
          </w:tcPr>
          <w:p>
            <w:pPr>
              <w:ind w:left="40"/>
              <w:spacing w:after="0"/>
              <w:rPr>
                <w:sz w:val="20"/>
                <w:szCs w:val="20"/>
                <w:color w:val="auto"/>
              </w:rPr>
            </w:pPr>
            <w:r>
              <w:rPr>
                <w:rFonts w:ascii="Arial" w:cs="Arial" w:eastAsia="Arial" w:hAnsi="Arial"/>
                <w:sz w:val="14"/>
                <w:szCs w:val="14"/>
                <w:color w:val="auto"/>
              </w:rPr>
              <w:t>Common stock issued and equity awards assumed in connection with acquisition</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1,822</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in conjunction with settlement of convertible notes</w:t>
            </w:r>
          </w:p>
        </w:tc>
        <w:tc>
          <w:tcPr>
            <w:tcW w:w="19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140" w:type="dxa"/>
            <w:vAlign w:val="bottom"/>
          </w:tcPr>
          <w:p>
            <w:pPr>
              <w:ind w:left="40"/>
              <w:spacing w:after="0"/>
              <w:rPr>
                <w:sz w:val="20"/>
                <w:szCs w:val="20"/>
                <w:color w:val="auto"/>
              </w:rPr>
            </w:pPr>
            <w:r>
              <w:rPr>
                <w:rFonts w:ascii="Arial" w:cs="Arial" w:eastAsia="Arial" w:hAnsi="Arial"/>
                <w:sz w:val="14"/>
                <w:szCs w:val="14"/>
                <w:color w:val="auto"/>
              </w:rPr>
              <w:t>Shares received in conjunction with assumed call options</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Accrual of cash dividend declared</w:t>
            </w:r>
          </w:p>
        </w:tc>
        <w:tc>
          <w:tcPr>
            <w:tcW w:w="19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27, 2014</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8,842</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awards assumed in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Increase in excess tax benefits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loss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 2015</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9,107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9,219</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issued in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connection with acquisition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Stock awards assumed in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acquisition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excess tax benefits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5"/>
              </w:rPr>
              <w:t>Shares issued in conjunction with</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settlement of convertible notes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received in conjunction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assumed call options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Actuarial pension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1, 2016</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11,145</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excess tax benefits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from 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5"/>
              </w:rPr>
              <w:t>Shares issued in conjunction with</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settlement of convertible notes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received in conjunction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 assumed call options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Net unrealized gain on available-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for-sale securities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7"/>
              </w:rPr>
              <w:t>Net unrealized loss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2017</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 three categories.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fiscal year ends on the Friday nearest to June 30 and typically consists of 52 weeks. Approximately every six years, the Company reports a 53-week fiscal year to align the fiscal year with the foregoing policy. Fiscal years 2017 and 2016, which ended on June 30, 2017 and July 1, 2016, respectively, both comprised 52 weeks, with all quarters consisting of 13 weeks. Fiscal year 2015, which ended on July 3, 2015, comprised 53 weeks, with the first quarter consisting of 14 weeks and the second, third and fourth quarters consisting of 13 weeks each.</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a component of stockholders’ equity.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in the consolidated statements of cash flows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cash equivalents represent highly liquid investments in money market funds, which are invested in U.S. Treasury securities and U.S. Government agency securities as well as bank certificates of deposit with original maturities at purchase of three months or less. Cash equivalents are carried at cost plus accrued interest, which approximates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Company invests in U.S. Treasury securities, U.S. and International Government agency securities, certificates of deposit, asset-backed securities, and corporate and municipal notes and bonds, with original maturities at purchase of more than three months. These investments are classified as available-for-sale securities and included within short-term investments and other non-current assets in the Consolidated Balance Sheets. Available-for-sale securities are stated at fair value with unrealized gains and losses included in accumulated other comprehensive income (loss), which is a component of shareholders’ equity. Gains and losses on available-for-sale securities are recorded based on the specific identification method. The Company evaluates the available-for-sale securities in an unrealized loss position for other-than-temporary impairment. The amortized cost of available-for-sale securities is adjusted for amortization of premiums and accretion of discounts to maturity. Such amortization and accretion are included in total other expense, net in the consolidated statements of operations. In addition, realized gains and losses are included in total other expense, net in the consolidated statements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 of Operations.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accounts for investments in equity securities of other entities under the cost method of accounting if the Company’s ownership interest is less than 20% and the Company does not have the ability to exercise significant influence over operating and financial policies of the investee. Investments accounted for under the cost method of accounting are recorded within Other non-current assets in the Consolidated Balance Sheets and are also periodically analyzed to determine whether or not there are indicators of impairment.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 evaluates its investments and other significant relationships to determine whether any investee is a variable interest entity (“VIE”). If the Company concludes that an investee is a VIE, the Company evaluates its power to direct the activities of the investee, its obligation to absorb the expected losses of the investee and its right to receive the expected residual returns of the investee to determine whether the Company is the primary beneficiary of the investee. If the Company is the primary beneficiary of a VIE, the Company consolidates such entity and reflects the non-controlling interest of other beneficiaries of that entity. The Company does not consolidate any cost method investment or equity method investment entities.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values inventories at the lower of cost (first-in, first out and weighted-average methods) or net realizable value. The first-in, first-out (“FIFO”) method is used to value the cost of the majority of the Company’s inventories, while the weighted-average method is used to value precious metal inventories. Weighted-average cost is calculated based upon the cost of precious metals at the time they are received by the Company. The Company has determined that it is not practicable to assign specific costs to individual units of precious metals and, as such, precious metals are relieved from inventory based on the weighted-average cost of the inventory at the time the inventory is used in production. The weighted average method of valuing precious metals does not materially differ from the FIFO method. Inventory write-downs are recorded for the valuation of inventory at the lower of cost or net realizable value by analyzing market conditions and estimates of future sales prices as compared to inventory costs and inventory balances.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evaluates inventory balances for excess quantities and obsolescence on a regular basis by analyzing estimated demand, inventory on hand, sales levels and other information and reduces inventory balances to net realizable value for excess and obsolete inventory based on this analysis. Unanticipated changes in technology or customer demand could result in a decrease in demand for one or more of the Company’s products, which may require a write down of inventory that could materially affect operating results.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Property and equipment are carried at cost less accumulated depreciation and amortization. The cost of property, plant and equipment is depreciated over the estimated useful lives of the respective assets. The Company’s buildings are depreciated over periods ranging from fifteen to thirty-five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application of acquisition accounting to a business combination requires that the Company identify the individual assets acquired and liabilities assumed and estimate the fair value of each. The fair value of assets acquired and liabilities assumed in a business acquisition are recognized at the acquisition date using a combination of valuation techniques, with the purchase price exceeding the fair values being recognized as goodwill. Determining fair value of identifiable assets, particularly intangibles, liabilities acquired and contingent obligations assumed requires management to make estimates. In certain circumstances, the allocations of the excess purchase price are based upon preliminary estimates and assumptions and subject to revision when the Company receives final information, including appraisals and other analyses. Accordingly, the measurement period for such purchase price allocations will end when the information, or the facts and circumstances, becomes available, but will not exceed twelve months. The Company will recognize measurement-period adjustments during the period of resolution, including the effect on earnings of any amounts that would have been recorded in previous periods if the accounting had been completed at the acquisition date.</w:t>
      </w:r>
    </w:p>
    <w:p>
      <w:pPr>
        <w:spacing w:after="0" w:line="18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Goodwill and intangible assets often represent a significant portion of the assets acquired in a business combination. The Company recognizes the fair value of an acquired intangible apart from goodwill whenever the intangible arises from contractual or other legal rights, or when it can be separated or divided from the acquired entity and sold, transferred, licensed, rented or exchanged, either individually or in combination with a related contract, asset or liability. Intangible assets consist primarily of technology, customer relationships, and trade name and trademarks acquired in business combinations and in-process research and development (“IPR&amp;D”). The Company’s assessment of IPR&amp;D also includes consideration of the risk of the projects not achieving technological feasibility.</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Other Long-Lived Assets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Goodwill is not amortized. Instead, it is tested for impairment on an annual basis or more frequently whenever events or changes in circumstances indicate that goodwill may be impaired. The Company performs an annual impairment test as of the first day of its fiscal fourth quarter. The Company either uses qualitative factors to determine whether goodwill is more likely than not impaired or performs a two-step approach to quantify impairment. If the Company concludes from the qualitative assessment that goodwill is more likely than not impaired, the Company is required to follow a two-step approach to quantify the impairment. The Company is required to use judgment when applying the goodwill impairment test, including the identification of reporting units, assignment of assets, liabilities and goodwill to reporting units, and determination of the fair value of each reporting unit. In addition, the estimates used to determine the fair value of reporting units may change based on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IPR&amp;D is an intangible asset accounted as an indefinite-lived asset until the completion or abandonment of the associated research and development effort. 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the Company and on its customer base. If impairment is indicated, the impairment is measured as the amount by which the carrying amount of the assets exceeds the fair value of the assets.</w:t>
      </w:r>
    </w:p>
    <w:p>
      <w:pPr>
        <w:spacing w:after="0" w:line="19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 xml:space="preserve">Other long-lived intangible assets are amortized over their estimated useful lives based on the pattern in which the economic benefits are expected to be received. Long-lived assets are tested for recoverability whenever events or changes in circumstances indicate that their carrying amounts may not be recoverable. If impairment is indicated, the impairment is measured as the amount by which the carrying amount of the assets exceeds the fair value of the assets. The Company recorded impairments to certain long-lived assets in 2017, 2016 and 2015. See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Note 7,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and Note 15, </w:t>
      </w:r>
      <w:r>
        <w:rPr>
          <w:rFonts w:ascii="Arial" w:cs="Arial" w:eastAsia="Arial" w:hAnsi="Arial"/>
          <w:sz w:val="16"/>
          <w:szCs w:val="16"/>
          <w:i w:val="1"/>
          <w:iCs w:val="1"/>
          <w:color w:val="auto"/>
        </w:rPr>
        <w:t>Acquisitions</w:t>
      </w:r>
      <w:r>
        <w:rPr>
          <w:rFonts w:ascii="Arial" w:cs="Arial" w:eastAsia="Arial" w:hAnsi="Arial"/>
          <w:sz w:val="16"/>
          <w:szCs w:val="16"/>
          <w:color w:val="auto"/>
        </w:rPr>
        <w:t>, for additional disclosures related to the Company’s other intangible assets.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and Accounts Receivable</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Revenue is recognized when the title and risk of loss have passed to the customer, there is persuasive evidence of an arrangement, delivery has occurred, or services have been rendered, the sales price is fixed or determinable and collectability is reasonably assured. The Company establishes provisions against revenue and cost of revenue for estimated sales returns in the same period that the related revenue is recognized based on existing product return notifications. If actual sales returns exceed expectations, an increase in the sales return accrual would be required, which could materially affect operating results.</w:t>
      </w:r>
    </w:p>
    <w:p>
      <w:pPr>
        <w:spacing w:after="0" w:line="15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accordance with standard industry practice, the Company provides distributors and retailers (collectively referred to as “resellers”) with limited price protection for inventories held by resellers at the time of published list price reductions and/or a right of return and the Company provides resellers and original equipment manufacturers (“OEMs”) with other sales incentive programs. At the time the Company recognizes revenue to resellers and OEMs, a reduction of revenue is recorded for estimated price protection and/or returns until the resellers sell such inventory to their customers and the Company also records a reduction of revenue for the other programs in effect. The Company bases these adjustments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If customer demand for the Company’s products or market conditions differ from the Company’s expectations, the Company’s operating results could be materially affected. The Company also has programs under which it reimburses qualified distributors and retailers for certain marketing expenditures, which are recorded as a reduction of revenue.</w:t>
      </w:r>
    </w:p>
    <w:p>
      <w:pPr>
        <w:spacing w:after="0" w:line="16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Revenue from patent licensing arrangements is recognized when earned, estimable and realizable. The timing of revenue recognition is dependent on the terms of each license agreement and on the timing of sales of licensed products. The Company generally recognizes royalty revenue when it is reported to the Company by its licensees, which is generally one quarter in arrears from the licensees’ sales of licensed products. For licensing fees that are not determined by the licensees’ sales, the Company generally recognizes license fee revenue on a straight-line basis over the life of the license.</w:t>
      </w:r>
    </w:p>
    <w:p>
      <w:pPr>
        <w:spacing w:after="0" w:line="15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Some of the Company’s revenue arrangements are multiple-element arrangements because they are generally comprised of product, software and support services or multiple distinct licenses. For multiple-element arrangements, the Company evaluates whether each deliverable should be accounted for as a separate unit of accounting. For multiple-element arrangements that include support or software elements, the Company analyzes whether tangible products containing software and non-software components function together and therefore should be excluded from industry-specific software revenue recognition guidance. For all multiple-element arrangements, the Company allocates revenue to each element, or the software elements as a group, based on the relative selling price determined in accordance with the Company’s normal pricing and discounting practices for the specific element when sold separately. For multiple-element license agreements that include more than one license to distinct technology that are separate units of accounting, the Company allocates revenue to each license based on the relative selling price of each deliverable. License fees related to existing technology with no continuing performance obligations are generally recognized upon license commencement and other license fees are generally recognized on a straight-line basis over the life of the license. The Company primarily uses an estimate of selling price to allocate revenue for multiple-element license agreements based upon similar licenses, historical and estimated future sales volume, duration and market conditions.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Company records an allowance for doubtful accounts by analyzing specific customer accounts and assessing the risk of loss based on insolvency, disputes or other collection issues. In addition, the Company routinely analyzes the different receivable aging categories and establishes reserves based on a combination of past due receivables and expected future losses based primarily on its historical levels of bad debt losses. If the financial condition of a significant customer deteriorates resulting in its inability to pay its accounts when due, or if the Company’s overall loss history changes significantly, an adjustment in the Company’s allowance for doubtful accounts would be required, which could materially affect operating results.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 records an accrual for estimated warranty costs when revenue is recognized. The Company generally warrants its products for a period of one to five years, with a small number of products having a warranty ranging up to ten years or more. The warranty provision considers estimated product failure rates and trends, estimated replacement costs, estimated repair costs which include scrap costs and estimated costs for customer compensatory claims related to product quality issues, if any. For warranties ten years or greater, including lifetime warranties, the Company uses the estimated useful life of the product to calculate the warranty exposure.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If actual product return trends, costs to repair returned products or costs of customer compensatory claims differ significantly from estimates, future results of operations could be materially affected.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Other Contingencies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When the Company becomes aware of a claim or potential claim, the Company assesses the likelihood of any loss or exposure. The Company discloses information regarding each material claim where the likelihood of a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17,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additional disclosures related to the Company’s litigation.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Advertising Expense</w:t>
      </w:r>
    </w:p>
    <w:p>
      <w:pPr>
        <w:spacing w:after="0" w:line="225"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Advertising costs are expensed as incurred and amounted to $89 million, $60 million and $71 million in 2017, 2016 and 2015, respectively. These expenses are included in Selling, general and administrative (“SG&amp;A”) in the Consolidated Statements of Operations.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(“R&amp;D”) expenditures are expensed as incurred.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125"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The Company accounts for income taxes under the asset and liability method, which provides that deferred tax assets and liabilities be recognized for temporary differences between the financial reporting basis and the tax basis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previously-recorded liabilities for unrealized tax benefits, and may materially affect the Company’s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per Common Share</w:t>
      </w:r>
    </w:p>
    <w:p>
      <w:pPr>
        <w:spacing w:after="0" w:line="22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restricted stock unit awards (“RSUs”), performance-based restricted stock unit awards (“PSUs”), rights to purchase shares of common stock under the Company’s Employee Stock Purchase Plan (“ESPP”) and shares issuable in connection with convertible debt.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Company accounts for all stock-based compensation at fair value. Stock-based compensation cost is measured at the grant date based on the value of the award and is recognized as expense over the vesting period. The fair values of all stock options granted are estimated using a binomial option-pricing model, and the fair values of all ESPP purchase rights are estimated using the Black-Scholes-Merton option-pricing model. The Company accounts for stock appreciation rights (“SARs”) as liability awards based upon management’s intention to settle such awards in cash. All SARs issued to employees were fully vested, and the fair values are now solely subject to market price fluctuations. Both the binomial and the Black-Scholes-Merton option-pricing models require the input of highly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materially affected. PSUs are granted to certain employees and vest only after the achievement of pre-determined performance metrics. Once the performance metrics are met, vesting of PSUs is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Comprehensive Income (Loss), Net of Tax</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comprehensive income (loss), net of tax refers to revenue, expenses, gains and losses that are recorded as an element of shareholders’ equity but are excluded from net income. The Company’s other comprehensive income (loss), net of tax is comprised of unrealized gains or losses on foreign exchange contracts and interest rate swap agreements designated as cash flow hedges, available-for-sale securities, foreign currency translation, and actuarial gains or losses related to pensions.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Contracts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contracts are for risk management purposes only. The Company does not purchase foreign exchange contracts for speculative or trading purposes. The Company had foreign exchange contracts with commercial banks for British Pound Sterling, European Euro, Japanese yen, Malaysian ringgit, Philippine peso, Singapore dollar and Thai baht, which had an aggregate notional amount of $2.79 billion and $3.07 billion at June 30, 2017 and July 1, 2016, respectively.</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derivative is designated as a cash flow hedge, the effective portion of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spacing w:after="0" w:line="19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 xml:space="preserve">A change in the fair value of undesignated hedges is recognized in earnings in the period incurred and is reported in Other income (expense), net. See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for additional disclosures related to the Company’s foreign exchange contracts.</w:t>
      </w:r>
    </w:p>
    <w:p>
      <w:pPr>
        <w:spacing w:after="0" w:line="18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The Company accounts for its interest rate swap as a designated cash flow hedge to mitigate variations in interest payments under a portion of its LIBOR-based term loans due to variations in the LIBOR index. The Company pays interest monthly at a fixed rate and receives interest monthly at the LIBOR rate on the notional amount of the contract. The effective portion of the change in fair value of this designated cash flow hedge is deferred in other comprehensive income (loss), net of tax, with any ineffective portion recognized in Other income (expense), net. See Note 5, </w:t>
      </w:r>
      <w:r>
        <w:rPr>
          <w:rFonts w:ascii="Arial" w:cs="Arial" w:eastAsia="Arial" w:hAnsi="Arial"/>
          <w:sz w:val="18"/>
          <w:szCs w:val="18"/>
          <w:i w:val="1"/>
          <w:iCs w:val="1"/>
          <w:color w:val="auto"/>
        </w:rPr>
        <w:t>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and Note 6,</w:t>
      </w:r>
      <w:r>
        <w:rPr>
          <w:rFonts w:ascii="Arial" w:cs="Arial" w:eastAsia="Arial" w:hAnsi="Arial"/>
          <w:sz w:val="18"/>
          <w:szCs w:val="18"/>
          <w:i w:val="1"/>
          <w:iCs w:val="1"/>
          <w:color w:val="auto"/>
        </w:rPr>
        <w:t xml:space="preserve"> Debt</w:t>
      </w:r>
      <w:r>
        <w:rPr>
          <w:rFonts w:ascii="Arial" w:cs="Arial" w:eastAsia="Arial" w:hAnsi="Arial"/>
          <w:sz w:val="18"/>
          <w:szCs w:val="18"/>
          <w:color w:val="auto"/>
        </w:rPr>
        <w:t>, for further discussion on interest rate swaps.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Pensions and Other Post-Retirement Benefit Plans</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fiscal year-end. The Company recognizes the funded status of its defined benefit pension and post-retirement plans in the Consolidated Balance Sheets, with changes in the funded status recognized through accumulated other comprehensive income (loss) in the year in which such changes occur. See Note 8, </w:t>
      </w:r>
      <w:r>
        <w:rPr>
          <w:rFonts w:ascii="Arial" w:cs="Arial" w:eastAsia="Arial" w:hAnsi="Arial"/>
          <w:sz w:val="17"/>
          <w:szCs w:val="17"/>
          <w:i w:val="1"/>
          <w:iCs w:val="1"/>
          <w:color w:val="auto"/>
        </w:rPr>
        <w:t>Pension and Other Post-Retirement Benefit Plans</w:t>
      </w:r>
      <w:r>
        <w:rPr>
          <w:rFonts w:ascii="Arial" w:cs="Arial" w:eastAsia="Arial" w:hAnsi="Arial"/>
          <w:sz w:val="17"/>
          <w:szCs w:val="17"/>
          <w:color w:val="auto"/>
        </w:rPr>
        <w:t>, for additional disclosures related to the Company’s pensions and other post-retirement benefit plans.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Recently Adopted Accounting Pronouncements</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In April 2015, the Financial Accounting Standard Board (“FASB”) issued Accounting Standards Update (“ASU”) No. 2015</w:t>
      </w:r>
      <w:r>
        <w:rPr>
          <w:rFonts w:ascii="MS PGothic" w:cs="MS PGothic" w:eastAsia="MS PGothic" w:hAnsi="MS PGothic"/>
          <w:sz w:val="18"/>
          <w:szCs w:val="18"/>
          <w:color w:val="auto"/>
        </w:rPr>
        <w:t>‑</w:t>
      </w:r>
      <w:r>
        <w:rPr>
          <w:rFonts w:ascii="Arial" w:cs="Arial" w:eastAsia="Arial" w:hAnsi="Arial"/>
          <w:sz w:val="18"/>
          <w:szCs w:val="18"/>
          <w:color w:val="auto"/>
        </w:rPr>
        <w:t>05, “Intangibles — Goodwill and Other — Internal</w:t>
      </w:r>
      <w:r>
        <w:rPr>
          <w:rFonts w:ascii="MS PGothic" w:cs="MS PGothic" w:eastAsia="MS PGothic" w:hAnsi="MS PGothic"/>
          <w:sz w:val="18"/>
          <w:szCs w:val="18"/>
          <w:color w:val="auto"/>
        </w:rPr>
        <w:t>‑</w:t>
      </w:r>
      <w:r>
        <w:rPr>
          <w:rFonts w:ascii="Arial" w:cs="Arial" w:eastAsia="Arial" w:hAnsi="Arial"/>
          <w:sz w:val="18"/>
          <w:szCs w:val="18"/>
          <w:color w:val="auto"/>
        </w:rPr>
        <w:t>Use Software (Subtopic 350</w:t>
      </w:r>
      <w:r>
        <w:rPr>
          <w:rFonts w:ascii="MS PGothic" w:cs="MS PGothic" w:eastAsia="MS PGothic" w:hAnsi="MS PGothic"/>
          <w:sz w:val="18"/>
          <w:szCs w:val="18"/>
          <w:color w:val="auto"/>
        </w:rPr>
        <w:t>‑</w:t>
      </w:r>
      <w:r>
        <w:rPr>
          <w:rFonts w:ascii="Arial" w:cs="Arial" w:eastAsia="Arial" w:hAnsi="Arial"/>
          <w:sz w:val="18"/>
          <w:szCs w:val="18"/>
          <w:color w:val="auto"/>
        </w:rPr>
        <w:t>40)” (“ASU 2015</w:t>
      </w:r>
      <w:r>
        <w:rPr>
          <w:rFonts w:ascii="MS PGothic" w:cs="MS PGothic" w:eastAsia="MS PGothic" w:hAnsi="MS PGothic"/>
          <w:sz w:val="18"/>
          <w:szCs w:val="18"/>
          <w:color w:val="auto"/>
        </w:rPr>
        <w:t>‑</w:t>
      </w:r>
      <w:r>
        <w:rPr>
          <w:rFonts w:ascii="Arial" w:cs="Arial" w:eastAsia="Arial" w:hAnsi="Arial"/>
          <w:sz w:val="18"/>
          <w:szCs w:val="18"/>
          <w:color w:val="auto"/>
        </w:rPr>
        <w:t>05”), which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Company’s adoption of ASU 2015</w:t>
      </w:r>
      <w:r>
        <w:rPr>
          <w:rFonts w:ascii="MS PGothic" w:cs="MS PGothic" w:eastAsia="MS PGothic" w:hAnsi="MS PGothic"/>
          <w:sz w:val="18"/>
          <w:szCs w:val="18"/>
          <w:color w:val="auto"/>
        </w:rPr>
        <w:t>‑</w:t>
      </w:r>
      <w:r>
        <w:rPr>
          <w:rFonts w:ascii="Arial" w:cs="Arial" w:eastAsia="Arial" w:hAnsi="Arial"/>
          <w:sz w:val="18"/>
          <w:szCs w:val="18"/>
          <w:color w:val="auto"/>
        </w:rPr>
        <w:t>05 at the beginning of the current year did not have a material impact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During 2017, the Company did not sell any trade accounts receivable. During 2016, the Company sold trade accounts receivable and received cash proceeds of $225 million. The discounts on the trade accounts receivable sold during 2016 were not material and were recorded within Other income (expense), net in the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569</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w w:val="89"/>
              </w:rPr>
              <w:t>1,063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971</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2,129</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1,900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Software</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307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9,526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9,632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(6,129)</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3,033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3,503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of property, plant, and equipment totaled $960 million, $888 million and $809 million in 2017, 2016 and 2015,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190"/>
        </w:trPr>
        <w:tc>
          <w:tcPr>
            <w:tcW w:w="6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6"/>
        </w:trPr>
        <w:tc>
          <w:tcPr>
            <w:tcW w:w="6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Warranty liabilities assumed as a result of acquisitions</w:t>
            </w:r>
          </w:p>
        </w:tc>
        <w:tc>
          <w:tcPr>
            <w:tcW w:w="10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Charges to operations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Utilization</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Warranty accrual, end of period</w:t>
            </w:r>
          </w:p>
        </w:tc>
        <w:tc>
          <w:tcPr>
            <w:tcW w:w="108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221</w:t>
            </w:r>
          </w:p>
        </w:tc>
      </w:tr>
      <w:tr>
        <w:trPr>
          <w:trHeight w:val="33"/>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long-term portion of the warranty accrual classified in Other liabilities was $125 million and $107 million as of June 30, 2017 and July 1, 2016,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Other comprehensive income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Actuarial Pension</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on Available</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for Sale Securities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3,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Net current-period other comprehensive income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 at July 1, 2016</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Income tax benefit (expense) related to items of</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3540" w:type="dxa"/>
            <w:vAlign w:val="bottom"/>
          </w:tcPr>
          <w:p>
            <w:pPr>
              <w:ind w:left="280"/>
              <w:spacing w:after="0"/>
              <w:rPr>
                <w:sz w:val="20"/>
                <w:szCs w:val="20"/>
                <w:color w:val="auto"/>
              </w:rPr>
            </w:pPr>
            <w:r>
              <w:rPr>
                <w:rFonts w:ascii="Arial" w:cs="Arial" w:eastAsia="Arial" w:hAnsi="Arial"/>
                <w:sz w:val="16"/>
                <w:szCs w:val="16"/>
                <w:color w:val="auto"/>
                <w:w w:val="95"/>
              </w:rPr>
              <w:t>Net current-period other comprehensive income</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significant amounts of each component reclassified out of AOCI to the Consolidated Statements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AOCI Component</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w w:val="98"/>
              </w:rPr>
              <w:t>Statement of Operations Line Item</w:t>
            </w:r>
          </w:p>
        </w:tc>
      </w:tr>
      <w:tr>
        <w:trPr>
          <w:trHeight w:val="190"/>
        </w:trPr>
        <w:tc>
          <w:tcPr>
            <w:tcW w:w="5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r>
      <w:tr>
        <w:trPr>
          <w:trHeight w:val="80"/>
        </w:trPr>
        <w:tc>
          <w:tcPr>
            <w:tcW w:w="5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Unrealized holding gain (loss) on cash flow hedging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Cost of revenue</w:t>
            </w: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r>
      <w:tr>
        <w:trPr>
          <w:trHeight w:val="24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Total reclassifications for the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marketable securities was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6,354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8,151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marketable securities</w:t>
            </w:r>
          </w:p>
        </w:tc>
        <w:tc>
          <w:tcPr>
            <w:tcW w:w="1000" w:type="dxa"/>
            <w:vAlign w:val="bottom"/>
          </w:tcPr>
          <w:p>
            <w:pPr>
              <w:spacing w:after="0"/>
              <w:rPr>
                <w:sz w:val="20"/>
                <w:szCs w:val="20"/>
                <w:color w:val="auto"/>
              </w:rPr>
            </w:pPr>
          </w:p>
        </w:tc>
        <w:tc>
          <w:tcPr>
            <w:tcW w:w="50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227</w:t>
            </w:r>
          </w:p>
        </w:tc>
      </w:tr>
      <w:tr>
        <w:trPr>
          <w:trHeight w:val="33"/>
        </w:trPr>
        <w:tc>
          <w:tcPr>
            <w:tcW w:w="83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marketable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marketable securities</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6,472</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8,497</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July 1, 2016,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July 1, 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681"/>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2,201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2,743</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Company’s money market funds are funds that invest in U.S. Treasury and U.S. Government agency securities.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based on quoted market prices.</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Certificates of Deposit. </w:t>
      </w:r>
      <w:r>
        <w:rPr>
          <w:rFonts w:ascii="Arial" w:cs="Arial" w:eastAsia="Arial" w:hAnsi="Arial"/>
          <w:sz w:val="18"/>
          <w:szCs w:val="18"/>
          <w:color w:val="auto"/>
        </w:rPr>
        <w:t>The Company’s certificates of deposit are investments which are held in custody by a third party. Certificates of deposit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fixed interest rates.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Asset-Backed Securities, and Corporate and Municipal Notes and Bonds. </w:t>
      </w:r>
      <w:r>
        <w:rPr>
          <w:rFonts w:ascii="Arial" w:cs="Arial" w:eastAsia="Arial" w:hAnsi="Arial"/>
          <w:sz w:val="18"/>
          <w:szCs w:val="18"/>
          <w:color w:val="auto"/>
        </w:rPr>
        <w:t>The Company’s asset-backed securities, and Corporate and Municipal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bonds securities are investments issued by corporations and U.S. state municipalities which are held in custody by a third party. Asset-backed securities, and Corporate and Municipal notes and bonds are valued using a market approach which is based on observable inputs including market interest rates from multiple pricing sources.</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U.S. Treasury Securities. </w:t>
      </w:r>
      <w:r>
        <w:rPr>
          <w:rFonts w:ascii="Arial" w:cs="Arial" w:eastAsia="Arial" w:hAnsi="Arial"/>
          <w:sz w:val="18"/>
          <w:szCs w:val="18"/>
          <w:color w:val="auto"/>
        </w:rPr>
        <w:t>The Company’s U.S. Treasury securities are direct obligations of the U.S. federal government and are held in custody by a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U.S. Treasury securities are valued using a market approach which is based on observable inputs including market interest rates from multiple pricing sources.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U.S. Government Agency and International Government Securities. </w:t>
      </w:r>
      <w:r>
        <w:rPr>
          <w:rFonts w:ascii="Arial" w:cs="Arial" w:eastAsia="Arial" w:hAnsi="Arial"/>
          <w:sz w:val="18"/>
          <w:szCs w:val="18"/>
          <w:color w:val="auto"/>
        </w:rPr>
        <w:t>The Company’s U.S. Government agency and international government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fixed income securities sponsored by the U.S. Government and international governments and are held in custody by a third party. U.S. Government agency and international government securities are valued using a market approach which is based on observable inputs including market interest rates from multiple pricing sources.</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are short-term contracts to hedge the Company’s foreign currency risk.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contracts are valued using an income approach that is based on a present value of future cash flows model. The market-based observable inputs for the model include forward rates and credit default swap rates. For more information on the Company’s foreign exchange contracts, see Note 5,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w:t>
      </w:r>
    </w:p>
    <w:p>
      <w:pPr>
        <w:spacing w:after="0" w:line="18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Company’s interest rate swaps are long-term contracts to hedge the Company’s variable rate debt risk. Interest rate swaps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based on estimated present value of future cash flows model. The market-based observable inputs for the model include interest rate curves and credit valuation adjustments.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2017 and 2016, the Company had no transfers of financial assets and liabilities between Level 1 and Level 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 (Level 3)</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Call Options. </w:t>
      </w:r>
      <w:r>
        <w:rPr>
          <w:rFonts w:ascii="Arial" w:cs="Arial" w:eastAsia="Arial" w:hAnsi="Arial"/>
          <w:sz w:val="18"/>
          <w:szCs w:val="18"/>
          <w:color w:val="auto"/>
        </w:rPr>
        <w:t>The call options are derivative instruments classified as an asset that result in the Company receiving cash and shares that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obligation upon conversion of its convertible notes.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i w:val="1"/>
          <w:iCs w:val="1"/>
          <w:color w:val="auto"/>
        </w:rPr>
        <w:t xml:space="preserve">Exchange Options. </w:t>
      </w:r>
      <w:r>
        <w:rPr>
          <w:rFonts w:ascii="Arial" w:cs="Arial" w:eastAsia="Arial" w:hAnsi="Arial"/>
          <w:sz w:val="18"/>
          <w:szCs w:val="18"/>
          <w:color w:val="auto"/>
        </w:rPr>
        <w:t>The Company’s convertible notes were bifurcated into a debt host and exchange option for accounting purposes.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are accounted for as derivative liabilities because they are predominantly settled in cash.</w:t>
      </w:r>
    </w:p>
    <w:p>
      <w:pPr>
        <w:spacing w:after="0" w:line="17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 xml:space="preserve">The fair value measurement of the call options and exchange options arising from the Company’s Convertible Notes (as defined in Note 6, </w:t>
      </w:r>
      <w:r>
        <w:rPr>
          <w:rFonts w:ascii="Arial" w:cs="Arial" w:eastAsia="Arial" w:hAnsi="Arial"/>
          <w:sz w:val="17"/>
          <w:szCs w:val="17"/>
          <w:i w:val="1"/>
          <w:iCs w:val="1"/>
          <w:color w:val="auto"/>
        </w:rPr>
        <w:t>Debt</w:t>
      </w:r>
      <w:r>
        <w:rPr>
          <w:rFonts w:ascii="Arial" w:cs="Arial" w:eastAsia="Arial" w:hAnsi="Arial"/>
          <w:sz w:val="17"/>
          <w:szCs w:val="17"/>
          <w:color w:val="auto"/>
        </w:rPr>
        <w:t>), which are not actively traded, is determined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the economic incentive for holders to exercise their exchange option. Significant increases or decreases in any of those inputs in isolation could result in a significantly lower or higher fair value measurement.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of call options or exchange options out of Level 3 for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the call options reported in Other current assets and Other non-current assets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 Call Options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2020 Call 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Initial estimate upon acquisition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Redemptions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Fair value as of July 1, 2016</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realized gain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Redemptions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as of June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the exchange options reported in Accrued expenses and Other liabilities in the Company’s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2017 Exchange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2020 Exchange</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Initial estimate upon acquisition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realized loss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unrealized gain</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as of July 1, 2016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realized gain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unrealized loss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as of June 30, 2017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June 30, 2017 and July 1, 2016. The cost basis and fair value of the Company’s investments classified as available-for-sale securities as of June 30, 2017, by remaining contractual maturity,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94</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determined available-for-sale securities had no material other-than-temporary impairments during 2017, 2016 and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fourth quarter of 2017 and the fourth quarter of 2016,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 2017</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July 1, 2016</w:t>
            </w:r>
          </w:p>
        </w:tc>
        <w:tc>
          <w:tcPr>
            <w:tcW w:w="102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16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3"/>
                <w:szCs w:val="13"/>
                <w:color w:val="auto"/>
              </w:rPr>
            </w:pPr>
          </w:p>
        </w:tc>
        <w:tc>
          <w:tcPr>
            <w:tcW w:w="102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Secured Notes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Unsecured Notes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3,956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3,575</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U.S. Term Loan B</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3,773</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Term Loan B-2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Euro Term Loan B</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981</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Euro Term Loan B-2</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Bridge Loan</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3,000</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Debt 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Convertible Debt 2020</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264</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17,923</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Euro Term Loan B and Euro Term Loan B-2 outstanding principal amounts as of June 30, 2017 and July 1, 2016 were based upon the Euro to U.S. dollar exchange rate as of those respective dates.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November 2015, the Company entered into an agreement to form a joint venture, referred to as the “Unis Venture”, with Unisplendour Corporation Limited (“Unis”) to market and sell the Company’s current data center storage systems in China and to develop data storage systems for the Chinese market in the future. The Unis Venture became operational during 2017. The Unis Venture is 49% owned by the Company and 51% owned by Unis and its subsidiary, Unissoft (Wuxi) Group Co. Ltd. The Company accounts for its investment in the Unis Venture under the equity method of accounting. The investment in Unis Venture is recorded within Other non-current assets in the Consolidated Balance Sheets and is not material to the Consolidated Financial Statements as of June 30, 2017 and July 1, 2016.</w:t>
      </w:r>
    </w:p>
    <w:p>
      <w:pPr>
        <w:spacing w:after="0" w:line="19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In addition, the Company has joint venture investments with Toshiba Corporation (“Toshiba”), see Note 9, </w:t>
      </w:r>
      <w:r>
        <w:rPr>
          <w:rFonts w:ascii="Arial" w:cs="Arial" w:eastAsia="Arial" w:hAnsi="Arial"/>
          <w:sz w:val="18"/>
          <w:szCs w:val="18"/>
          <w:i w:val="1"/>
          <w:iCs w:val="1"/>
          <w:color w:val="auto"/>
        </w:rPr>
        <w:t>Commitments, Contingencies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for further discussion regarding these joint ventures.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From time to time, the Company enters into certain strategic investments for the promotion of business and strategic objectives. The Company reports these investments under the cost method of accounting as these investments consist of debt and equity securities of privately-held companies which do not have a readily determinable fair value. The Company assesses these securities for indications of other-than-temporary impairments and, in this regard, recorded impairment charges of $55 million to Other income (expense), net in the Consolidated Statements of Operations in 2017. There were no impairment charges related to cost method investments during 2016 and 2015. As of June 30, 2017 and July 1, 2016, these investments aggregated $91 million and $135 million, respectively, and are reported under Other non-current assets in the Consolidated Balance Sheets.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2017, the Company had outstanding foreign exchange forward contracts which were designated as either cash flow hedges or non-designated hedges. The contract maturity dates of these foreign exchange forward contracts do not exceed 12 months. In addition, the Company had outstanding interest rate swaps which were designated as cash flow hedges. The Company determined the ineffectiveness associated with its cash flow hedges to be immaterial to the Consolidated Financial Statements for 2017, 2016 and 2015.</w:t>
      </w:r>
    </w:p>
    <w:p>
      <w:pPr>
        <w:spacing w:after="0" w:line="18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As of June 30, 2017, the amount of existing net losses related to cash flow hedges recorded in Accumulated other comprehensive income (loss) that are expected to be reclassified into earnings over the next twelve months was $3 million. In addition, as of June 30, 2017, the Company did not have any foreign exchange forward contracts with credit-risk-related contingent features.</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A change in the fair value of non-designated hedges is recognized in earnings in the period incurred and is reported as a component of Other income (expense), net. The changes in fair value on these contracts were immaterial to the Consolidated Financial Statements during 2017, 2016 and 2015.</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balance sheet location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2"/>
              </w:rPr>
              <w:t>Derivative Assets Reported in</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120" w:type="dxa"/>
            <w:vAlign w:val="bottom"/>
            <w:tcBorders>
              <w:bottom w:val="single" w:sz="8" w:color="auto"/>
            </w:tcBorders>
            <w:gridSpan w:val="5"/>
          </w:tcPr>
          <w:p>
            <w:pPr>
              <w:jc w:val="right"/>
              <w:ind w:right="843"/>
              <w:spacing w:after="0"/>
              <w:rPr>
                <w:sz w:val="20"/>
                <w:szCs w:val="20"/>
                <w:color w:val="auto"/>
              </w:rPr>
            </w:pPr>
            <w:r>
              <w:rPr>
                <w:rFonts w:ascii="Arial" w:cs="Arial" w:eastAsia="Arial" w:hAnsi="Arial"/>
                <w:sz w:val="14"/>
                <w:szCs w:val="14"/>
                <w:b w:val="1"/>
                <w:bCs w:val="1"/>
                <w:color w:val="auto"/>
              </w:rPr>
              <w:t>Other current assets</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Other non-current assets</w:t>
            </w:r>
          </w:p>
        </w:tc>
      </w:tr>
      <w:tr>
        <w:trPr>
          <w:trHeight w:val="152"/>
        </w:trPr>
        <w:tc>
          <w:tcPr>
            <w:tcW w:w="5160" w:type="dxa"/>
            <w:vAlign w:val="bottom"/>
          </w:tcPr>
          <w:p>
            <w:pPr>
              <w:spacing w:after="0"/>
              <w:rPr>
                <w:sz w:val="13"/>
                <w:szCs w:val="13"/>
                <w:color w:val="auto"/>
              </w:rPr>
            </w:pPr>
          </w:p>
        </w:tc>
        <w:tc>
          <w:tcPr>
            <w:tcW w:w="1000" w:type="dxa"/>
            <w:vAlign w:val="bottom"/>
          </w:tcPr>
          <w:p>
            <w:pPr>
              <w:jc w:val="center"/>
              <w:ind w:left="364"/>
              <w:spacing w:after="0" w:line="153"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July 1,</w:t>
            </w:r>
          </w:p>
        </w:tc>
        <w:tc>
          <w:tcPr>
            <w:tcW w:w="360" w:type="dxa"/>
            <w:vAlign w:val="bottom"/>
          </w:tcPr>
          <w:p>
            <w:pPr>
              <w:spacing w:after="0"/>
              <w:rPr>
                <w:sz w:val="13"/>
                <w:szCs w:val="13"/>
                <w:color w:val="auto"/>
              </w:rPr>
            </w:pPr>
          </w:p>
        </w:tc>
        <w:tc>
          <w:tcPr>
            <w:tcW w:w="12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3"/>
                <w:szCs w:val="13"/>
                <w:color w:val="auto"/>
              </w:rPr>
            </w:pPr>
          </w:p>
        </w:tc>
        <w:tc>
          <w:tcPr>
            <w:tcW w:w="980" w:type="dxa"/>
            <w:vAlign w:val="bottom"/>
          </w:tcPr>
          <w:p>
            <w:pPr>
              <w:jc w:val="center"/>
              <w:ind w:right="442"/>
              <w:spacing w:after="0" w:line="153" w:lineRule="exact"/>
              <w:rPr>
                <w:sz w:val="20"/>
                <w:szCs w:val="20"/>
                <w:color w:val="auto"/>
              </w:rPr>
            </w:pPr>
            <w:r>
              <w:rPr>
                <w:rFonts w:ascii="Arial" w:cs="Arial" w:eastAsia="Arial" w:hAnsi="Arial"/>
                <w:sz w:val="14"/>
                <w:szCs w:val="14"/>
                <w:b w:val="1"/>
                <w:bCs w:val="1"/>
                <w:color w:val="auto"/>
                <w:w w:val="96"/>
              </w:rPr>
              <w:t>July 1,</w:t>
            </w:r>
          </w:p>
        </w:tc>
      </w:tr>
      <w:tr>
        <w:trPr>
          <w:trHeight w:val="192"/>
        </w:trPr>
        <w:tc>
          <w:tcPr>
            <w:tcW w:w="5160" w:type="dxa"/>
            <w:vAlign w:val="bottom"/>
          </w:tcPr>
          <w:p>
            <w:pPr>
              <w:spacing w:after="0"/>
              <w:rPr>
                <w:sz w:val="16"/>
                <w:szCs w:val="16"/>
                <w:color w:val="auto"/>
              </w:rPr>
            </w:pPr>
          </w:p>
        </w:tc>
        <w:tc>
          <w:tcPr>
            <w:tcW w:w="100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gridSpan w:val="3"/>
          </w:tcPr>
          <w:p>
            <w:pPr>
              <w:jc w:val="center"/>
              <w:ind w:left="483"/>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 designated</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forward contracts, not designated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Call options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 derivatives</w:t>
            </w:r>
          </w:p>
        </w:tc>
        <w:tc>
          <w:tcPr>
            <w:tcW w:w="100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3"/>
              </w:rPr>
              <w:t>Derivative Liabilities Reported in</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Accrued expenses</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Other liabilities</w:t>
            </w:r>
          </w:p>
        </w:tc>
        <w:tc>
          <w:tcPr>
            <w:tcW w:w="980" w:type="dxa"/>
            <w:vAlign w:val="bottom"/>
            <w:tcBorders>
              <w:bottom w:val="single" w:sz="8" w:color="auto"/>
            </w:tcBorders>
          </w:tcPr>
          <w:p>
            <w:pPr>
              <w:spacing w:after="0"/>
              <w:rPr>
                <w:sz w:val="22"/>
                <w:szCs w:val="22"/>
                <w:color w:val="auto"/>
              </w:rPr>
            </w:pPr>
          </w:p>
        </w:tc>
      </w:tr>
      <w:tr>
        <w:trPr>
          <w:trHeight w:val="152"/>
        </w:trPr>
        <w:tc>
          <w:tcPr>
            <w:tcW w:w="5160" w:type="dxa"/>
            <w:vAlign w:val="bottom"/>
          </w:tcPr>
          <w:p>
            <w:pPr>
              <w:spacing w:after="0"/>
              <w:rPr>
                <w:sz w:val="13"/>
                <w:szCs w:val="13"/>
                <w:color w:val="auto"/>
              </w:rPr>
            </w:pPr>
          </w:p>
        </w:tc>
        <w:tc>
          <w:tcPr>
            <w:tcW w:w="1000" w:type="dxa"/>
            <w:vAlign w:val="bottom"/>
          </w:tcPr>
          <w:p>
            <w:pPr>
              <w:jc w:val="center"/>
              <w:ind w:left="364"/>
              <w:spacing w:after="0" w:line="153"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July 1,</w:t>
            </w:r>
          </w:p>
        </w:tc>
        <w:tc>
          <w:tcPr>
            <w:tcW w:w="360" w:type="dxa"/>
            <w:vAlign w:val="bottom"/>
          </w:tcPr>
          <w:p>
            <w:pPr>
              <w:spacing w:after="0"/>
              <w:rPr>
                <w:sz w:val="13"/>
                <w:szCs w:val="13"/>
                <w:color w:val="auto"/>
              </w:rPr>
            </w:pPr>
          </w:p>
        </w:tc>
        <w:tc>
          <w:tcPr>
            <w:tcW w:w="12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3"/>
                <w:szCs w:val="13"/>
                <w:color w:val="auto"/>
              </w:rPr>
            </w:pPr>
          </w:p>
        </w:tc>
        <w:tc>
          <w:tcPr>
            <w:tcW w:w="980" w:type="dxa"/>
            <w:vAlign w:val="bottom"/>
          </w:tcPr>
          <w:p>
            <w:pPr>
              <w:jc w:val="center"/>
              <w:ind w:right="442"/>
              <w:spacing w:after="0" w:line="153" w:lineRule="exact"/>
              <w:rPr>
                <w:sz w:val="20"/>
                <w:szCs w:val="20"/>
                <w:color w:val="auto"/>
              </w:rPr>
            </w:pPr>
            <w:r>
              <w:rPr>
                <w:rFonts w:ascii="Arial" w:cs="Arial" w:eastAsia="Arial" w:hAnsi="Arial"/>
                <w:sz w:val="14"/>
                <w:szCs w:val="14"/>
                <w:b w:val="1"/>
                <w:bCs w:val="1"/>
                <w:color w:val="auto"/>
                <w:w w:val="96"/>
              </w:rPr>
              <w:t>July 1,</w:t>
            </w:r>
          </w:p>
        </w:tc>
      </w:tr>
      <w:tr>
        <w:trPr>
          <w:trHeight w:val="192"/>
        </w:trPr>
        <w:tc>
          <w:tcPr>
            <w:tcW w:w="5160" w:type="dxa"/>
            <w:vAlign w:val="bottom"/>
          </w:tcPr>
          <w:p>
            <w:pPr>
              <w:spacing w:after="0"/>
              <w:rPr>
                <w:sz w:val="16"/>
                <w:szCs w:val="16"/>
                <w:color w:val="auto"/>
              </w:rPr>
            </w:pPr>
          </w:p>
        </w:tc>
        <w:tc>
          <w:tcPr>
            <w:tcW w:w="100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gridSpan w:val="3"/>
          </w:tcPr>
          <w:p>
            <w:pPr>
              <w:jc w:val="center"/>
              <w:ind w:left="483"/>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 designated</w:t>
            </w:r>
          </w:p>
        </w:tc>
        <w:tc>
          <w:tcPr>
            <w:tcW w:w="1000" w:type="dxa"/>
            <w:vAlign w:val="bottom"/>
            <w:tcBorders>
              <w:bottom w:val="single" w:sz="8" w:color="CCEEFF"/>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forward contracts, not designated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designated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Exchange option</w:t>
            </w: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derivatives</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Under certain provisions and conditions within agreements with counterparties to the Company’s foreign exchange forward contracts, subject to applicable requirements, the Company has the right of set-off associated with the Company’s foreign exchange forward contracts and is allowed to net settle transactions of the same currency with a single net amount payable by one party to the other. As of June 30, 2017, the Company did not offset or net the fair value amounts of derivative instruments in its Consolidated Balance Sheets and separately recorded the gross fair value amounts of the derivative instruments as either assets or liabilities. As of June 30, 2017 and July 1, 2016, the effect of rights of set-off was not material.</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Derivative Contracts on the Consolidated Statements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derivative contracts on the Consolidated Financial Statements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Amount of Gain (Loss) Recognized in AOCI</w:t>
            </w:r>
          </w:p>
        </w:tc>
        <w:tc>
          <w:tcPr>
            <w:tcW w:w="9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9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4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Amount of Gain (Loss) Reclassified from AOCI into Earnings</w:t>
            </w: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9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23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total net realized transaction and foreign exchange forward contract currency gains and losses were not material to the Consolidated Financial Statements for 2017, 2016 and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June 30, 2017 and July 1, 2016:</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24"/>
                <w:szCs w:val="24"/>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 maturing 2023</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Euro Term Loan B maturing 2023</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987</w:t>
            </w: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10.500% senior unsecured notes due 2024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Convertible senior notes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439</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Bridge loans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13,356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17,526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13,151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16,994</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bridge loans and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44"/>
        </w:trPr>
        <w:tc>
          <w:tcPr>
            <w:tcW w:w="8340" w:type="dxa"/>
            <w:vAlign w:val="bottom"/>
            <w:gridSpan w:val="3"/>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12,918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13,660</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Euro Term Loan B and Euro Term Loan B-2 outstanding principal amounts as of June 30, 2017 and July 1, 2016 were based upon the Euro to U.S. dollar exchange rate as of those respective dates.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Agreement – Term Loans and Revolving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29, 2016, the Company entered into a credit agreement (the “Credit Agreement”) that provided for the following facilities:</w:t>
      </w:r>
    </w:p>
    <w:p>
      <w:pPr>
        <w:spacing w:after="0" w:line="225" w:lineRule="exact"/>
        <w:rPr>
          <w:sz w:val="20"/>
          <w:szCs w:val="20"/>
          <w:color w:val="auto"/>
        </w:rPr>
      </w:pPr>
    </w:p>
    <w:p>
      <w:pPr>
        <w:ind w:left="660" w:right="60" w:hanging="328"/>
        <w:spacing w:after="0" w:line="286" w:lineRule="auto"/>
        <w:tabs>
          <w:tab w:leader="none" w:pos="66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 Loan A. </w:t>
      </w:r>
      <w:r>
        <w:rPr>
          <w:rFonts w:ascii="Arial" w:cs="Arial" w:eastAsia="Arial" w:hAnsi="Arial"/>
          <w:sz w:val="16"/>
          <w:szCs w:val="16"/>
          <w:color w:val="auto"/>
        </w:rPr>
        <w:t>Term Loan A with interest payable monthly at a rate based on LIBOR, plus an applicable spread of 2.00% (approximately 3.23% at</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Beginning in September 2017, the Company is required to make quarterly principal payments on Term Loan A totaling $206 million in fiscal 2018, $309 million in fiscal 2019, $413 million in fiscal 2020 and the remaining balance of $3.20 billion due in fiscal 2021. The aggregate principal amount outstanding was $4.13 billion at both June 30, 2017 and July 1, 2016. As of June 30, 2017, unamortized issuance costs were</w:t>
      </w:r>
    </w:p>
    <w:p>
      <w:pPr>
        <w:spacing w:after="0" w:line="1"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$51 million.</w:t>
      </w:r>
    </w:p>
    <w:p>
      <w:pPr>
        <w:spacing w:after="0" w:line="210" w:lineRule="exact"/>
        <w:rPr>
          <w:rFonts w:ascii="Arial" w:cs="Arial" w:eastAsia="Arial" w:hAnsi="Arial"/>
          <w:sz w:val="16"/>
          <w:szCs w:val="16"/>
          <w:i w:val="1"/>
          <w:iCs w:val="1"/>
          <w:color w:val="auto"/>
        </w:rPr>
      </w:pPr>
    </w:p>
    <w:p>
      <w:pPr>
        <w:ind w:left="660" w:right="20" w:hanging="328"/>
        <w:spacing w:after="0" w:line="269" w:lineRule="auto"/>
        <w:tabs>
          <w:tab w:leader="none" w:pos="66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 Term Loan B. </w:t>
      </w:r>
      <w:r>
        <w:rPr>
          <w:rFonts w:ascii="Arial" w:cs="Arial" w:eastAsia="Arial" w:hAnsi="Arial"/>
          <w:sz w:val="17"/>
          <w:szCs w:val="17"/>
          <w:color w:val="auto"/>
        </w:rPr>
        <w:t>U.S. dollar-denominated Term Loan B (“U.S. Term Loan B”) which bore interest at a rate based on LIBOR, subject to a 0.75%</w:t>
      </w:r>
      <w:r>
        <w:rPr>
          <w:rFonts w:ascii="Arial" w:cs="Arial" w:eastAsia="Arial" w:hAnsi="Arial"/>
          <w:sz w:val="17"/>
          <w:szCs w:val="17"/>
          <w:i w:val="1"/>
          <w:iCs w:val="1"/>
          <w:color w:val="auto"/>
        </w:rPr>
        <w:t xml:space="preserve"> </w:t>
      </w:r>
      <w:r>
        <w:rPr>
          <w:rFonts w:ascii="Arial" w:cs="Arial" w:eastAsia="Arial" w:hAnsi="Arial"/>
          <w:sz w:val="17"/>
          <w:szCs w:val="17"/>
          <w:color w:val="auto"/>
        </w:rPr>
        <w:t>floor, plus an applicable spread of 5.50% and had an aggregate principal amount outstanding of $3.75 billion at July 1, 2016. On August 17, 2016, the Company borrowed $3.00 billion under a new U.S. dollar-denominated term loan (“U.S. Term Loan B-1”) under the Credit Agreement and used the proceeds of this new loan and cash of $750 million to prepay in full the U.S. Term Loan B previously outstanding under the Credit Agreement. After making scheduled principal payments during the year of $15 million on U.S. Term Loan B-1, on March 14, 2017, the Company borrowed $2.99 billion under a new U.S. dollar-denominated term loan (“U.S. Term Loan B-2”) under the Credit Agreement and used the proceeds of this new loan to prepay in full the U.S. Term Loan B-1 previously outstanding under the Credit Agreement. The U.S. Term Loan B-2 has an interest rate equal to, at the Company’s option, either an adjusted LIBOR rate, subject to a 0.75% floor, plus 2.75% or a base rate plus 1.75% (3.98% as of June 30, 2017). Principal payments on U.S. Term Loan B-2 of approximately $7 million are due quarterly and began on March 31, 2017 with the balance due on April 29, 2023. As of June 30, 2017, the aggregate principal amount outstanding on U.S. Term Loan B-2 was $2.97 billion and unamortized issuance costs were $2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660" w:hanging="328"/>
        <w:spacing w:after="0" w:line="287" w:lineRule="auto"/>
        <w:tabs>
          <w:tab w:leader="none" w:pos="66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Euro Term Loan B. </w:t>
      </w:r>
      <w:r>
        <w:rPr>
          <w:rFonts w:ascii="Arial" w:cs="Arial" w:eastAsia="Arial" w:hAnsi="Arial"/>
          <w:sz w:val="16"/>
          <w:szCs w:val="16"/>
          <w:color w:val="auto"/>
        </w:rPr>
        <w:t>Euro-denominated Term Loan B (“Euro Term Loan B”) which bore interest at a rate based on EURIBOR, subject to a 0.75%</w:t>
      </w:r>
      <w:r>
        <w:rPr>
          <w:rFonts w:ascii="Arial" w:cs="Arial" w:eastAsia="Arial" w:hAnsi="Arial"/>
          <w:sz w:val="16"/>
          <w:szCs w:val="16"/>
          <w:i w:val="1"/>
          <w:iCs w:val="1"/>
          <w:color w:val="auto"/>
        </w:rPr>
        <w:t xml:space="preserve"> </w:t>
      </w:r>
      <w:r>
        <w:rPr>
          <w:rFonts w:ascii="Arial" w:cs="Arial" w:eastAsia="Arial" w:hAnsi="Arial"/>
          <w:sz w:val="16"/>
          <w:szCs w:val="16"/>
          <w:color w:val="auto"/>
        </w:rPr>
        <w:t>floor, plus an applicable spread of 5.25% and had an aggregate principal amount outstanding of €885 million at July 1, 2016. On September 22, 2016, the Company borrowed €885 million under a new Euro-denominated term loan (“Euro Term Loan B-1”) under the Credit Agreement and used the proceeds of this new loan to prepay in full the Euro Term Loan B previously outstanding under the Credit Agreement. After making scheduled principal payments during the year of €4 million on Euro Term Loan B-1, on March 23, 2017, the Company borrowed €881 million under a new Euro-denominated term loan (“Euro Term Loan B-2”) under the Credit Agreement and used the proceeds of this new loan to prepay in full the Euro Term Loan B-1 previously outstanding under the Credit Agreement. The Euro Term Loan B-2 has an interest rate equal to, at the Company’s option, either an adjusted EURIBOR rate, subject to a 0.75% floor, plus 2.00% or a base rate plus 1.75% (2.75% as of June 30, 2017). Principal payments on Euro Term Loan B-2 of approximately €2 million are due quarterly and began on March 31, 2017 with the balance due on April 29, 2023. As of June 30, 2017, the aggregate principal amount outstanding on Euro Term Loan B-2 was €876 million ($1.00 billion, based upon the Euro to U.S. dollar exchange rate as of June 30, 2017) and unamortized issuance costs were $1 million.</w:t>
      </w:r>
    </w:p>
    <w:p>
      <w:pPr>
        <w:spacing w:after="0" w:line="172" w:lineRule="exact"/>
        <w:rPr>
          <w:rFonts w:ascii="Arial" w:cs="Arial" w:eastAsia="Arial" w:hAnsi="Arial"/>
          <w:sz w:val="16"/>
          <w:szCs w:val="16"/>
          <w:i w:val="1"/>
          <w:iCs w:val="1"/>
          <w:color w:val="auto"/>
        </w:rPr>
      </w:pPr>
    </w:p>
    <w:p>
      <w:pPr>
        <w:jc w:val="both"/>
        <w:ind w:left="660" w:right="340" w:hanging="328"/>
        <w:spacing w:after="0" w:line="259"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Revolving credit facility of $1.00 billion, which includes a $200 million sublimit for letters of credit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Borrowings under the revolving credit facility bear interest at a rate based on LIBOR, plus an applicable spread of 2.00%. The Revolving Credit Facility has a 5-year term. As of June 30, 2017, the revolving credit facility was not drawn upon, and there was no outstanding balance.</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connection with the settlement of the U.S. Term Loans B and B-1 and Euro Term Loans B and B-1, the Company recognized an aggregate loss of $274 million during 2017 consisting of unamortized issuance costs, debt discount fees, and call premiums.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May 2017, the Company entered into an interest rate swap for $1.00 billion notional amount which it has designated as a cash flow hedge to mitigate variations in interest payments under a portion of its LIBOR-based term loans due to variations in the LIBOR index. Under the agreement, the Company pays interest monthly at a fixed rate of 1.66% and receives at LIBOR rate on the notional amount of the contract through May 2020.</w:t>
      </w:r>
    </w:p>
    <w:p>
      <w:pPr>
        <w:spacing w:after="0" w:line="16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obligations under the Credit Agreement are guaranteed by HGST, Inc., WD Media, LLC, Western Digital (Fremont), LLC and Western Digital Technologies, Inc. (“WDT”) (together referred to as the “WD Guarantors”), and are secured on a first-priority basis by a lien on substantially all the assets and properties of the Company and the WD Guarantors, including all of the capital stock held by these entities (subject to a 65% limitation on pledges of capital stock of foreign subsidiaries and domestic holding companies of foreign subsidiaries), subject to certain exceptions.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term loans and the revolving credit facility under the Credit Agreement may be prepaid in whole or in part at any time without premium or penalty, subject to certain conditions, except that the U.S. Term Loan B-2 and the Euro Term Loan B-2 require the Company to pay a 1.0% prepayment fee if the loans are repaid in connection with certain “repricing” transactions on or before September 14, 2017 and September 23, 2017, respectively.</w:t>
      </w:r>
    </w:p>
    <w:p>
      <w:pPr>
        <w:spacing w:after="0" w:line="16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Credit Agreement requires the Company to comply with certain financial covenants, such as a leverage ratio and an interest coverage ratio. As of June 30, 2017, the Company was in compliance with all financial covenants. In addition, the documents governing substantially all of the Company’s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April 13, 2016, the Company completed an offering consisting of $1.88 billion 7.375% senior secured notes due May 2023 (the “Secured Notes”) and $3.35 billion 10.500% senior unsecured notes due May 2024 (the “Initial Unsecured Notes”). On January 6, 2017, to fulfill the Company’s obligations under the registration rights agreement associated with the Initial Unsecured Notes, the Company commenced an exchange offer to exchange all of these outstanding unsecured notes for an equal principal amount of new 10.500% senior unsecured notes due 2024 (the “New Unsecured Notes”), with substantially the same terms as the Initial Unsecured Notes. On February 6, 2017, the exchange offer expired and substantially all of the outstanding Initial Unsecured Notes were tendered in the exchange offer and accepted by the Company. The New Unsecured Notes are registered under the Securities Act of 1933, as amended, and have no transfer restrictions or rights to additional interest. The New Unsecured Notes and the Secured Notes are collectively referred to as the “Notes”. The Company pays cash interest on the Notes semi-annually on April 1 and October 1. As of June 30, 2017, the unamortized issuance cost of the Secured Notes and New Unsecured Notes was $40 million and $106 million, respectively</w:t>
      </w:r>
    </w:p>
    <w:p>
      <w:pPr>
        <w:spacing w:after="0" w:line="16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is not required to make principal payments on the Notes prior to their respective maturity dates, except that the Company may be required to offer to purchase the Notes upon the occurrence of a change of control (as defined in the indentures governing the Notes) or with the proceeds of certain non-ordinary course asset sales.</w:t>
      </w:r>
    </w:p>
    <w:p>
      <w:pPr>
        <w:spacing w:after="0" w:line="181"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Notes are guaranteed by the WD Guarantors, and the Secured Notes and related guarantees are secured on an equal and ratable basis by liens on the same assets that secure indebtedness under the Credit Agreement.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Notes, Exchange Options and Call Options</w:t>
      </w:r>
    </w:p>
    <w:p>
      <w:pPr>
        <w:spacing w:after="0" w:line="225" w:lineRule="exact"/>
        <w:rPr>
          <w:sz w:val="20"/>
          <w:szCs w:val="20"/>
          <w:color w:val="auto"/>
        </w:rPr>
      </w:pPr>
    </w:p>
    <w:p>
      <w:pPr>
        <w:ind w:right="680" w:firstLine="324"/>
        <w:spacing w:after="0" w:line="291" w:lineRule="auto"/>
        <w:rPr>
          <w:sz w:val="20"/>
          <w:szCs w:val="20"/>
          <w:color w:val="auto"/>
        </w:rPr>
      </w:pPr>
      <w:r>
        <w:rPr>
          <w:rFonts w:ascii="Arial" w:cs="Arial" w:eastAsia="Arial" w:hAnsi="Arial"/>
          <w:sz w:val="16"/>
          <w:szCs w:val="16"/>
          <w:color w:val="auto"/>
        </w:rPr>
        <w:t>As of July 1, 2016, the Company had outstanding $129 million aggregate principal amount of its 1.5% Convertible Senior Notes due 2017 (the “2017 Notes”) and $310 million aggregate principal amount of its 0.5% Convertible Senior Notes due 2020 (the “2020 Notes” and, together with the</w:t>
      </w:r>
    </w:p>
    <w:p>
      <w:pPr>
        <w:jc w:val="both"/>
        <w:ind w:right="100"/>
        <w:spacing w:after="0" w:line="255" w:lineRule="auto"/>
        <w:rPr>
          <w:sz w:val="20"/>
          <w:szCs w:val="20"/>
          <w:color w:val="auto"/>
        </w:rPr>
      </w:pPr>
      <w:r>
        <w:rPr>
          <w:rFonts w:ascii="Arial" w:cs="Arial" w:eastAsia="Arial" w:hAnsi="Arial"/>
          <w:sz w:val="18"/>
          <w:szCs w:val="18"/>
          <w:color w:val="auto"/>
        </w:rPr>
        <w:t>2017 Notes, the “Convertible Notes”). The Company assumed the Convertible Notes in connection with its acquisition of SanDisk Corporation (“SanDisk”), pursuant to an Agreement and Plan of Merger (the “Merger”), on May 12, 2016 (the “SanDisk Closing Date”). The 2017 Notes matured on August 15, 2017 and the 2020 Notes mature on November 15, 2020.</w:t>
      </w:r>
    </w:p>
    <w:p>
      <w:pPr>
        <w:spacing w:after="0" w:line="19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2017, the Company paid to the holders of the Convertible Notes for conversion and repurchase, $492 million of cash and 0.3 million shares of the Company’s common stock with an aggregate value of $16 million.</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As of June 30, 2017, $35 million principal amount of the 2020 Notes were outstanding, which had a conversion rate of 10.9006 units of reference property per $1,000 principal amount of the 2020 Notes, corresponding to 2.6020 shares of the Company’s common stock and $735.79 of cash, subject to adjustments under the indenture. The 2020 Notes are not currently exchangeable into reference property. In addition, as of June 30, 2017, the Company had an immaterial amount of 2017 Notes outstanding. The 2017 Notes were paid in full and the related call option was terminated on August 15, 2017.</w:t>
      </w:r>
    </w:p>
    <w:p>
      <w:pPr>
        <w:spacing w:after="0" w:line="15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The Convertible Notes were bifurcated into a debt host and exchange option for accounting purposes. The exchange options are accounted for as a derivative liability because they are predominantly settled in cash. Changes in the fair value of the exchange options are reported, and will be reported until the Company extinguishes the related debt, in Other income (expense), net in the consolidated statements of operations. The exchange options are measured and reported at fair value on a recurring basis, within Level 3 of the fair value hierarchy. The fair value of the unredeemed and unsettled exchange options is reported in Accrued expenses and Other liabilities in the Consolidated Balance Sheets. See Note 4, </w:t>
      </w:r>
      <w:r>
        <w:rPr>
          <w:rFonts w:ascii="Arial" w:cs="Arial" w:eastAsia="Arial" w:hAnsi="Arial"/>
          <w:sz w:val="17"/>
          <w:szCs w:val="17"/>
          <w:i w:val="1"/>
          <w:iCs w:val="1"/>
          <w:color w:val="auto"/>
        </w:rPr>
        <w:t>Fair Value Measurements and Investments</w:t>
      </w:r>
      <w:r>
        <w:rPr>
          <w:rFonts w:ascii="Arial" w:cs="Arial" w:eastAsia="Arial" w:hAnsi="Arial"/>
          <w:sz w:val="17"/>
          <w:szCs w:val="17"/>
          <w:color w:val="auto"/>
        </w:rPr>
        <w:t>, for additional disclosures related to the fair values of the exchange options. For 2017, the change in the fair value of the outstanding exchange options related to the Convertible Notes resulted in an immaterial loss.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Merger, the Company assumed the outstanding call options entered into by SanDisk at the inception of the respective Convertible Notes, which were structured to reduce the potential economic dilution associated with the conversion of Convertible Notes. The call options are derivative instruments classified as an asset that result in the Company receiving cash and shares that partially offset the Company’s obligation upon conversion of the Convertible Notes. The fair value of the unredeemed and unsettled call options is reported in Other current assets and Other non-current assets in the Consolidated Balance Sheets. During 2017, under the call options, the Company received $61 million of cash and 0.1 million shares of the Company’s common stock which had an aggregate value of $11 million. During 2017, the Company recognized an immaterial non-cash loss related to the change in value in the outstanding call options. The value of the call options as of June 30, 2017 was immaterial.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conversion and repurchase of the Convertible Notes and related settlement of the call options during 2017 resulted in an immaterial net loss.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Additional Bridge Facility</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On May 12, 2016, WDT entered into a short-term senior secured bridge credit agreement providing for $3.00 billion in aggregate principal amount of senior secured bridge loans. On July 21, 2016, the Company repaid in full the $3.00 billion aggregate principal amount outstanding, together with accrued interest.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Future Debt Payments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annual future debt payments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Future Debt Payments</w:t>
            </w:r>
          </w:p>
        </w:tc>
      </w:tr>
      <w:tr>
        <w:trPr>
          <w:trHeight w:val="190"/>
        </w:trPr>
        <w:tc>
          <w:tcPr>
            <w:tcW w:w="9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340"/>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180"/>
              <w:spacing w:after="0"/>
              <w:rPr>
                <w:sz w:val="20"/>
                <w:szCs w:val="20"/>
                <w:color w:val="auto"/>
              </w:rPr>
            </w:pPr>
            <w:r>
              <w:rPr>
                <w:rFonts w:ascii="Arial" w:cs="Arial" w:eastAsia="Arial" w:hAnsi="Arial"/>
                <w:sz w:val="16"/>
                <w:szCs w:val="16"/>
                <w:color w:val="auto"/>
              </w:rPr>
              <w:t>2018</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246</w:t>
            </w: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r>
      <w:tr>
        <w:trPr>
          <w:trHeight w:val="237"/>
        </w:trPr>
        <w:tc>
          <w:tcPr>
            <w:tcW w:w="9480" w:type="dxa"/>
            <w:vAlign w:val="bottom"/>
          </w:tcPr>
          <w:p>
            <w:pPr>
              <w:ind w:left="18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452</w:t>
            </w: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3,272</w:t>
            </w:r>
          </w:p>
        </w:tc>
      </w:tr>
      <w:tr>
        <w:trPr>
          <w:trHeight w:val="237"/>
        </w:trPr>
        <w:tc>
          <w:tcPr>
            <w:tcW w:w="9480" w:type="dxa"/>
            <w:vAlign w:val="bottom"/>
          </w:tcPr>
          <w:p>
            <w:pPr>
              <w:ind w:left="18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40</w:t>
            </w: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 and 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8,996</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Total debt maturities</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13,356</w:t>
            </w: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44"/>
        </w:trPr>
        <w:tc>
          <w:tcPr>
            <w:tcW w:w="9480" w:type="dxa"/>
            <w:vAlign w:val="bottom"/>
          </w:tcPr>
          <w:p>
            <w:pPr>
              <w:ind w:left="280"/>
              <w:spacing w:after="0"/>
              <w:rPr>
                <w:sz w:val="20"/>
                <w:szCs w:val="20"/>
                <w:color w:val="auto"/>
              </w:rPr>
            </w:pPr>
            <w:r>
              <w:rPr>
                <w:rFonts w:ascii="Arial" w:cs="Arial" w:eastAsia="Arial" w:hAnsi="Arial"/>
                <w:sz w:val="16"/>
                <w:szCs w:val="16"/>
                <w:color w:val="auto"/>
              </w:rPr>
              <w:t>Net carrying value</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13,151</w:t>
            </w: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ind w:left="4160"/>
              <w:spacing w:after="0"/>
              <w:rPr>
                <w:sz w:val="20"/>
                <w:szCs w:val="20"/>
                <w:color w:val="auto"/>
              </w:rPr>
            </w:pPr>
            <w:r>
              <w:rPr>
                <w:rFonts w:ascii="Arial" w:cs="Arial" w:eastAsia="Arial" w:hAnsi="Arial"/>
                <w:sz w:val="18"/>
                <w:szCs w:val="18"/>
                <w:b w:val="1"/>
                <w:bCs w:val="1"/>
                <w:color w:val="auto"/>
              </w:rPr>
              <w:t>WESTERN DIGITAL CORPORATION</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9720" w:type="dxa"/>
            <w:vAlign w:val="bottom"/>
          </w:tcPr>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9720" w:type="dxa"/>
            <w:vAlign w:val="bottom"/>
          </w:tcPr>
          <w:p>
            <w:pPr>
              <w:spacing w:after="0"/>
              <w:rPr>
                <w:sz w:val="20"/>
                <w:szCs w:val="20"/>
                <w:color w:val="auto"/>
              </w:rPr>
            </w:pPr>
            <w:r>
              <w:rPr>
                <w:rFonts w:ascii="Arial" w:cs="Arial" w:eastAsia="Arial" w:hAnsi="Arial"/>
                <w:sz w:val="18"/>
                <w:szCs w:val="18"/>
                <w:b w:val="1"/>
                <w:bCs w:val="1"/>
                <w:color w:val="auto"/>
              </w:rPr>
              <w:t>Note 7.   Goodwill and Other Intangible Assets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972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related to the carrying amount of goodwill:</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9"/>
        </w:trPr>
        <w:tc>
          <w:tcPr>
            <w:tcW w:w="9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9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80"/>
              <w:spacing w:after="0"/>
              <w:rPr>
                <w:sz w:val="20"/>
                <w:szCs w:val="20"/>
                <w:color w:val="auto"/>
              </w:rPr>
            </w:pPr>
            <w:r>
              <w:rPr>
                <w:rFonts w:ascii="Arial" w:cs="Arial" w:eastAsia="Arial" w:hAnsi="Arial"/>
                <w:sz w:val="16"/>
                <w:szCs w:val="16"/>
                <w:i w:val="1"/>
                <w:iCs w:val="1"/>
                <w:color w:val="auto"/>
              </w:rPr>
              <w:t>(in millions)</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3, 2015</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2,766</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Goodwill recorded in connection with acquisitions</w:t>
            </w:r>
          </w:p>
        </w:tc>
        <w:tc>
          <w:tcPr>
            <w:tcW w:w="20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7,183</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Balance at July 1, 2016</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9,951</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price adjustments to goodwill</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10,014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purchase price adjustments resulted from adjustments to the assessment of fair value for certain acquired intangible assets; inventory; property, plant and equipment; and a portion of the deferred tax liability related to the Merger.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intangible assets as of June 30, 2017 and July 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3,478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1, 2016</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34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3"/>
                <w:szCs w:val="13"/>
                <w:color w:val="auto"/>
              </w:rPr>
            </w:pPr>
          </w:p>
        </w:tc>
        <w:tc>
          <w:tcPr>
            <w:tcW w:w="14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Net Carrying Amount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120" w:type="dxa"/>
            <w:vAlign w:val="bottom"/>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(in years)</w:t>
            </w: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Existing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names and trademarks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Customer relationships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Leasehold interests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finite intangible assets</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2,435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Acquired in-process research and development (“IPR&amp;D”) is accounted for as an indefinite-lived intangible asset. Upon completion of development, IPR&amp;D is considered to be an amortizable finite-lived intangible asset. During 2017, the Company reclassified $1.74 billion of acquired IPR&amp;D to existing technology and commenced amortization over an estimated useful life of 4 years.</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2017, the Company did not record any impairment charges related to intangible assets. During 2016 and 2015, the Company recorded $36 million and $39 million of impairment charges related to intangible assets, respectively, which are recorded in the employee termination, asset impairment and other charges within the Consolidated Statements of Operations. The impairment charges primarily relate to acquired IPR&amp;D projects that were abandoned and resulted in full impairment.</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Intangible assets are amortized over the estimated useful lives based on the pattern in which the economic benefits are expected to be received. Intangible asset amortization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1,169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266</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171</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estimated future amortization expense for intangible assets currently subject to amortization as of June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Future Intangible</w:t>
            </w:r>
          </w:p>
        </w:tc>
      </w:tr>
      <w:tr>
        <w:trPr>
          <w:trHeight w:val="149"/>
        </w:trPr>
        <w:tc>
          <w:tcPr>
            <w:tcW w:w="9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Asset Amortization</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Expense</w:t>
            </w:r>
          </w:p>
        </w:tc>
      </w:tr>
      <w:tr>
        <w:trPr>
          <w:trHeight w:val="223"/>
        </w:trPr>
        <w:tc>
          <w:tcPr>
            <w:tcW w:w="9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i w:val="1"/>
                <w:iCs w:val="1"/>
                <w:color w:val="auto"/>
                <w:w w:val="98"/>
              </w:rPr>
              <w:t>(in millions)</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2018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1,085</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796</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590</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339</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157</w:t>
            </w:r>
          </w:p>
        </w:tc>
      </w:tr>
      <w:tr>
        <w:trPr>
          <w:trHeight w:val="33"/>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 and thereafter</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r>
      <w:tr>
        <w:trPr>
          <w:trHeight w:val="244"/>
        </w:trPr>
        <w:tc>
          <w:tcPr>
            <w:tcW w:w="9940" w:type="dxa"/>
            <w:vAlign w:val="bottom"/>
          </w:tcPr>
          <w:p>
            <w:pPr>
              <w:ind w:left="280"/>
              <w:spacing w:after="0"/>
              <w:rPr>
                <w:sz w:val="20"/>
                <w:szCs w:val="20"/>
                <w:color w:val="auto"/>
              </w:rPr>
            </w:pPr>
            <w:r>
              <w:rPr>
                <w:rFonts w:ascii="Arial" w:cs="Arial" w:eastAsia="Arial" w:hAnsi="Arial"/>
                <w:sz w:val="16"/>
                <w:szCs w:val="16"/>
                <w:color w:val="auto"/>
              </w:rPr>
              <w:t>Total future amortization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3,127</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190"/>
        </w:trPr>
        <w:tc>
          <w:tcPr>
            <w:tcW w:w="6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6"/>
        </w:trPr>
        <w:tc>
          <w:tcPr>
            <w:tcW w:w="6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 obligation at beginning of period</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08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255</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cost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Actuarial loss (gain)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Settlement/Curtailment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500"/>
              <w:spacing w:after="0"/>
              <w:rPr>
                <w:sz w:val="20"/>
                <w:szCs w:val="20"/>
                <w:color w:val="auto"/>
              </w:rPr>
            </w:pPr>
            <w:r>
              <w:rPr>
                <w:rFonts w:ascii="Arial" w:cs="Arial" w:eastAsia="Arial" w:hAnsi="Arial"/>
                <w:sz w:val="16"/>
                <w:szCs w:val="16"/>
                <w:color w:val="auto"/>
              </w:rPr>
              <w:t>Non-U.S. currency movement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obligation at end of period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Change in plan assets: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Fair value of plan assets at beginning of period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Actual return on plan assets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Employer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Benefits paid</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Non-U.S. currency movement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6860" w:type="dxa"/>
            <w:vAlign w:val="bottom"/>
          </w:tcPr>
          <w:p>
            <w:pPr>
              <w:ind w:left="180"/>
              <w:spacing w:after="0"/>
              <w:rPr>
                <w:sz w:val="20"/>
                <w:szCs w:val="20"/>
                <w:color w:val="auto"/>
              </w:rPr>
            </w:pPr>
            <w:r>
              <w:rPr>
                <w:rFonts w:ascii="Arial" w:cs="Arial" w:eastAsia="Arial" w:hAnsi="Arial"/>
                <w:sz w:val="16"/>
                <w:szCs w:val="16"/>
                <w:color w:val="auto"/>
              </w:rPr>
              <w:t>Fair value of plan assets at end of period</w:t>
            </w: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185</w:t>
            </w:r>
          </w:p>
        </w:tc>
      </w:tr>
      <w:tr>
        <w:trPr>
          <w:trHeight w:val="33"/>
        </w:trPr>
        <w:tc>
          <w:tcPr>
            <w:tcW w:w="6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status</w:t>
            </w: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0"/>
        </w:trPr>
        <w:tc>
          <w:tcPr>
            <w:tcW w:w="6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unfunded amounts related to the Japanese Plan as recognized on the Company’s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00" w:type="dxa"/>
            <w:vAlign w:val="bottom"/>
          </w:tcPr>
          <w:p>
            <w:pPr>
              <w:jc w:val="right"/>
              <w:ind w:right="43"/>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114</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accumulated benefit obligation for the Japanese defined benefit pension plans was $249 million at June 30, 2017. As of June 30, 2017, actuarial gains for the Japanese defined benefit pension plans of $16 million are included in Accumulated other comprehensive income (loss) in the Consolidated Balance Sheet. There were no prior service credits for the defined benefit pension plans recognized in Accumulated other comprehensive income (loss) in the Consolidated Balance Sheet as of June 30,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Weighted-Average Assumptions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actuarial assumptions used to determine benefit obligations for the Japanese defined benefit pension plans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2015</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0.9%</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actuarial assumptions used to determine benefit costs for the Japanese defined benefit pension plans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2015</w:t>
            </w:r>
          </w:p>
        </w:tc>
      </w:tr>
      <w:tr>
        <w:trPr>
          <w:trHeight w:val="23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768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Company develops a discount rate by calculating when the estimated benefit payments will be due. Management in Japan then matches the benefit payments to bond ratings that are “AA” or higher which match the timing of the expected benefit payments to determine the appropriate discount rate.</w:t>
      </w:r>
    </w:p>
    <w:p>
      <w:pPr>
        <w:spacing w:after="0" w:line="12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develops the expected long-term rate of return on plan assets by analyzing rates of return in Japan as well as the investment portfolio applicable to the plan.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develops the rate of compensation increase assumptions using local compensation practices and historical rates of increases.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Policies and Strategies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investment policy in Japan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62% in debt securities, 35% in equity securities, and the remaining 3%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spacing w:after="0" w:line="18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Japanese defined benefit pension plans’ major asset categories and their associated fair values as of June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2"/>
              </w:rPr>
              <w:t>June 30, 2017</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116</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189</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03"/>
              <w:spacing w:after="0"/>
              <w:rPr>
                <w:sz w:val="20"/>
                <w:szCs w:val="20"/>
                <w:color w:val="auto"/>
              </w:rPr>
            </w:pPr>
            <w:r>
              <w:rPr>
                <w:rFonts w:ascii="Arial" w:cs="Arial" w:eastAsia="Arial" w:hAnsi="Arial"/>
                <w:sz w:val="14"/>
                <w:szCs w:val="14"/>
                <w:b w:val="1"/>
                <w:bCs w:val="1"/>
                <w:color w:val="auto"/>
                <w:w w:val="91"/>
              </w:rPr>
              <w:t>July 1, 2016</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Equity commingled/mutual funds</w:t>
            </w:r>
            <w:r>
              <w:rPr>
                <w:rFonts w:ascii="Arial" w:cs="Arial" w:eastAsia="Arial" w:hAnsi="Arial"/>
                <w:sz w:val="21"/>
                <w:szCs w:val="21"/>
                <w:color w:val="auto"/>
                <w:vertAlign w:val="superscript"/>
              </w:rPr>
              <w:t>(1)(2)</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income: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Fixed income commingled/mutual funds</w:t>
            </w:r>
            <w:r>
              <w:rPr>
                <w:rFonts w:ascii="Arial" w:cs="Arial" w:eastAsia="Arial" w:hAnsi="Arial"/>
                <w:sz w:val="21"/>
                <w:szCs w:val="21"/>
                <w:color w:val="auto"/>
                <w:vertAlign w:val="superscript"/>
              </w:rPr>
              <w:t>(1)(3)</w:t>
            </w:r>
          </w:p>
        </w:tc>
        <w:tc>
          <w:tcPr>
            <w:tcW w:w="108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129</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 and short-term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212</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Commingled funds represent pooled institutional investments.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Equity mutual funds invest primarily in equity securities.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Fixed income mutual funds invest primarily in fixed income securities.</w:t>
      </w:r>
    </w:p>
    <w:p>
      <w:pPr>
        <w:spacing w:after="0" w:line="202"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7"/>
          <w:szCs w:val="17"/>
          <w:color w:val="auto"/>
        </w:rPr>
        <w:t>Assets held in defined benefit plans in the Philippines, Taiwan and Thailand were less than $1 million and are not presented in the above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1020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movements of assets between any level categories in 2017, 2016 or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Valuation Techniques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spacing w:after="0" w:line="17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spacing w:after="0" w:line="181" w:lineRule="exact"/>
        <w:rPr>
          <w:sz w:val="20"/>
          <w:szCs w:val="20"/>
          <w:color w:val="auto"/>
        </w:rPr>
      </w:pPr>
    </w:p>
    <w:p>
      <w:pPr>
        <w:jc w:val="both"/>
        <w:ind w:right="260" w:firstLine="324"/>
        <w:spacing w:after="0" w:line="308" w:lineRule="auto"/>
        <w:rPr>
          <w:sz w:val="20"/>
          <w:szCs w:val="20"/>
          <w:color w:val="auto"/>
        </w:rPr>
      </w:pPr>
      <w:r>
        <w:rPr>
          <w:rFonts w:ascii="Arial" w:cs="Arial" w:eastAsia="Arial" w:hAnsi="Arial"/>
          <w:sz w:val="17"/>
          <w:szCs w:val="17"/>
          <w:color w:val="auto"/>
        </w:rPr>
        <w:t>Cash equivalents includes money market accounts that are valued at their cost plus interest on a daily basis, which approximates fair value. Short-term investments represent securities with original maturities of one year or less. These assets are classified as either Level 1 or Level 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Contributions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expected employer contributions for 2018 are $8 million for its Japanese defined benefit pension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Estimated Future Benefits Payments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Annual benefit payments from the Japanese defined benefit pension plans are estimated to range from $6 million to $10 million annually over the next 5 years.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00"/>
          </w:cols>
          <w:pgMar w:left="24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Company’s business ventures with Toshiba consist of three separate legal entities: Flash Partners Ltd. (“Flash Partners”), Flash Alliance Ltd. (“Flash Alliance”) and Flash Forward Ltd (“Flash Forward”), collectively referred to as “Flash Ventures”. The Company has a 49.9% ownership interest and Toshiba has a 50.1% ownership interest in each of these entities. Through Flash Ventures, the Company and Toshiba collaborate in the development and manufacture of NAND-flash memory wafers, which are manufactured by Toshiba at its wafer fabrication facilities located in Yokkaichi, Japan, using semiconductor manufacturing equipment individually owned or leased by each Flash Ventures entity. Each Flash Ventures entity purchases wafers from Toshiba at cost and then resell those wafers to the Company and Toshiba at cost plus a markup.</w:t>
      </w:r>
    </w:p>
    <w:p>
      <w:pPr>
        <w:spacing w:after="0" w:line="17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Flash Partners. </w:t>
      </w:r>
      <w:r>
        <w:rPr>
          <w:rFonts w:ascii="Arial" w:cs="Arial" w:eastAsia="Arial" w:hAnsi="Arial"/>
          <w:sz w:val="18"/>
          <w:szCs w:val="18"/>
          <w:color w:val="auto"/>
        </w:rPr>
        <w:t>Flash Partners was formed in 2004. NAND-flash products provided to the Company by this venture are manufactured by Toshiba</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 its 300-millimeter wafer fabrication facility (“Fab 3”) located in Yokkaichi, Japan.</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Flash Alliance. </w:t>
      </w:r>
      <w:r>
        <w:rPr>
          <w:rFonts w:ascii="Arial" w:cs="Arial" w:eastAsia="Arial" w:hAnsi="Arial"/>
          <w:sz w:val="18"/>
          <w:szCs w:val="18"/>
          <w:color w:val="auto"/>
        </w:rPr>
        <w:t>Flash Alliance was formed in 2006. NAND-flash products provided to the Company by this venture are manufactured by Toshiba</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 its 300-millimeter wafer fabrication facility (“Fab 4”) located in Yokkaichi, Japan.</w:t>
      </w:r>
    </w:p>
    <w:p>
      <w:pPr>
        <w:spacing w:after="0" w:line="170"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i w:val="1"/>
          <w:iCs w:val="1"/>
          <w:color w:val="auto"/>
        </w:rPr>
        <w:t xml:space="preserve">Flash Forward. </w:t>
      </w:r>
      <w:r>
        <w:rPr>
          <w:rFonts w:ascii="Arial" w:cs="Arial" w:eastAsia="Arial" w:hAnsi="Arial"/>
          <w:sz w:val="16"/>
          <w:szCs w:val="16"/>
          <w:color w:val="auto"/>
        </w:rPr>
        <w:t>Flash Forward was formed in 2010. NAND-flash products provided to the Company by this venture are manufactured by Toshiba</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 its 300-millimeter wafer fabrication facility (“Fab 5”) located in Yokkaichi, Japan. Fab 5 was built in two phases of approximately equal size.</w:t>
      </w:r>
    </w:p>
    <w:p>
      <w:pPr>
        <w:spacing w:after="0" w:line="124"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i w:val="1"/>
          <w:iCs w:val="1"/>
          <w:color w:val="auto"/>
        </w:rPr>
        <w:t xml:space="preserve">New Fab 2. </w:t>
      </w:r>
      <w:r>
        <w:rPr>
          <w:rFonts w:ascii="Arial" w:cs="Arial" w:eastAsia="Arial" w:hAnsi="Arial"/>
          <w:sz w:val="18"/>
          <w:szCs w:val="18"/>
          <w:color w:val="auto"/>
        </w:rPr>
        <w:t>The Company has a facility agreement with Toshiba related to the construction and operation of Toshiba’s “New Fab 2” 300-millimeter</w:t>
      </w:r>
      <w:r>
        <w:rPr>
          <w:rFonts w:ascii="Arial" w:cs="Arial" w:eastAsia="Arial" w:hAnsi="Arial"/>
          <w:sz w:val="18"/>
          <w:szCs w:val="18"/>
          <w:i w:val="1"/>
          <w:iCs w:val="1"/>
          <w:color w:val="auto"/>
        </w:rPr>
        <w:t xml:space="preserve"> </w:t>
      </w:r>
      <w:r>
        <w:rPr>
          <w:rFonts w:ascii="Arial" w:cs="Arial" w:eastAsia="Arial" w:hAnsi="Arial"/>
          <w:sz w:val="18"/>
          <w:szCs w:val="18"/>
          <w:color w:val="auto"/>
        </w:rPr>
        <w:t>wafer fabrication facility located in Yokkaichi, Japan. New Fab 2 is primarily intended to provide additional cleanroom space to convert a portion of 2-dimensional (“2D”) NAND-flash wafer capacity to 3-dimensional (“3D”) NAND-flash wafer capacity. Production of NAND-flash wafers in New Fab 2 started in 2016.</w:t>
      </w:r>
    </w:p>
    <w:p>
      <w:pPr>
        <w:spacing w:after="0" w:line="1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accounts for its ownership position of each entity with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variable interest entities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notes receivable from, and equity investments in, Flash Ventures as of June 30, 2017 and July 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235</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202</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1,171</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2017 and 2016, the Company made net payments to Flash Ventures of $2.64 billion and $371 million, respectively, for purchased NAND-flash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 net in the consolidated statements of operations. There were no such impairments in 2017, 2016 or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2017 and July 1, 2016, the Company had accounts payable balances due to Flash Ventures of $206 million and $168 million, respectively.</w:t>
      </w:r>
    </w:p>
    <w:p>
      <w:pPr>
        <w:spacing w:after="0" w:line="24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June 30, 2017,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9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83"/>
        </w:trPr>
        <w:tc>
          <w:tcPr>
            <w:tcW w:w="9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578</w:t>
            </w:r>
          </w:p>
        </w:tc>
      </w:tr>
      <w:tr>
        <w:trPr>
          <w:trHeight w:val="33"/>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968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187</w:t>
            </w:r>
          </w:p>
        </w:tc>
      </w:tr>
      <w:tr>
        <w:trPr>
          <w:trHeight w:val="33"/>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2,682</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June 30, 2017 and July 1, 2016, the Company’s retained earnings included undistributed earnings of Flash Ventures of $5 million and $2 million, respectively.</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Activities. </w:t>
      </w:r>
      <w:r>
        <w:rPr>
          <w:rFonts w:ascii="Arial" w:cs="Arial" w:eastAsia="Arial" w:hAnsi="Arial"/>
          <w:sz w:val="18"/>
          <w:szCs w:val="18"/>
          <w:color w:val="auto"/>
        </w:rPr>
        <w:t>The Company participates in common R&amp;D activities with Toshiba and is contractually committed to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level. R&amp;D commitments are immaterial to the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0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109</w:t>
            </w:r>
          </w:p>
        </w:tc>
        <w:tc>
          <w:tcPr>
            <w:tcW w:w="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June 30, 2017 in U.S. dollars, based upon the Japanese yen to U.S. dollar exchange rate as of June 30,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4"/>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June 30, 2017, no amounts have been accrued in the Consolidated Financial Statements with respect to these indemnification guarantees.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leases certain facilities and equipment under long-term, non-cancelable operating leases. The Company’s operating leases consist of leased property and equipment that expire at various dates through 2027. Future minimum lease payments under operating leases that have initial non-cancelable lease terms in excess of one year at June 30, 2017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Lease Amounts</w:t>
            </w:r>
          </w:p>
        </w:tc>
      </w:tr>
      <w:tr>
        <w:trPr>
          <w:trHeight w:val="250"/>
        </w:trPr>
        <w:tc>
          <w:tcPr>
            <w:tcW w:w="9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1"/>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46</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r>
      <w:tr>
        <w:trPr>
          <w:trHeight w:val="237"/>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13</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2023 and 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r>
      <w:tr>
        <w:trPr>
          <w:trHeight w:val="244"/>
        </w:trPr>
        <w:tc>
          <w:tcPr>
            <w:tcW w:w="9940" w:type="dxa"/>
            <w:vAlign w:val="bottom"/>
          </w:tcPr>
          <w:p>
            <w:pPr>
              <w:ind w:left="280"/>
              <w:spacing w:after="0"/>
              <w:rPr>
                <w:sz w:val="20"/>
                <w:szCs w:val="20"/>
                <w:color w:val="auto"/>
              </w:rPr>
            </w:pPr>
            <w:r>
              <w:rPr>
                <w:rFonts w:ascii="Arial" w:cs="Arial" w:eastAsia="Arial" w:hAnsi="Arial"/>
                <w:sz w:val="16"/>
                <w:szCs w:val="16"/>
                <w:color w:val="auto"/>
              </w:rPr>
              <w:t>Total future minimum lease payments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178</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rent expense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r>
      <w:tr>
        <w:trPr>
          <w:trHeight w:val="173"/>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center"/>
              <w:ind w:right="208"/>
              <w:spacing w:after="0"/>
              <w:rPr>
                <w:sz w:val="20"/>
                <w:szCs w:val="20"/>
                <w:color w:val="auto"/>
              </w:rPr>
            </w:pPr>
            <w:r>
              <w:rPr>
                <w:rFonts w:ascii="Arial" w:cs="Arial" w:eastAsia="Arial" w:hAnsi="Arial"/>
                <w:sz w:val="13"/>
                <w:szCs w:val="13"/>
                <w:i w:val="1"/>
                <w:iCs w:val="1"/>
                <w:color w:val="auto"/>
                <w:w w:val="96"/>
              </w:rPr>
              <w:t>(In millions)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84"/>
        </w:trPr>
        <w:tc>
          <w:tcPr>
            <w:tcW w:w="6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 expense, net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59</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has supply contracts that generally require the Company to provide monthly purchase order commitments. The purchase orders placed under these arrangements are generally binding and cannot be canceled. In addition, the Company’s subcontractors periodically procure production materials based on the forecast the Company provides to them. The Company’s agreements with these subcontractors require that the Company reimburse them for materials that are purchased on the Company’s behalf in accordance with such forecast. Accordingly, the Company may be committed to certain costs over and above its open noncancelable purchase orders with these subcontractors. As of June 30, 2017, the Company had no material long-term purchase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Business Segment, Geographic Information and Concentration of Risk</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The Company introduced a new operating model during the fourth quarter of fiscal 2016 that incorporates the HGST, WD and SanDisk businesses. Based upon the revised management structure under the new operating model, the Company determined that the Company’s Chief Operating Decision Maker, its Chief Executive Officer, evaluates performance of the Company and makes decisions regarding allocation of resources based on total Company results. As a result, the Company concluded it operates in one segment, data storage devices and solutions.</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summarizes the Company’s revenues by end market product category, between Client Devices (mobile, desktop, gaming and digital video hard drives, client solid-state drives (“SSD”), embedded products and wafers); Data Center Devices and Solutions (capacity and performance enterprise hard disk drives (“HDD”), enterprise SSDs, data center software and system solutions); and Client Solutions (removable products, hard drive content solutions and flash content solutions):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Devices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Data Center Devices &amp; Solutions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4,919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5,012</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Client Solutions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1,850</w:t>
            </w:r>
          </w:p>
        </w:tc>
      </w:tr>
      <w:tr>
        <w:trPr>
          <w:trHeight w:val="244"/>
        </w:trPr>
        <w:tc>
          <w:tcPr>
            <w:tcW w:w="674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19,093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12,994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14,572</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operations outside the United States include manufacturing facilities in China, Japan, Malaysia, the Philippines and Thailand, as well as sales offices throughout the Americas, Asia Pacific, Europe and the Middle East. The following tables summarize the Company’s operations by geographic area: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3,881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3,651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3,054</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China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Hong Kong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1,989</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3,276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3,169</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19,093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12,994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14,572</w:t>
            </w: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80" w:hanging="332"/>
        <w:spacing w:after="0" w:line="216"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Net revenue is attributed to geographic regions based on the ship-to location of the customer. License and royalty revenue is attributed to countries based upon the location of the headquarters of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020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Long-lived assets</w:t>
      </w:r>
      <w:r>
        <w:rPr>
          <w:rFonts w:ascii="Arial" w:cs="Arial" w:eastAsia="Arial" w:hAnsi="Arial"/>
          <w:sz w:val="21"/>
          <w:szCs w:val="21"/>
          <w:color w:val="auto"/>
          <w:vertAlign w:val="superscript"/>
        </w:rPr>
        <w:t>(1)</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United States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China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Asia</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Europe, Middle East and Africa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274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91" w:lineRule="exact"/>
        <w:rPr>
          <w:sz w:val="20"/>
          <w:szCs w:val="20"/>
          <w:color w:val="auto"/>
        </w:rPr>
      </w:pPr>
    </w:p>
    <w:tbl>
      <w:tblPr>
        <w:tblLayout w:type="fixed"/>
        <w:tblInd w:w="55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44"/>
        </w:trPr>
        <w:tc>
          <w:tcPr>
            <w:tcW w:w="300" w:type="dxa"/>
            <w:vAlign w:val="bottom"/>
          </w:tcPr>
          <w:p>
            <w:pPr>
              <w:spacing w:after="0"/>
              <w:rPr>
                <w:sz w:val="21"/>
                <w:szCs w:val="21"/>
                <w:color w:val="auto"/>
              </w:rPr>
            </w:pPr>
          </w:p>
        </w:tc>
        <w:tc>
          <w:tcPr>
            <w:tcW w:w="17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1"/>
                <w:szCs w:val="21"/>
                <w:color w:val="auto"/>
              </w:rPr>
            </w:pPr>
          </w:p>
        </w:tc>
      </w:tr>
      <w:tr>
        <w:trPr>
          <w:trHeight w:val="51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1,406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463</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1,628</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3,033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3,503</w:t>
            </w:r>
          </w:p>
        </w:tc>
      </w:tr>
      <w:tr>
        <w:trPr>
          <w:trHeight w:val="33"/>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-1054100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-711200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-368300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240" w:space="520"/>
            <w:col w:w="8660"/>
          </w:cols>
          <w:pgMar w:left="240" w:top="125" w:right="239" w:bottom="1440" w:gutter="0" w:footer="0" w:header="0"/>
        </w:sectPr>
      </w:pPr>
    </w:p>
    <w:p>
      <w:pPr>
        <w:ind w:left="340" w:hanging="332"/>
        <w:spacing w:after="0"/>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Long-lived assets are attributed to the geographic location in which they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20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Customer Concentration and Credit Risk</w:t>
      </w:r>
    </w:p>
    <w:p>
      <w:pPr>
        <w:spacing w:after="0" w:line="225"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Company sells its products to computer manufacturers, resellers and retailers throughout the world. For 2017 and 2016, no customer accounted for 10% or more of the Company’s net revenue. For 2015, one company, Hewlett-Packard Company, accounted for 11% of the Company’s net revenue. For 2017, 2016, and 2015, the Company’s top 10 customers accounted for 36%, 43%, and 44%, respectively, of the Company’s net revenue.</w:t>
      </w:r>
    </w:p>
    <w:p>
      <w:pPr>
        <w:spacing w:after="0" w:line="14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performs ongoing credit evaluations of its customers’ financial condition and generally requires no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results. As of June 30, 2017, one customer, Dell Inc., accounted for 11% of the Company’s net accounts receivable. As of July 1, 2016, no single customer accounted for 10% or more of the Company’s net accounts receivable. As of June 30, 2017 and July 1, 2016, the Company had reserves for potential credit losses of $10 million as of each period, and net accounts receivable of $1.95 billion and $1.46 billion, respectively.</w:t>
      </w:r>
    </w:p>
    <w:p>
      <w:pPr>
        <w:spacing w:after="0" w:line="178"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also has cash equivalent and investment policies that limit the amount of credit exposure to any one financial institution or investment instrument and requires that investments be made only with financial institutions or in investment instruments evaluated as highly credit-worthy.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Supplier Concentration</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All of the Company’s flash memory system products require silicon wafers for the memory and controller components. The Company’s memory wafers are currently supplied almost entirely from Flash Ventures and the controller wafers are all manufactured by third-party sources. The failure of any of these sources to deliver silicon wafers could have a material adverse effect on the Company’s business, financial condition and results of operations.</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addition, 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upon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Western Digital Corporation 401(k) Plan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maintains the Western Digital Corporation 401(k) Plan (the “Plan”). The Plan covers substantially all domestic employees, subject to certain eligibility requirements. Eligible employees receive employer matching contributions immediately upon hire unless the individual is covered by a collective bargaining agreement, provides services as a consultant, intern, independent contractor, leased or temporary employee, or otherwise is not treated as a common-law employee.</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Eligible employees are generally able to contribute up to 30% of their eligible compensation on a pre-tax basis or 10% of their eligible compensation on an after-tax basis subject to Internal Revenue Service (“IRS”) limitations. The Company makes a basic matching contribution equal to 50% of the each eligible participant’s contribution that does not exceed 6% of the eligible participant’s annual compensation in the year of contribution. The Company’s employer matching contributions vest over a two-year graded period. Prior to the amendment of the Plan on May 5, 2016, the Company’s employer matching contributions vested over a five-year graded period. The Company may suspend matching contributions at any time at its discretion. Contributions, including the Company’s matching contribution to the Plan, are recorded as soon as administratively possible after the Company makes payroll deductions from Plan participants.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2017, 2016 and 2015, the Company made Plan contributions of $36 million, $20 million and $22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2004 Performance Incentive Plan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types of awards that may be granted under the Western Digital Corporation Amended and Restated 2004 Performance Incentive Plan (“2004 Performance Incentive Plan”) include stock options, SARs, RSUs, PSUs, stock bonuses and other forms of awards granted or denominated in the Company’s common stock or units of the Company’s common stock, as well as cash bonus awards. Persons eligible to receive awards under the 2004 Performance Incentive Plan include officers and employees of the Company or any of its subsidiaries, directors of the Company and certain consultants and advisors to the Company or any of its subsidiaries. The vesting of awards under the 2004 Performance Incentive Plan is determined at the date of grant. Each award expires on a date determined at the date of grant; however, the maximum term of options and SARs under the 2004 Performance Incentive Plan is ten-years after the grant date of the award. RSUs granted under the 2004 Performance Incentive Plan typically vest over periods ranging from one to four years from the date of grant. PSUs are granted to certain employees and vest only after the achievement of pre-determined performance metrics and completion of requisite service periods. Once the performance metrics are met, vesting of PSUs is generally subject to continued service by the employee. At the end of each reporting period, the Company evaluates the probability that PSUs will be earned. The Company records stock-based compensation expense based on the probability that the performance metrics will be achieved over the vesting period. To the extent available, the Company issues shares out of treasury stock upon the vesting of awards, the exercise of employee stock options and the purchase of shares pursuant to the ESPP.</w:t>
      </w:r>
    </w:p>
    <w:p>
      <w:pPr>
        <w:spacing w:after="0" w:line="16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of June 30, 2017, the maximum number of shares of the Company’s common stock that was authorized for award grants under the 2004 Performance Incentive Plan was 65.8 million shares. Shares issued in respect of stock options and SARs granted under the 2004 Performance Incentive Plan count against the plan’s share limit on a one-for-one basis, whereas currently, shares issued in respect of any other type of award granted count against the plan’s share limit as 1.72 shares for every one share issued in connection with such award. The 2004 Performance Incentive Plan was extended in 2013 and will terminate on August 4, 2025 unless terminated earlier by the Company’s Board of Directors (the “Board”).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Acquired Plan</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connection with the Merger, the Company assumed 14.4 million shares that were available to be granted to SanDisk employees under the SanDisk 2013 Incentive Plan. The Company also assumed outstanding stock options and RSUs which were converted into equivalent stock options and RSUs with respect to shares of the Company’s common stock using the equity award exchange ratio as defined in the merger agreement with SanDisk. Options eligible for exercise may be exercised for shares of the Company’s common stock at any time prior to the expiration of the seven-year option term or any earlier termination of those options in connection with the optionee’s cessation of service with the Company. Outstanding RSU awards under the SanDisk 2013 Incentive Plan have dividend equivalent rights which entitle holders of RSUs to the same dividend value per share as holders of common stock. Dividend equivalent rights are subject to the same vesting and other terms and conditions as the corresponding unvested RSUs. Dividend equivalent rights are accumulated and paid when the underlying shares vest.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125"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on either the first day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88</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7"/>
        </w:trPr>
        <w:tc>
          <w:tcPr>
            <w:tcW w:w="6740" w:type="dxa"/>
            <w:vAlign w:val="bottom"/>
          </w:tcPr>
          <w:p>
            <w:pPr>
              <w:jc w:val="center"/>
              <w:ind w:right="5759"/>
              <w:spacing w:after="0"/>
              <w:rPr>
                <w:sz w:val="20"/>
                <w:szCs w:val="20"/>
                <w:color w:val="auto"/>
              </w:rPr>
            </w:pPr>
            <w:r>
              <w:rPr>
                <w:rFonts w:ascii="Arial" w:cs="Arial" w:eastAsia="Arial" w:hAnsi="Arial"/>
                <w:sz w:val="16"/>
                <w:szCs w:val="16"/>
                <w:color w:val="auto"/>
                <w:w w:val="91"/>
              </w:rPr>
              <w:t>Subtotal</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44"/>
        </w:trPr>
        <w:tc>
          <w:tcPr>
            <w:tcW w:w="6740" w:type="dxa"/>
            <w:vAlign w:val="bottom"/>
          </w:tcPr>
          <w:p>
            <w:pPr>
              <w:jc w:val="center"/>
              <w:ind w:right="5779"/>
              <w:spacing w:after="0"/>
              <w:rPr>
                <w:sz w:val="20"/>
                <w:szCs w:val="20"/>
                <w:color w:val="auto"/>
              </w:rPr>
            </w:pPr>
            <w:r>
              <w:rPr>
                <w:rFonts w:ascii="Arial" w:cs="Arial" w:eastAsia="Arial" w:hAnsi="Arial"/>
                <w:sz w:val="16"/>
                <w:szCs w:val="16"/>
                <w:color w:val="auto"/>
                <w:w w:val="89"/>
              </w:rPr>
              <w:t>Total</w:t>
            </w:r>
          </w:p>
        </w:tc>
        <w:tc>
          <w:tcPr>
            <w:tcW w:w="100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Employee termination, asset impairment, and other charges</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jc w:val="center"/>
              <w:ind w:right="5759"/>
              <w:spacing w:after="0"/>
              <w:rPr>
                <w:sz w:val="20"/>
                <w:szCs w:val="20"/>
                <w:color w:val="auto"/>
              </w:rPr>
            </w:pPr>
            <w:r>
              <w:rPr>
                <w:rFonts w:ascii="Arial" w:cs="Arial" w:eastAsia="Arial" w:hAnsi="Arial"/>
                <w:sz w:val="16"/>
                <w:szCs w:val="16"/>
                <w:color w:val="auto"/>
                <w:w w:val="91"/>
              </w:rPr>
              <w:t>Subtotal</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jc w:val="center"/>
              <w:ind w:right="5779"/>
              <w:spacing w:after="0"/>
              <w:rPr>
                <w:sz w:val="20"/>
                <w:szCs w:val="20"/>
                <w:color w:val="auto"/>
              </w:rPr>
            </w:pPr>
            <w:r>
              <w:rPr>
                <w:rFonts w:ascii="Arial" w:cs="Arial" w:eastAsia="Arial" w:hAnsi="Arial"/>
                <w:sz w:val="16"/>
                <w:szCs w:val="16"/>
                <w:color w:val="auto"/>
                <w:w w:val="89"/>
              </w:rPr>
              <w:t>Total</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Compensation cost related to unvested stock options, RSU’s, PSUs and ESPP will generally be amortized on a straight-line basis over the remaining average service period. The following table presents the unamortized compensation cost and weighted average service period of all unvested outstanding awards as of June 30,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Unamortized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33"/>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5580" w:right="4840" w:hanging="5572"/>
        <w:spacing w:after="0" w:line="787" w:lineRule="auto"/>
        <w:tabs>
          <w:tab w:leader="none" w:pos="201" w:val="left"/>
        </w:tabs>
        <w:numPr>
          <w:ilvl w:val="0"/>
          <w:numId w:val="39"/>
        </w:numPr>
        <w:rPr>
          <w:rFonts w:ascii="Arial" w:cs="Arial" w:eastAsia="Arial" w:hAnsi="Arial"/>
          <w:sz w:val="23"/>
          <w:szCs w:val="23"/>
          <w:color w:val="auto"/>
          <w:vertAlign w:val="superscript"/>
        </w:rPr>
      </w:pPr>
      <w:r>
        <w:rPr>
          <w:rFonts w:ascii="Arial" w:cs="Arial" w:eastAsia="Arial" w:hAnsi="Arial"/>
          <w:sz w:val="17"/>
          <w:szCs w:val="17"/>
          <w:color w:val="auto"/>
        </w:rPr>
        <w:t>Weighted average service period assumes the performance metrics are met for the PSUs.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-956310</wp:posOffset>
            </wp:positionV>
            <wp:extent cx="1020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27, 2014</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94.10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Assumed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Options outstanding at July 3, 2015</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Assumed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38.37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1, 2016</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44.83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71.31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at June 30, 2017</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62.38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 and expected to vest after June 30, 2017</w:t>
            </w: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58.42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right"/>
              <w:ind w:right="43"/>
              <w:spacing w:after="0"/>
              <w:rPr>
                <w:sz w:val="20"/>
                <w:szCs w:val="20"/>
                <w:color w:val="auto"/>
              </w:rPr>
            </w:pPr>
            <w:r>
              <w:rPr>
                <w:rFonts w:ascii="Arial" w:cs="Arial" w:eastAsia="Arial" w:hAnsi="Arial"/>
                <w:sz w:val="14"/>
                <w:szCs w:val="14"/>
                <w:b w:val="1"/>
                <w:bCs w:val="1"/>
                <w:color w:val="auto"/>
                <w:w w:val="90"/>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27, 2014</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July 3, 2015</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Assumed</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56.11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RSUs and PSUs outstanding at July 1, 2016</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RSUs and PSUs outstanding at June 30, 2017</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after June 30, 2017</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420" w:firstLine="162"/>
        <w:spacing w:after="0" w:line="501" w:lineRule="auto"/>
        <w:rPr>
          <w:sz w:val="20"/>
          <w:szCs w:val="20"/>
          <w:color w:val="auto"/>
        </w:rPr>
      </w:pPr>
      <w:r>
        <w:rPr>
          <w:rFonts w:ascii="Arial" w:cs="Arial" w:eastAsia="Arial" w:hAnsi="Arial"/>
          <w:sz w:val="18"/>
          <w:szCs w:val="18"/>
          <w:color w:val="auto"/>
        </w:rPr>
        <w:t xml:space="preserve">RSUs and PSUs are generally settled in an equal number of shares of the Company’s common stock at the time of vesting of the units. </w:t>
      </w:r>
      <w:r>
        <w:rPr>
          <w:rFonts w:ascii="Arial" w:cs="Arial" w:eastAsia="Arial" w:hAnsi="Arial"/>
          <w:sz w:val="18"/>
          <w:szCs w:val="18"/>
          <w:i w:val="1"/>
          <w:iCs w:val="1"/>
          <w:color w:val="auto"/>
        </w:rPr>
        <w:t>Vested Options, RSUs and PSUs</w:t>
      </w:r>
    </w:p>
    <w:p>
      <w:pPr>
        <w:ind w:left="340"/>
        <w:spacing w:after="0"/>
        <w:rPr>
          <w:sz w:val="20"/>
          <w:szCs w:val="20"/>
          <w:color w:val="auto"/>
        </w:rPr>
      </w:pPr>
      <w:r>
        <w:rPr>
          <w:rFonts w:ascii="Arial" w:cs="Arial" w:eastAsia="Arial" w:hAnsi="Arial"/>
          <w:sz w:val="18"/>
          <w:szCs w:val="18"/>
          <w:color w:val="auto"/>
        </w:rPr>
        <w:t>The total grant date fair value of options, RSUs and PSUs vested during the period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RSUs and PSUs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65</w:t>
            </w:r>
          </w:p>
        </w:tc>
      </w:tr>
      <w:tr>
        <w:trPr>
          <w:trHeight w:val="33"/>
        </w:trPr>
        <w:tc>
          <w:tcPr>
            <w:tcW w:w="7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grant date fair value of options, RSUs and PSUs vested during the period</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127</w:t>
            </w:r>
          </w:p>
        </w:tc>
      </w:tr>
      <w:tr>
        <w:trPr>
          <w:trHeight w:val="20"/>
        </w:trPr>
        <w:tc>
          <w:tcPr>
            <w:tcW w:w="7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June 30, 2017, all outstanding SARs issued to employees were fully vested and will be settled in cash upon exercise. The fair value of SARs is solely subject to market price fluctuations. The following table presents the adjustments to the fair market value of SARs: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190"/>
        </w:trPr>
        <w:tc>
          <w:tcPr>
            <w:tcW w:w="6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SAR expense (benefit)</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expense (benefit)</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SAR expense (benefit)</w:t>
            </w: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Company had a total liability of $2 million and $20 million related to SARs included in Accrued expenses in the Consolidated Balance Sheets as of June 30, 2017 and July 1, 2016, respectively. There were no SARs granted in 2017, 2016, and 2015 and as of June 30, 2017, an immaterial number of SARs were outstanding with a weighted average exercise price of $24.45.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Valuation Assumptions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 Grants — Binomial Model</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fair value of stock options granted is estimated using a binomial option-pricing model. The binomial model requires the input of highly subjective assumptions. The Company uses historical data to estimate exercise, employee termination and expected stock price volatility within the binomial model. The risk-free rate for periods within the contractual life of the option is based on the U.S. Treasury yield curve in effect at the time of grant. The fair value of stock options granted was estimated using the following weighted average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Suboptimal exercise factor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risk-free interest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stock price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Weighted-average expected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Post-vesting termination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expected term (in years)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23"/>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6"/>
              </w:rPr>
              <w:t>2.69</w:t>
            </w:r>
          </w:p>
        </w:tc>
        <w:tc>
          <w:tcPr>
            <w:tcW w:w="12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2.71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2.52</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0.59% to</w:t>
            </w:r>
          </w:p>
        </w:tc>
        <w:tc>
          <w:tcPr>
            <w:tcW w:w="640" w:type="dxa"/>
            <w:vAlign w:val="bottom"/>
          </w:tcPr>
          <w:p>
            <w:pPr>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 to</w:t>
            </w:r>
          </w:p>
        </w:tc>
        <w:tc>
          <w:tcPr>
            <w:tcW w:w="640" w:type="dxa"/>
            <w:vAlign w:val="bottom"/>
          </w:tcPr>
          <w:p>
            <w:pPr>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0.11% to 2.16%</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0.35 to</w:t>
            </w:r>
          </w:p>
        </w:tc>
        <w:tc>
          <w:tcPr>
            <w:tcW w:w="640" w:type="dxa"/>
            <w:vAlign w:val="bottom"/>
          </w:tcPr>
          <w:p>
            <w:pPr>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0.28 to</w:t>
            </w:r>
          </w:p>
        </w:tc>
        <w:tc>
          <w:tcPr>
            <w:tcW w:w="640" w:type="dxa"/>
            <w:vAlign w:val="bottom"/>
          </w:tcPr>
          <w:p>
            <w:pPr>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0.23 to 0.47</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6"/>
              </w:rPr>
              <w:t>0.40</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0.35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0.36</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1.71%</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0.47%</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1.25%</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2"/>
              </w:rPr>
              <w:t>3.42%</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92"/>
              </w:rPr>
              <w:t>2.61%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1.69%</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3"/>
              </w:rPr>
              <w:t>$13.72</w:t>
            </w: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color w:val="auto"/>
                <w:w w:val="89"/>
              </w:rPr>
              <w:t>$22.54</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$32.19</w:t>
            </w:r>
          </w:p>
        </w:tc>
      </w:tr>
      <w:tr>
        <w:trPr>
          <w:trHeight w:val="270"/>
        </w:trPr>
        <w:tc>
          <w:tcPr>
            <w:tcW w:w="860" w:type="dxa"/>
            <w:vAlign w:val="bottom"/>
          </w:tcPr>
          <w:p>
            <w:pPr>
              <w:jc w:val="center"/>
              <w:ind w:left="560"/>
              <w:spacing w:after="0"/>
              <w:rPr>
                <w:sz w:val="20"/>
                <w:szCs w:val="20"/>
                <w:color w:val="auto"/>
              </w:rPr>
            </w:pPr>
            <w:r>
              <w:rPr>
                <w:rFonts w:ascii="Arial" w:cs="Arial" w:eastAsia="Arial" w:hAnsi="Arial"/>
                <w:sz w:val="16"/>
                <w:szCs w:val="16"/>
                <w:color w:val="auto"/>
                <w:w w:val="98"/>
              </w:rPr>
              <w:t>3.6</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center"/>
              <w:ind w:left="560"/>
              <w:spacing w:after="0"/>
              <w:rPr>
                <w:sz w:val="20"/>
                <w:szCs w:val="20"/>
                <w:color w:val="auto"/>
              </w:rPr>
            </w:pPr>
            <w:r>
              <w:rPr>
                <w:rFonts w:ascii="Arial" w:cs="Arial" w:eastAsia="Arial" w:hAnsi="Arial"/>
                <w:sz w:val="16"/>
                <w:szCs w:val="16"/>
                <w:color w:val="auto"/>
                <w:w w:val="89"/>
              </w:rPr>
              <w:t>4.7</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-1350645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-1007745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-664210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-321310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Grants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the Company’s RSU and PSU awards granted, excluding unvested RSU awards assumed through acquisitions, was based upon the closing price of the Company’s stock price on the date of grant.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ESPP — Black-Scholes-Merton Model</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fair value of ESPP purchase rights issued is estimated at the date of grant of the purchase rights using the Black-Scholes-Merton option-pricing model. The Black-Scholes-Merton option-pricing model requires the input of highly subjective assumptions such as the expected stock price volatility and the expected period until options are exercised. Purchase rights under the ESPP are generally granted on either June 1st or December 1st of each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fair values of all outstanding ESPP purchase rights have been estimated at the date of grant using a Black-Scholes-Merton option-pricing model with the following weighted average assumptions:</w:t>
      </w:r>
    </w:p>
    <w:p>
      <w:pPr>
        <w:sectPr>
          <w:pgSz w:w="11900" w:h="16838" w:orient="portrait"/>
          <w:cols w:equalWidth="0" w:num="1">
            <w:col w:w="11420"/>
          </w:cols>
          <w:pgMar w:left="240" w:top="125" w:right="239" w:bottom="1440" w:gutter="0" w:footer="0" w:header="0"/>
        </w:sect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Weighted-average expected term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Risk-free interest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price volatility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 yield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23"/>
        </w:trPr>
        <w:tc>
          <w:tcPr>
            <w:tcW w:w="1500" w:type="dxa"/>
            <w:vAlign w:val="bottom"/>
          </w:tcPr>
          <w:p>
            <w:pPr>
              <w:jc w:val="center"/>
              <w:spacing w:after="0"/>
              <w:rPr>
                <w:sz w:val="20"/>
                <w:szCs w:val="20"/>
                <w:color w:val="auto"/>
              </w:rPr>
            </w:pPr>
            <w:r>
              <w:rPr>
                <w:rFonts w:ascii="Arial" w:cs="Arial" w:eastAsia="Arial" w:hAnsi="Arial"/>
                <w:sz w:val="16"/>
                <w:szCs w:val="16"/>
                <w:color w:val="auto"/>
                <w:w w:val="96"/>
              </w:rPr>
              <w:t>1.26</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1.26</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0.81%</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0.82%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0.45%</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6"/>
              </w:rPr>
              <w:t>0.42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0.38</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0.26</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2"/>
              </w:rPr>
              <w:t>4.02%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3.92%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2.34%</w:t>
            </w:r>
          </w:p>
        </w:tc>
      </w:tr>
      <w:tr>
        <w:trPr>
          <w:trHeight w:val="270"/>
        </w:trPr>
        <w:tc>
          <w:tcPr>
            <w:tcW w:w="1500" w:type="dxa"/>
            <w:vAlign w:val="bottom"/>
          </w:tcPr>
          <w:p>
            <w:pPr>
              <w:jc w:val="center"/>
              <w:spacing w:after="0"/>
              <w:rPr>
                <w:sz w:val="20"/>
                <w:szCs w:val="20"/>
                <w:color w:val="auto"/>
              </w:rPr>
            </w:pPr>
            <w:r>
              <w:rPr>
                <w:rFonts w:ascii="Arial" w:cs="Arial" w:eastAsia="Arial" w:hAnsi="Arial"/>
                <w:sz w:val="16"/>
                <w:szCs w:val="16"/>
                <w:color w:val="auto"/>
                <w:w w:val="93"/>
              </w:rPr>
              <w:t>$10.06</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-835660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-492760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-149860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Board has authorized $5.00 billion for the repurchase of the Company’s common stock. The stock repurchase program is effective until February 3, 2020. The Company did not repurchase any shares of common stock during 2017. The remaining amount available to be purchased under the Company’s stock repurchase program as of June 30, 2017 was $2.10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Reserved for Issuance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all common stock reserved for issuance at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Number of Shares</w:t>
            </w:r>
          </w:p>
        </w:tc>
      </w:tr>
      <w:tr>
        <w:trPr>
          <w:trHeight w:val="250"/>
        </w:trPr>
        <w:tc>
          <w:tcPr>
            <w:tcW w:w="9820" w:type="dxa"/>
            <w:vAlign w:val="bottom"/>
          </w:tcPr>
          <w:p>
            <w:pPr>
              <w:spacing w:after="0"/>
              <w:rPr>
                <w:sz w:val="21"/>
                <w:szCs w:val="21"/>
                <w:color w:val="auto"/>
              </w:rPr>
            </w:pPr>
          </w:p>
        </w:tc>
        <w:tc>
          <w:tcPr>
            <w:tcW w:w="1600" w:type="dxa"/>
            <w:vAlign w:val="bottom"/>
          </w:tcPr>
          <w:p>
            <w:pPr>
              <w:jc w:val="right"/>
              <w:ind w:right="363"/>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awards and shares available for award grants</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ESPP</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7</w:t>
            </w:r>
          </w:p>
        </w:tc>
      </w:tr>
      <w:tr>
        <w:trPr>
          <w:trHeight w:val="33"/>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September 13, 2012, the Company announced that the Board had authorized the adoption of a quarterly cash dividend policy. Under the cash dividend policy, holders of the Company’s common stock receive dividends when and as declared by the Board. During 2017, the Company declared aggregate cash dividends of $2.00 per share on the Company’s outstanding common stock totaling $579 million, of which $432 million was paid in 2017 and $147 million was paid on July 17, 2017. The Company also paid $142 million in 2017 related to dividends accrued in 2016.</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August 2, 2017, the Board declared a cash dividend of $0.50 per share to shareholders of record as of September 29, 2017, which will be paid on October 16,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modify, suspend or cancel its cash dividend policy in any manner and at any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Before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before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Domestic</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before taxes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Domestic - Federal</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Domestic - State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17"/>
        </w:trPr>
        <w:tc>
          <w:tcPr>
            <w:tcW w:w="67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Company’s income tax expense for 2017 reflects tax expense from the integration of SanDisk and a valuation allowance on both acquired tax attributes and net operating loss carryforwards from restructuring activities. The Company’s income tax benefit for 2016 reflects tax benefits from expenses related to the Merger and from interest expense related to debt facilities.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Remaining net undistributed earnings from foreign subsidiaries at June 30, 2017, on which no U.S. tax has been provided, amounted to $16 billion. The net undistributed earnings are intended to finance local operating requirements and capital investments. Accordingly, an additional U.S. tax provision has not been made on these earnings. The tax liability for these earnings would be approximately $5 billion, if the Company repatriated the undistributed earnings from the foreign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Temporary differences and carryforwards, which give rise to a significant portion of deferred tax assets and liabilities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Sales related reserves and accrued expenses not currently deductible</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82</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 not currently deductible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Net operating loss carryforward</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259</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credit carryforward</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256</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1,288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1,245</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Long-lived assets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Unremitted earnings of certain non-U.S. entities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 net</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increase in deferred tax liabilities, net in 2017, compared to 2016, was primarily due to the increase in deferred tax expense of $12 million, tax effects of OCI items of $10 million, purchase price adjustments to goodwill of $27 million and shortfalls related to stock-based compensation deductions included in additional paid-in capital of $15 million.</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net deferred tax asset valuation allowance increased by $224 million and $128 million in 2017 and 2016, respectively. The valuation allowance increase in 2017 is primarily attributable to $111 million for acquired tax attributes, $46 million for net operating loss carryforwards from restructuring activities, $31 million for capital losses, and $27 million for the current year generation of state tax credits which the Company does not anticipate being able to utilize. The assessment of valuation allowances against deferred tax assets requires estimations and significant judgment. 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most of its deferred tax assets with the exception of certain loss and credit carryforwards.</w:t>
      </w:r>
    </w:p>
    <w:p>
      <w:pPr>
        <w:spacing w:after="0" w:line="167" w:lineRule="exact"/>
        <w:rPr>
          <w:sz w:val="20"/>
          <w:szCs w:val="20"/>
          <w:color w:val="auto"/>
        </w:rPr>
      </w:pPr>
    </w:p>
    <w:p>
      <w:pPr>
        <w:ind w:right="660" w:firstLine="324"/>
        <w:spacing w:after="0" w:line="291" w:lineRule="auto"/>
        <w:rPr>
          <w:sz w:val="20"/>
          <w:szCs w:val="20"/>
          <w:color w:val="auto"/>
        </w:rPr>
      </w:pPr>
      <w:r>
        <w:rPr>
          <w:rFonts w:ascii="Arial" w:cs="Arial" w:eastAsia="Arial" w:hAnsi="Arial"/>
          <w:sz w:val="16"/>
          <w:szCs w:val="16"/>
          <w:color w:val="auto"/>
        </w:rPr>
        <w:t>In addition to the deferred tax assets presented above, the Company had benefits related to net operating loss (“NOL”) benefits from stock-based compensation deductions of $20 million and $119 million as of June 30, 2017 and July 1, 2016, respectively. During 2017, the Company recorded</w:t>
      </w:r>
    </w:p>
    <w:p>
      <w:pPr>
        <w:ind w:right="160"/>
        <w:spacing w:after="0" w:line="261" w:lineRule="auto"/>
        <w:rPr>
          <w:sz w:val="20"/>
          <w:szCs w:val="20"/>
          <w:color w:val="auto"/>
        </w:rPr>
      </w:pPr>
      <w:r>
        <w:rPr>
          <w:rFonts w:ascii="Arial" w:cs="Arial" w:eastAsia="Arial" w:hAnsi="Arial"/>
          <w:sz w:val="18"/>
          <w:szCs w:val="18"/>
          <w:color w:val="auto"/>
        </w:rPr>
        <w:t>$119 million of tax benefits related to stock-based compensation deductions to Shareholders’ equity of which $98 million related to NOL benefits for stock-based compensation deductions and $21 million was related to current year stock-based compensation deductions.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the U.S. Federal statutory rate to the Company’s effective tax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rate differential on international income</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(29)</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non-deductible convertible debt costs</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effect of U.S. non-deductible acquisition costs</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foreign income inclusion</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Tax effect of U.S. non-deductible stock-based compensation</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effect of U.S. permanent differences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State income tax, net of federal tax</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Unremitted earnings of certain non-U.S. entities</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related to SanDisk integration</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Retroactive extension of Federal R&amp;D credit</w:t>
            </w: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33"/>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credits</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2</w:t>
            </w:r>
          </w:p>
        </w:tc>
      </w:tr>
      <w:tr>
        <w:trPr>
          <w:trHeight w:val="33"/>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Holidays and Carryforwards</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 substantial portion of the Company’s manufacturing operations in Malaysia, the Philippines, Singapore and Thailand operate under various tax holidays and tax incentive programs which will expire in whole or in part at various dates from 2018 through 2030. Certain of the holidays may be extended if specific conditions are met. The net impact of these tax holidays and tax incentives was an increase to the Company’s net earnings by $467 million, or $1.58 per diluted share, $500 million, or $2.07 per diluted share, and $641 million, or $2.70 per diluted share, in 2017, 2016, and 2015, respectively.</w:t>
      </w:r>
    </w:p>
    <w:p>
      <w:pPr>
        <w:spacing w:after="0" w:line="15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As of June 30, 2017, the Company had federal and state NOL carryforwards of $765 million and $552 million, respectively. The NOL carryforwards available to offset future federal taxable income expire at various dates from 2020 to 2037 and future state taxable income expire at various dates from 2018 to 2037. As of June 30, 2017, the Company had various federal and state tax credit carryforwards totaling $599 million. The available federal tax credit carryforwards of $78 million to offset future federal taxable income expire at various dates from 2018 to 2037. The remaining credit carryforward amount of $521 million relates primarily to state tax credit carryforwards which are available indefinitely.</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federal and state NOLs and credits relating to various acquisitions are subject to limitations under Sections 382 and 383 of the Internal Revenue Code. The Company expects the total amount of federal NOLs ultimately realized will be reduced by $498 million and state NOLs ultimately realized will be reduced by $422 million. The Company expects the total amount of federal credits ultimately realized will be reduced by $41 million and state tax credit carryforwards ultimately realized will be reduced by $375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Company had varying amounts of foreign NOL carryforward that do not expire or, if not used, expire in various years, depending on the country. The major jurisdictions that the Company receives foreign NOL carryforward and the related expiration dates of these NOL carryforward tax credits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NOL Carryforward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2024 to 2026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12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Singapore</w:t>
            </w:r>
          </w:p>
        </w:tc>
        <w:tc>
          <w:tcPr>
            <w:tcW w:w="120" w:type="dxa"/>
            <w:vAlign w:val="bottom"/>
          </w:tcPr>
          <w:p>
            <w:pPr>
              <w:spacing w:after="0"/>
              <w:rPr>
                <w:sz w:val="20"/>
                <w:szCs w:val="20"/>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5"/>
              </w:rPr>
              <w:t>No expiration</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expects the total amount of NOL carryforwards in Japan ultimately realized will be reduced by $76 million. The Company expects the NOL carryforwards in Belgium, China and Singapore will not be ultimately realized.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With the exception of certain unrecognized tax benefits that are directly associated with the tax position taken, unrecognized tax benefits are presented gross in the Consolidated Balance Sheets.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June 30, 2017, July 1, 2016 and July 3, 2015 was $89 million, $75 million and $55 million,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excluding accrued interest and penalties: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 beginning balance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increases related to current year tax positions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increases related to prior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Gross decreases related to prior year tax positions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Unrecognized tax benefit, ending balance</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350</w:t>
            </w:r>
          </w:p>
        </w:tc>
      </w:tr>
      <w:tr>
        <w:trPr>
          <w:trHeight w:val="3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Company’s unrecognized tax benefits are primarily included within long-term liabilities in the Consolidated Balance Sheets. The entire balance of unrecognized tax benefits as of June 30, 2017, July 1, 2016 and July 3, 2015, if recognized, would affect the effective tax rate.</w:t>
      </w:r>
    </w:p>
    <w:p>
      <w:pPr>
        <w:spacing w:after="0" w:line="14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files U.S. Federal, U.S. state and foreign tax returns. For both federal and state tax returns, with few exceptions, the Company is subject to examination for fiscal years 2008 through 2016. The Company is no longer subject to examination by the IRS for periods prior to 2008, although carry forwards generated prior to those periods may still be adjusted upon examination by the IRS or state taxing authority if they either have been or will be used in a subsequent period. In the major foreign jurisdictions, the Company could be subject to examination in China for calendar years 2007 through 2016, in Ireland for calendar years 2013 through 2016, and Japan in fiscal years 2011 through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Meetings with the IRS Appeals Office began in March 2017. The Company believes that its tax positions are properly supported and will vigorously contest the position taken by the IRS. In September 2015, the IRS commenced an examination of the Company’s fiscal years 2010 through 2012.</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June 30, 2017,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Net Income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80" w:type="dxa"/>
            <w:vAlign w:val="bottom"/>
            <w:gridSpan w:val="6"/>
          </w:tcPr>
          <w:p>
            <w:pPr>
              <w:jc w:val="right"/>
              <w:ind w:right="139"/>
              <w:spacing w:after="0"/>
              <w:rPr>
                <w:sz w:val="20"/>
                <w:szCs w:val="20"/>
                <w:color w:val="auto"/>
              </w:rPr>
            </w:pPr>
            <w:r>
              <w:rPr>
                <w:rFonts w:ascii="Arial" w:cs="Arial" w:eastAsia="Arial" w:hAnsi="Arial"/>
                <w:sz w:val="14"/>
                <w:szCs w:val="14"/>
                <w:i w:val="1"/>
                <w:iCs w:val="1"/>
                <w:color w:val="auto"/>
              </w:rPr>
              <w:t>(in millions, except per share 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7"/>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60" w:hanging="332"/>
        <w:spacing w:after="0" w:line="216"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ESPP and awards of RSUs.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Financial Statements include the results of operations of acquired companies commencing after their respective acquisition dates.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 of SanDisk</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On May 12, 2016, WDT, a wholly-owned subsidiary of the Company, completed the acquisition of SanDisk (the “Merger”), a global leader in NAND-flash storage solutions. The acquisition was primarily intended to deepen the Company’s expertise in non-volatile memory and enable the Company to vertically integrate into NAND, securing long-term access to solid state technology at a lower cost.</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At the SanDisk Closing Date, each issued and outstanding share of SanDisk common stock, other than shares of SanDisk common stock held in the treasury of SanDisk, shares of SanDisk common stock owned by shareholders who had validly exercised their appraisal rights under Delaware law and shares of SanDisk common stock owned by Western Digital or any subsidiary of Western Digital, was converted into the right to receive $67.50 per share in cash; and 0.2387 shares of Western Digital common stock per share of SanDisk common stock, with cash paid in lieu of fractional shares.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aggregate purchase price of the SanDisk acquisition was $15.59 billion, consisting of $13.77 billion in cash funded with existing cash and cash from new debt, 49 million newly issued shares of the Company’s common stock with a fair value of $1.76 billion and $58 million related to the fair value of stock options and RSUs assumed. The fair value of the newly issued shares of the Company’s common stock was determined based on the closing market price of the Company’s shares of common stock on the date of the acquisition. The fair values of stock options assumed were estimated using a binomial option-pricing model.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203"/>
              <w:spacing w:after="0"/>
              <w:rPr>
                <w:sz w:val="20"/>
                <w:szCs w:val="20"/>
                <w:color w:val="auto"/>
              </w:rPr>
            </w:pPr>
            <w:r>
              <w:rPr>
                <w:rFonts w:ascii="Arial" w:cs="Arial" w:eastAsia="Arial" w:hAnsi="Arial"/>
                <w:sz w:val="14"/>
                <w:szCs w:val="14"/>
                <w:b w:val="1"/>
                <w:bCs w:val="1"/>
                <w:color w:val="auto"/>
                <w:w w:val="98"/>
              </w:rPr>
              <w:t>May 12,</w:t>
            </w:r>
          </w:p>
        </w:tc>
      </w:tr>
      <w:tr>
        <w:trPr>
          <w:trHeight w:val="192"/>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right="163"/>
              <w:spacing w:after="0"/>
              <w:rPr>
                <w:sz w:val="20"/>
                <w:szCs w:val="20"/>
                <w:color w:val="auto"/>
              </w:rPr>
            </w:pPr>
            <w:r>
              <w:rPr>
                <w:rFonts w:ascii="Arial" w:cs="Arial" w:eastAsia="Arial" w:hAnsi="Arial"/>
                <w:sz w:val="14"/>
                <w:szCs w:val="14"/>
                <w:i w:val="1"/>
                <w:iCs w:val="1"/>
                <w:color w:val="auto"/>
                <w:w w:val="98"/>
              </w:rPr>
              <w:t>(in millions)</w:t>
            </w:r>
          </w:p>
        </w:tc>
      </w:tr>
      <w:tr>
        <w:trPr>
          <w:trHeight w:val="243"/>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13,766</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consideration</w:t>
            </w:r>
          </w:p>
        </w:tc>
        <w:tc>
          <w:tcPr>
            <w:tcW w:w="26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1,764</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assumed equity attributed to pre-combination service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w:t>
            </w:r>
          </w:p>
        </w:tc>
      </w:tr>
      <w:tr>
        <w:trPr>
          <w:trHeight w:val="244"/>
        </w:trPr>
        <w:tc>
          <w:tcPr>
            <w:tcW w:w="9940" w:type="dxa"/>
            <w:vAlign w:val="bottom"/>
          </w:tcPr>
          <w:p>
            <w:pPr>
              <w:ind w:left="280"/>
              <w:spacing w:after="0"/>
              <w:rPr>
                <w:sz w:val="20"/>
                <w:szCs w:val="20"/>
                <w:color w:val="auto"/>
              </w:rPr>
            </w:pPr>
            <w:r>
              <w:rPr>
                <w:rFonts w:ascii="Arial" w:cs="Arial" w:eastAsia="Arial" w:hAnsi="Arial"/>
                <w:sz w:val="16"/>
                <w:szCs w:val="16"/>
                <w:color w:val="auto"/>
              </w:rPr>
              <w:t>Total purchase price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15,588</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assets acquired and liabilities assumed were recognized at fair value as of the date of the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During 2017, the Company finalized the analysis of the purchase price resulting in adjustments of $66 million to the assessed fair value of certain acquired intangible assets; inventory; property, plant and equipment; and a portion of the deferred tax liability related to the Merger. The following table summarizes the final fair values assigned to the assets acquired and liabilities assumed: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39"/>
              <w:spacing w:after="0"/>
              <w:rPr>
                <w:sz w:val="20"/>
                <w:szCs w:val="20"/>
                <w:color w:val="auto"/>
              </w:rPr>
            </w:pPr>
            <w:r>
              <w:rPr>
                <w:rFonts w:ascii="Arial" w:cs="Arial" w:eastAsia="Arial" w:hAnsi="Arial"/>
                <w:sz w:val="14"/>
                <w:szCs w:val="14"/>
                <w:i w:val="1"/>
                <w:iCs w:val="1"/>
                <w:color w:val="auto"/>
              </w:rPr>
              <w:t>(in millions)</w:t>
            </w:r>
          </w:p>
        </w:tc>
      </w:tr>
      <w:tr>
        <w:trPr>
          <w:trHeight w:val="243"/>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3,931</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737</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receivables, net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897</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and investments in Flash Ventures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4,915</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r>
      <w:tr>
        <w:trPr>
          <w:trHeight w:val="217"/>
        </w:trPr>
        <w:tc>
          <w:tcPr>
            <w:tcW w:w="100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13,945</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accrued liabilities and 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595</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24"/>
        </w:trPr>
        <w:tc>
          <w:tcPr>
            <w:tcW w:w="10060" w:type="dxa"/>
            <w:vAlign w:val="bottom"/>
          </w:tcPr>
          <w:p>
            <w:pPr>
              <w:ind w:left="40"/>
              <w:spacing w:after="0"/>
              <w:rPr>
                <w:sz w:val="20"/>
                <w:szCs w:val="20"/>
                <w:color w:val="auto"/>
              </w:rPr>
            </w:pPr>
            <w:r>
              <w:rPr>
                <w:rFonts w:ascii="Arial" w:cs="Arial" w:eastAsia="Arial" w:hAnsi="Arial"/>
                <w:sz w:val="16"/>
                <w:szCs w:val="16"/>
                <w:color w:val="auto"/>
              </w:rPr>
              <w:t>Convertible notes and related derivatives</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3,743</w:t>
            </w:r>
          </w:p>
        </w:tc>
      </w:tr>
      <w:tr>
        <w:trPr>
          <w:trHeight w:val="33"/>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5,606</w:t>
            </w:r>
          </w:p>
        </w:tc>
      </w:tr>
      <w:tr>
        <w:trPr>
          <w:trHeight w:val="217"/>
        </w:trPr>
        <w:tc>
          <w:tcPr>
            <w:tcW w:w="10060" w:type="dxa"/>
            <w:vAlign w:val="bottom"/>
          </w:tcPr>
          <w:p>
            <w:pPr>
              <w:ind w:left="40"/>
              <w:spacing w:after="0"/>
              <w:rPr>
                <w:sz w:val="20"/>
                <w:szCs w:val="20"/>
                <w:color w:val="auto"/>
              </w:rPr>
            </w:pPr>
            <w:r>
              <w:rPr>
                <w:rFonts w:ascii="Arial" w:cs="Arial" w:eastAsia="Arial" w:hAnsi="Arial"/>
                <w:sz w:val="16"/>
                <w:szCs w:val="16"/>
                <w:color w:val="auto"/>
              </w:rPr>
              <w:t>Net assets acquired</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8,339</w:t>
            </w:r>
          </w:p>
        </w:tc>
      </w:tr>
      <w:tr>
        <w:trPr>
          <w:trHeight w:val="33"/>
        </w:trPr>
        <w:tc>
          <w:tcPr>
            <w:tcW w:w="10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7,249</w:t>
            </w:r>
          </w:p>
        </w:tc>
      </w:tr>
      <w:tr>
        <w:trPr>
          <w:trHeight w:val="244"/>
        </w:trPr>
        <w:tc>
          <w:tcPr>
            <w:tcW w:w="10060" w:type="dxa"/>
            <w:vAlign w:val="bottom"/>
          </w:tcPr>
          <w:p>
            <w:pPr>
              <w:ind w:left="180"/>
              <w:spacing w:after="0"/>
              <w:rPr>
                <w:sz w:val="20"/>
                <w:szCs w:val="20"/>
                <w:color w:val="auto"/>
              </w:rPr>
            </w:pPr>
            <w:r>
              <w:rPr>
                <w:rFonts w:ascii="Arial" w:cs="Arial" w:eastAsia="Arial" w:hAnsi="Arial"/>
                <w:sz w:val="16"/>
                <w:szCs w:val="16"/>
                <w:color w:val="auto"/>
              </w:rPr>
              <w:t>Total purchase price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15,588</w:t>
            </w:r>
          </w:p>
        </w:tc>
      </w:tr>
      <w:tr>
        <w:trPr>
          <w:trHeight w:val="20"/>
        </w:trPr>
        <w:tc>
          <w:tcPr>
            <w:tcW w:w="10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net of allowances for program-related incentives and doubtful accounts of $262 million.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Finished goods were valued at estimated selling prices less costs of disposal and a reasonable profit allowance for the selling effort. Work-in-process inventory was valued at estimated selling prices less costs to complete, costs of disposal and a reasonable profit allowance for the completion and selling effort, or at estimated replacement costs for certain components. Raw materials were valued at estimated replacement costs at the date of acquisition.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property, plant and equipment acquired were valued using either the replacement cost or market value approach, as appropriate, as of the date of acquisition. The following table summarizes the final fair value of the property, plant and equipment acquired and their estimated useful lives: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20" w:type="dxa"/>
            <w:vAlign w:val="bottom"/>
          </w:tcPr>
          <w:p>
            <w:pPr>
              <w:jc w:val="center"/>
              <w:ind w:left="304"/>
              <w:spacing w:after="0"/>
              <w:rPr>
                <w:sz w:val="20"/>
                <w:szCs w:val="20"/>
                <w:color w:val="auto"/>
              </w:rPr>
            </w:pPr>
            <w:r>
              <w:rPr>
                <w:rFonts w:ascii="Arial" w:cs="Arial" w:eastAsia="Arial" w:hAnsi="Arial"/>
                <w:sz w:val="14"/>
                <w:szCs w:val="14"/>
                <w:b w:val="1"/>
                <w:bCs w:val="1"/>
                <w:color w:val="auto"/>
                <w:w w:val="92"/>
              </w:rPr>
              <w:t>Estimated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Weighted-</w:t>
            </w:r>
          </w:p>
        </w:tc>
      </w:tr>
      <w:tr>
        <w:trPr>
          <w:trHeight w:val="192"/>
        </w:trPr>
        <w:tc>
          <w:tcPr>
            <w:tcW w:w="8340" w:type="dxa"/>
            <w:vAlign w:val="bottom"/>
          </w:tcPr>
          <w:p>
            <w:pPr>
              <w:spacing w:after="0"/>
              <w:rPr>
                <w:sz w:val="16"/>
                <w:szCs w:val="16"/>
                <w:color w:val="auto"/>
              </w:rPr>
            </w:pPr>
          </w:p>
        </w:tc>
        <w:tc>
          <w:tcPr>
            <w:tcW w:w="112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50"/>
        </w:trPr>
        <w:tc>
          <w:tcPr>
            <w:tcW w:w="8340" w:type="dxa"/>
            <w:vAlign w:val="bottom"/>
          </w:tcPr>
          <w:p>
            <w:pPr>
              <w:spacing w:after="0"/>
              <w:rPr>
                <w:sz w:val="21"/>
                <w:szCs w:val="21"/>
                <w:color w:val="auto"/>
              </w:rPr>
            </w:pPr>
          </w:p>
        </w:tc>
        <w:tc>
          <w:tcPr>
            <w:tcW w:w="1120" w:type="dxa"/>
            <w:vAlign w:val="bottom"/>
          </w:tcPr>
          <w:p>
            <w:pPr>
              <w:jc w:val="center"/>
              <w:ind w:left="304"/>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5"/>
              </w:rPr>
              <w:t>(in 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120" w:type="dxa"/>
            <w:vAlign w:val="bottom"/>
            <w:tcBorders>
              <w:bottom w:val="single" w:sz="8" w:color="CCEEFF"/>
            </w:tcBorders>
            <w:shd w:val="clear" w:color="auto" w:fill="CCEEFF"/>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308</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w:t>
            </w:r>
          </w:p>
        </w:tc>
      </w:tr>
      <w:tr>
        <w:trPr>
          <w:trHeight w:val="33"/>
        </w:trPr>
        <w:tc>
          <w:tcPr>
            <w:tcW w:w="8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478</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4</w:t>
            </w:r>
          </w:p>
        </w:tc>
      </w:tr>
      <w:tr>
        <w:trPr>
          <w:trHeight w:val="33"/>
        </w:trPr>
        <w:tc>
          <w:tcPr>
            <w:tcW w:w="8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plant and equipment</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897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final fair values and estimated useful lives of the intangibles acquired: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Weighted-</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5"/>
              </w:rPr>
              <w:t>(in 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Trade names and trademarks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610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7.0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Supply agreements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130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acquired identifiable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4,915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fair values of the identifiable intangible assets acquired were estimated using an income approach. The fair value of the finite-lived intangible assets will be amortized over the estimated useful lives based on the pattern in which the economic benefits are expected to be received to cost of revenue and operating expenses. SanDisk had IPR&amp;D projects associated with new generations of 3D NAND-flash technology, a next generation of controllers for retail products, and a new platform for enterprise solutions products that have not yet reached technological feasibility as of the date of the Merger. These projects are expected to enable increased layers in and achieve lower costs for memory products compared to existing 2D NAND-flash technology, improve controller performance and cost, and expand the range of enterprise solutions offerings. Accordingly, the Company recorded indefinite-lived intangible assets of $2.29 billion for the fair value of these projects, which will not begin amortization until they have reached technological feasibility. Until such time, the projects will be tested for impairment on an annual basis or more frequently whenever events or changes in circumstances indicate that the projects may be impaired. Once a project reaches technological feasibility, the Company will begin to amortize the intangible asset over its estimated useful life.</w:t>
      </w:r>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2017, acquired IPR&amp;D projects of $1.74 billion reached technological feasibility and was reclassified to developed technology and commenced amortization over an estimated useful life of 4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Goodwill represents the excess of the preliminary estimated purchase price over the sum of the estimated fair values assigned to assets acquired less liabilities assumed. Goodwill of $7.25 billion is primarily attributable to the benefits the Company expects to derive from deepening its expertise in non-volatile memory and enabling it to vertically integrate into NAND, securing long-term access to solid state technology at a lower cost. None of the goodwill is expected to be deductible for tax purposes.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Notes and Related Derivatives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On the SanDisk Closing Date, SanDisk had outstanding $997 million aggregate principal amount of the 2017 Notes and $1.50 billion aggregate principal amount of the 2020 Notes. Concurrently with the issuance of the Convertible Notes, SanDisk also purchased call options and sold warrants. The assumed liability for the Convertible Notes and related derivatives reflects the estimated fair values of the Convertible Notes and the related call options and warrants. See Note 6, </w:t>
      </w:r>
      <w:r>
        <w:rPr>
          <w:rFonts w:ascii="Arial" w:cs="Arial" w:eastAsia="Arial" w:hAnsi="Arial"/>
          <w:sz w:val="18"/>
          <w:szCs w:val="18"/>
          <w:i w:val="1"/>
          <w:iCs w:val="1"/>
          <w:color w:val="auto"/>
        </w:rPr>
        <w:t>Debt</w:t>
      </w:r>
      <w:r>
        <w:rPr>
          <w:rFonts w:ascii="Arial" w:cs="Arial" w:eastAsia="Arial" w:hAnsi="Arial"/>
          <w:sz w:val="18"/>
          <w:szCs w:val="18"/>
          <w:color w:val="auto"/>
        </w:rPr>
        <w:t>, for additional disclosures.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Awards</w:t>
      </w:r>
    </w:p>
    <w:p>
      <w:pPr>
        <w:spacing w:after="0" w:line="225" w:lineRule="exact"/>
        <w:rPr>
          <w:sz w:val="20"/>
          <w:szCs w:val="20"/>
          <w:color w:val="auto"/>
        </w:rPr>
      </w:pPr>
    </w:p>
    <w:p>
      <w:pPr>
        <w:ind w:right="320" w:firstLine="324"/>
        <w:spacing w:after="0" w:line="288" w:lineRule="auto"/>
        <w:rPr>
          <w:sz w:val="20"/>
          <w:szCs w:val="20"/>
          <w:color w:val="auto"/>
        </w:rPr>
      </w:pPr>
      <w:r>
        <w:rPr>
          <w:rFonts w:ascii="Arial" w:cs="Arial" w:eastAsia="Arial" w:hAnsi="Arial"/>
          <w:sz w:val="16"/>
          <w:szCs w:val="16"/>
          <w:color w:val="auto"/>
        </w:rPr>
        <w:t>In connection with the Merger, each outstanding SanDisk option and RSU that was unvested as of the SanDisk Closing Date and each outstanding underwater vested option was converted into equivalent options and RSUs, in each case with respect to shares of the Company’s common stock, using the equity award exchange ratio in accordance with the merger agreement. The value of these converted awards related to pre-combination expense was</w:t>
      </w:r>
    </w:p>
    <w:p>
      <w:pPr>
        <w:ind w:right="260"/>
        <w:spacing w:after="0" w:line="254" w:lineRule="auto"/>
        <w:rPr>
          <w:sz w:val="20"/>
          <w:szCs w:val="20"/>
          <w:color w:val="auto"/>
        </w:rPr>
      </w:pPr>
      <w:r>
        <w:rPr>
          <w:rFonts w:ascii="Arial" w:cs="Arial" w:eastAsia="Arial" w:hAnsi="Arial"/>
          <w:sz w:val="18"/>
          <w:szCs w:val="18"/>
          <w:color w:val="auto"/>
        </w:rPr>
        <w:t>$58 million and is included in the aggregate purchase price. The remaining value of the converted awards represents post-combination expense and will be recognized by the Company over the remaining service periods. As of June 30, 2017 and July 1, 2016, the future expense for the remaining outstanding assumed SanDisk options and RSUs was $172 million and $347 million, respectively, which will be recognized over a weighted average service period of approximately 1.9 years and 2.7 years, respectively.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Acquisition-related Expenses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2016, the Company incurred $98 million of transaction expenses related to the Merger, which are included within SG&amp;A in the Consolidated Statements of Operations. During 2016, the Company incurred merger-related charges of $30 million associated with the acceleration of certain equity awards in connection with the Merger, of which $24 million was recorded in SG&amp;A and $6 million was recorded in R&amp;D. The Company also incurred $35 million and $31 million of other acquisition related expenses, in 2017 and 2016, respectively, primarily consisting of retention and separation costs in connection with the Merger, which are included in SG&amp;A.</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 Forma Financial Information (Unaudited)</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the Company and SanDisk, on a pro forma basis, as though the combination had occurred as of the beginning of 2015. The pro forma financial information presented includes the effects of adjustments related to the fair value of acquired inventory, amortization charges from acquired intangible assets, depreciation charges from acquired fixed assets, interest expenses from financing the acquisition, stock-based compensation expenses from the conversion of unvested equity awards and the elimination of certain expenses directly related to the transaction. The pro forma financial information as presented below is for informational purposes only and is not necessarily indicative of the results of operations that would have been achieved if the acquisition and any borrowings undertaken to finance the acquisition had taken place at the beginning of the earliest period presented, nor does it intend to be a projection of future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080" w:type="dxa"/>
            <w:vAlign w:val="bottom"/>
            <w:gridSpan w:val="4"/>
          </w:tcPr>
          <w:p>
            <w:pPr>
              <w:jc w:val="right"/>
              <w:ind w:right="321"/>
              <w:spacing w:after="0"/>
              <w:rPr>
                <w:sz w:val="20"/>
                <w:szCs w:val="20"/>
                <w:color w:val="auto"/>
              </w:rPr>
            </w:pPr>
            <w:r>
              <w:rPr>
                <w:rFonts w:ascii="Arial" w:cs="Arial" w:eastAsia="Arial" w:hAnsi="Arial"/>
                <w:sz w:val="14"/>
                <w:szCs w:val="14"/>
                <w:i w:val="1"/>
                <w:iCs w:val="1"/>
                <w:color w:val="auto"/>
              </w:rPr>
              <w:t>(in millions,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17,846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20,613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4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762</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per common share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Diluted income per common share</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0.23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2.65</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120" w:type="dxa"/>
            <w:vAlign w:val="bottom"/>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 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0"/>
        </w:trPr>
        <w:tc>
          <w:tcPr>
            <w:tcW w:w="6740" w:type="dxa"/>
            <w:vAlign w:val="bottom"/>
          </w:tcPr>
          <w:p>
            <w:pPr>
              <w:ind w:left="280"/>
              <w:spacing w:after="0"/>
              <w:rPr>
                <w:sz w:val="20"/>
                <w:szCs w:val="20"/>
                <w:color w:val="auto"/>
              </w:rPr>
            </w:pPr>
            <w:r>
              <w:rPr>
                <w:rFonts w:ascii="Arial" w:cs="Arial" w:eastAsia="Arial" w:hAnsi="Arial"/>
                <w:sz w:val="16"/>
                <w:szCs w:val="16"/>
                <w:color w:val="auto"/>
                <w:w w:val="93"/>
              </w:rPr>
              <w:t>Total employee termination and other charges, stock-based compensation adjustments and asset</w:t>
            </w:r>
          </w:p>
        </w:tc>
        <w:tc>
          <w:tcPr>
            <w:tcW w:w="1020" w:type="dxa"/>
            <w:vAlign w:val="bottom"/>
            <w:tcBorders>
              <w:top w:val="single" w:sz="8" w:color="auto"/>
            </w:tcBorders>
            <w:vMerge w:val="restart"/>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1120" w:type="dxa"/>
            <w:vAlign w:val="bottom"/>
            <w:tcBorders>
              <w:top w:val="single" w:sz="8" w:color="auto"/>
            </w:tcBorders>
            <w:vMerge w:val="restart"/>
          </w:tcPr>
          <w:p>
            <w:pPr>
              <w:jc w:val="right"/>
              <w:ind w:right="923"/>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345</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24"/>
        </w:trPr>
        <w:tc>
          <w:tcPr>
            <w:tcW w:w="6740" w:type="dxa"/>
            <w:vAlign w:val="bottom"/>
          </w:tcPr>
          <w:p>
            <w:pPr>
              <w:ind w:left="280"/>
              <w:spacing w:after="0"/>
              <w:rPr>
                <w:sz w:val="20"/>
                <w:szCs w:val="20"/>
                <w:color w:val="auto"/>
              </w:rPr>
            </w:pPr>
            <w:r>
              <w:rPr>
                <w:rFonts w:ascii="Arial" w:cs="Arial" w:eastAsia="Arial" w:hAnsi="Arial"/>
                <w:sz w:val="16"/>
                <w:szCs w:val="16"/>
                <w:color w:val="auto"/>
              </w:rPr>
              <w:t>impairments</w:t>
            </w:r>
          </w:p>
        </w:tc>
        <w:tc>
          <w:tcPr>
            <w:tcW w:w="10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for employee termination, asset impairments and other charges, as presented above, the Company recognized $65 million and $22 million during 2017 and 2016, respectively, of accelerated depreciation on facility assets and other charges in cost of revenue and operating expense. The Company expects Restructuring Plan 2016 to be substantially completed by the end of calendar year 2017.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analysis of the components of the activity against the reserve: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January 2016, the Company announced the closing of its head component front end wafer manufacturing facility in Odawara, Japan, in order to reduce manufacturing costs. As of June 30, 2017, the Company had completed all activities related to the closure of the facility. The following table presents an analysis of the components of the activity against the reserve: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items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items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4"/>
        </w:trPr>
        <w:tc>
          <w:tcPr>
            <w:tcW w:w="6740" w:type="dxa"/>
            <w:vAlign w:val="bottom"/>
          </w:tcPr>
          <w:p>
            <w:pPr>
              <w:ind w:left="18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3, 2015</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June 2008, Convolve, Inc. (“Convolve”) filed a complaint with the U.S. District Court for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U.S. District Court for the Federal Circuit (“Federal Circuit”). In April 2015, Convolve filed a motion for reconsideration of the final judgment. In June 2017, the District Court vacated the judgment against WD and HGST with respect to infringement, willfulness, and damages and denied Convolve’s motion for reconsideration. WD and HGST intend to continue to defend themselves vigorously in this matter.</w:t>
      </w:r>
    </w:p>
    <w:p>
      <w:pPr>
        <w:spacing w:after="0" w:line="19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December 2016, Memory Technologies, LLC (“MTL”), a subsidiary of Pendrell Corporation, filed two complaints - one with the International Trade Commission (“ITC”) and the other with the U.S. District Court for the Central District of California - against WD and certain of its subsidiaries alleging infringement of various patents. In the ITC complaint, MTL asserted that certain of the Company’s Secure Digital (“SD”) and microSD products infringe U.S. Patent Nos. RE45,542; RE45,486; 7,565,469; 9,063,850; and 8,307,180. The ITC complaint sought an exclusion order barring the accused products, and components thereof, from entry into the U.S. In the other complaint, MTL asserted that certain of the Company’s SD, microSD and/or eMMC products infringe the same patents asserted in the ITC complaint, as well as U.S. Patent Nos. 7,275,186; 7,827,370; and 7,739,487. The complaint sought unspecified monetary damages. In June 2017, the parties entered into a settlement and patent license agreement. The agreement fully resolves all pending litigation between the parties and grants the Company a license to Pendrell patents relating to memory and storage technologies. The settlement terms are not material to the Company’s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June 2010, Ritz Camera &amp; Image, LLC (“Ritz”) filed a complaint with the U.S. District Court for the Northern District of California, alleging that SanDisk violated federal antitrust laws by conspiring to monopolize and monopolizing the market for flash memory products. The lawsuit purports to be on behalf of direct purchasers of flash memory products sold by SanDisk and SanDisk-controlled joint ventures from June 2006 through the present. The complaint alleged that SanDisk created and maintained a monopoly by fraudulently obtaining patents and using them to restrain competition and by allegedly converting other patents for its competitive use. The complaint sought damages, injunctive relief, and fees and costs. In February 2011, Dr. Harari was dismissed as a defendant. Between 2013 and 2014, Albert Giuliano, the Chapter 7 Trustee of the Ritz bankruptcy estate, was substituted in as named plaintiff and CPM Electronics Inc., E.S.E. Electronics, Inc. and Mflash, Inc. were added as named plaintiffs. In May 2015, the District Court granted in part plaintiffs’ motion for class certification. In April 2016, the District Court granted SanDisk’s motion for summary judgment and entered judgment in SanDisk’s favor as to all of the plaintiffs’ claims. In May 2016, the plaintiffs filed a notice of appeal to the U.S. Court of Appeals for the Federal Circuit. In July 2017, the Federal Circuit affirmed the District Court’s grant of SanDisk’s motion for summary judgment.</w:t>
      </w:r>
    </w:p>
    <w:p>
      <w:pPr>
        <w:spacing w:after="0" w:line="17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July 2010, Samsung Electronics Co., Ltd. (“Samsung”) filed an action against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and the complaint includes various factual allegations concerning SanDisk. As a member of SD-3C, SanDisk could be responsible for a portion of any monetary award. Other requested relief, if granted, could result in a loss of revenue to SanDisk.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 The arbitration between Samsung and Toshiba was concluded in May 2017, and the District Court lifted its stay of the litigation in July 2017.</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March 2011, a complaint was filed against SanDisk, SD-3C, Panasonic Corporation,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allegedly brought on behalf of a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The Company intends to defend itself vigorously in this matter.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Toshiba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Toshiba litigation against the Company</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July 2017, the Company received a petition for provisional disposition that was filed by Toshiba Corporation and Toshiba Memory Corporation in the Tokyo District Court. The petition alleges that the Company has engaged in acts of defamation and wrongful acquisition and use of trade secrets in violation of the Unfair Competition Prevention Act. The petition requests injunctive relief.</w:t>
      </w:r>
    </w:p>
    <w:p>
      <w:pPr>
        <w:spacing w:after="0" w:line="181" w:lineRule="exact"/>
        <w:rPr>
          <w:sz w:val="20"/>
          <w:szCs w:val="20"/>
          <w:color w:val="auto"/>
        </w:rPr>
      </w:pPr>
    </w:p>
    <w:p>
      <w:pPr>
        <w:jc w:val="both"/>
        <w:ind w:right="660" w:firstLine="324"/>
        <w:spacing w:after="0" w:line="264" w:lineRule="auto"/>
        <w:rPr>
          <w:sz w:val="20"/>
          <w:szCs w:val="20"/>
          <w:color w:val="auto"/>
        </w:rPr>
      </w:pPr>
      <w:r>
        <w:rPr>
          <w:rFonts w:ascii="Arial" w:cs="Arial" w:eastAsia="Arial" w:hAnsi="Arial"/>
          <w:sz w:val="18"/>
          <w:szCs w:val="18"/>
          <w:color w:val="auto"/>
        </w:rPr>
        <w:t>In June 2017, Toshiba issued a press release announcing that it also brought suit for a permanent injunction, damages and payment of 120 billion Japanese yen. The Company has not received Toshiba’s announced filing or any formal notice of such lawsuit. The Company intends to defend itself vigorously in these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SanDisk litigation against Toshiba</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May 2017, several of the Company’s SanDisk subsidiaries (the “SanDisk Subsidiaries”) filed a request for arbitration with the ICC International Court of Arbitration seeking an order requiring Toshiba Corporation to unwind the transfer of its interests in Flash Ventures to its affiliate, Toshiba Memory Corporation, and injunctive relief preventing Toshiba from further breaching the Flash Ventures agreements by transferring its interests in Flash Ventures without SanDisk’s consent. In June 2017, the SanDisk Subsidiaries sought preliminary injunctive relief in the Superior Court of the State of California for the County of San Francisco to prevent Toshiba from transferring its interests in Flash Ventures until the request of the SanDisk Subsidiaries for injunctive relief in arbitration is decided by the arbitral tribunal. In July 2017, the Superior Court entered a stipulated order requiring Toshiba to give the SanDisk Subsidiaries at least 14 days’ advance notice of any transfer involving Toshiba’s interests in Flash Ventures, in order to ensure that the issue is preserved for arbitration.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July 2017, SanDisk LLC filed a request for arbitration with the ICC International Court of Arbitration against Toshiba seeking damages and injunctive relief for, among other things, blocking certain employees of SanDisk’s affiliates from accessing shared databases regarding Flash Ventures and from refusing to ship certain engineering wafers and samples to SanDisk’s affiliates in breach of the JV agreements. SanDisk LLC also sought injunctive relief, a preliminary injunction and a temporary restraining order (“TRO”), in aid of that arbitration from the Superior Court of the State of California for the County of San Francisco. On July 11, 2017, the Superior Court granted a TRO in favor of SanDisk. Toshiba filed a notice of appeal, and on July 18, the California Court of Appeal, First Appellate District, issued a temporary stay of the TRO while it reviewed Toshiba’s petition for a permanent stay of the TRO pending appeal. On July 24, SanDisk LLC amended its request for arbitration to, among other things, add Toshiba Memory Corporation as a defendant. On August 2, 2017, the Court of Appeal denied Toshiba’s petition for a permanent stay of the TRO and dissolved the temporary stay. On August 14, the Superior Court granted SanDisk’s request for a preliminary injunction. On August 18, Toshiba withdrew its appeal of the TRO, and filed a notice of appeal of the preliminary injunction.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which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 The Company intends to defend itself vigorously in this matter.</w:t>
      </w:r>
    </w:p>
    <w:p>
      <w:pPr>
        <w:spacing w:after="0" w:line="172"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has recorded an accrual for German copyright levies in an amount that is not material to the Company’s financial position, results of operations or cash flows; however, it is reasonably possible that the Company could incur losses totaling up to $155 million, inclusive of amounts accrued, if it does not prevail in this matter.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New Unsecured Notes are registered under the Securities Act of 1933, as amended, and have no transfer restrictions or rights to additional interest. The New Unsecured Notes are fully and unconditionally guaranteed, jointly and severally, on a senior unsecured basis, subject to certain customary guarantor release conditions, by the WD Guarantors (or the “Guarantor Subsidiaries”). The guarantee by a Guarantor Subsidiary will be released in the event of (i) the designation of a Guarantor Subsidiary as an unrestricted subsidiary under the indenture governing the New Unsecured Notes, (ii) the release of a Guarantor Subsidiary from its guarantee of indebtedness under the Credit Agreement or other indebtedness that would have required the Guarantor Subsidiary to guarantee the New Unsecured Notes, (iii) the sale, issuance or other disposition of capital stock of a Guarantor Subsidiary such that it is no longer a restricted subsidiary under the indenture governing the New Unsecured Notes, (iv) the sale of all or substantially all of a Guarantor Subsidiary’s assets, (v) the Company’s exercise of its defeasance options under the indenture governing the New Unsecured Notes, (vi) the dissolution or liquidation of a Guarantor Subsidiary or (vii) the sale of all the equity interest in a Guarantor Subsidiary. The Company’s other domestic subsidiaries and its foreign subsidiaries (collectively, the “Non-Guarantor Subsidiaries”) do not guarantee the New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information regarding the New Unsecured Notes, refer to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125"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1,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24,997</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32,974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Bridge loan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7,965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13,660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11,145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24,997</w:t>
            </w:r>
          </w:p>
        </w:tc>
        <w:tc>
          <w:tcPr>
            <w:tcW w:w="46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32,974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30,767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14,732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12,786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13,021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6,072</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11,796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9,559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3,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14,572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14,086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11,935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10,351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4,221</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3"/>
              </w:rPr>
              <w:t>Employee termination, asset impairment and other charges</w:t>
            </w:r>
          </w:p>
        </w:tc>
        <w:tc>
          <w:tcPr>
            <w:tcW w:w="9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consolidated subsidiaries</w:t>
            </w:r>
          </w:p>
        </w:tc>
        <w:tc>
          <w:tcPr>
            <w:tcW w:w="9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1,468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gain on available-for-sale securities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3,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1,465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loss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contracts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income (loss)</w:t>
            </w:r>
          </w:p>
        </w:tc>
        <w:tc>
          <w:tcPr>
            <w:tcW w:w="9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4"/>
              </w:rPr>
              <w:t>1,433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loans from (to) consolidated affiliates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to consolidated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(14,879)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Settlement of convertible debt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revolving credit facility</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17,108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Payment upon settlement of acquired warrants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6,933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July 3,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Return of capital from subsidiaries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to (from) parent and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Return of capital to parent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parent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Quarterly Results of Operations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4,714</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4,888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4,649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1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Revenue, net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20"/>
                <w:szCs w:val="20"/>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3,317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3,495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Operating income (loss)</w:t>
            </w: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income (loss) per common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income (loss) per common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CONSOLIDATED VALUATION AND QUALIFYING ACCOUNTS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Allowance for Doubtful</w:t>
            </w:r>
          </w:p>
        </w:tc>
      </w:t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7"/>
              </w:rPr>
              <w:t>Accounts</w:t>
            </w:r>
          </w:p>
        </w:tc>
      </w:tr>
      <w:tr>
        <w:trPr>
          <w:trHeight w:val="190"/>
        </w:trPr>
        <w:tc>
          <w:tcPr>
            <w:tcW w:w="9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01"/>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3, 2015</w:t>
            </w: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Balance assumed as a result of SanDisk acquisition</w:t>
            </w:r>
          </w:p>
        </w:tc>
        <w:tc>
          <w:tcPr>
            <w:tcW w:w="28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33"/>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Deductions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Balance at July 1, 2016</w:t>
            </w: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r>
      <w:tr>
        <w:trPr>
          <w:trHeight w:val="33"/>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 charged to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r>
      <w:tr>
        <w:trPr>
          <w:trHeight w:val="224"/>
        </w:trPr>
        <w:tc>
          <w:tcPr>
            <w:tcW w:w="9820" w:type="dxa"/>
            <w:vAlign w:val="bottom"/>
          </w:tcPr>
          <w:p>
            <w:pPr>
              <w:ind w:left="180"/>
              <w:spacing w:after="0"/>
              <w:rPr>
                <w:sz w:val="20"/>
                <w:szCs w:val="20"/>
                <w:color w:val="auto"/>
              </w:rPr>
            </w:pPr>
            <w:r>
              <w:rPr>
                <w:rFonts w:ascii="Arial" w:cs="Arial" w:eastAsia="Arial" w:hAnsi="Arial"/>
                <w:sz w:val="16"/>
                <w:szCs w:val="16"/>
                <w:color w:val="auto"/>
              </w:rPr>
              <w:t>Deductions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24"/>
        <w:spacing w:after="0" w:line="220" w:lineRule="exact"/>
        <w:rPr>
          <w:sz w:val="20"/>
          <w:szCs w:val="20"/>
          <w:color w:val="auto"/>
        </w:rPr>
      </w:pPr>
      <w:r>
        <w:rPr>
          <w:rFonts w:ascii="Arial" w:cs="Arial" w:eastAsia="Arial" w:hAnsi="Arial"/>
          <w:sz w:val="18"/>
          <w:szCs w:val="18"/>
          <w:color w:val="auto"/>
        </w:rPr>
        <w:t>As required by SEC Rule 13a</w:t>
      </w:r>
      <w:r>
        <w:rPr>
          <w:rFonts w:ascii="MS PGothic" w:cs="MS PGothic" w:eastAsia="MS PGothic" w:hAnsi="MS PGothic"/>
          <w:sz w:val="18"/>
          <w:szCs w:val="18"/>
          <w:color w:val="auto"/>
        </w:rPr>
        <w:t>‑</w:t>
      </w:r>
      <w:r>
        <w:rPr>
          <w:rFonts w:ascii="Arial" w:cs="Arial" w:eastAsia="Arial" w:hAnsi="Arial"/>
          <w:sz w:val="18"/>
          <w:szCs w:val="18"/>
          <w:color w:val="auto"/>
        </w:rPr>
        <w:t>15(b) of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ind w:right="380" w:firstLine="324"/>
        <w:spacing w:after="0" w:line="223" w:lineRule="exact"/>
        <w:rPr>
          <w:sz w:val="20"/>
          <w:szCs w:val="20"/>
          <w:color w:val="auto"/>
        </w:rPr>
      </w:pPr>
      <w:r>
        <w:rPr>
          <w:rFonts w:ascii="Arial" w:cs="Arial" w:eastAsia="Arial" w:hAnsi="Arial"/>
          <w:sz w:val="18"/>
          <w:szCs w:val="18"/>
          <w:color w:val="auto"/>
        </w:rPr>
        <w:t>Based on that evaluation, our Chief Executive Officer and Chief Financial Officer concluded that,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our disclosure controls and procedures were effective.</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80" w:firstLine="324"/>
        <w:spacing w:after="0" w:line="220" w:lineRule="exact"/>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w:t>
      </w:r>
    </w:p>
    <w:p>
      <w:pPr>
        <w:spacing w:after="0" w:line="2" w:lineRule="exact"/>
        <w:rPr>
          <w:sz w:val="20"/>
          <w:szCs w:val="20"/>
          <w:color w:val="auto"/>
        </w:rPr>
      </w:pPr>
    </w:p>
    <w:p>
      <w:pPr>
        <w:jc w:val="both"/>
        <w:ind w:right="300" w:firstLine="8"/>
        <w:spacing w:after="0" w:line="254"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190" w:lineRule="exact"/>
        <w:rPr>
          <w:sz w:val="20"/>
          <w:szCs w:val="20"/>
          <w:color w:val="auto"/>
        </w:rPr>
      </w:pPr>
    </w:p>
    <w:p>
      <w:pPr>
        <w:ind w:right="100" w:firstLine="324"/>
        <w:spacing w:after="0" w:line="219" w:lineRule="exact"/>
        <w:rPr>
          <w:sz w:val="20"/>
          <w:szCs w:val="20"/>
          <w:color w:val="auto"/>
        </w:rPr>
      </w:pPr>
      <w:r>
        <w:rPr>
          <w:rFonts w:ascii="Arial" w:cs="Arial" w:eastAsia="Arial" w:hAnsi="Arial"/>
          <w:sz w:val="16"/>
          <w:szCs w:val="16"/>
          <w:color w:val="auto"/>
        </w:rPr>
        <w:t xml:space="preserve">Our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Based on this evaluation, our management concluded that our internal control over financial reporting was effective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KPMG LLP, our independent registered public accounting firm, which audited the Consolidated Financial Statements included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has issued an audit report on our internal control over financial reporting. See Report of Independent Registered Public Accounting Firm herein.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fiscal quarter ended June 30, 2017, that has materially affected, or is reasonably likely to materially affect, our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Inherent Limitations of Effectiveness of Controls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 Executive Officers and Corporate Governance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There is incorporated herein by reference the information required by this Item included in the Company’s Proxy Statement for the 2017 Annual Meeting of Stockholders, which will be filed with the SEC no later than 120 days after the close of the fiscal year ended June 30, 2017.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Corporate Governance section at </w:t>
      </w:r>
      <w:r>
        <w:rPr>
          <w:rFonts w:ascii="Arial" w:cs="Arial" w:eastAsia="Arial" w:hAnsi="Arial"/>
          <w:sz w:val="18"/>
          <w:szCs w:val="18"/>
          <w:i w:val="1"/>
          <w:iCs w:val="1"/>
          <w:color w:val="auto"/>
        </w:rPr>
        <w:t>www.wdc.com</w:t>
      </w:r>
      <w:r>
        <w:rPr>
          <w:rFonts w:ascii="Arial" w:cs="Arial" w:eastAsia="Arial" w:hAnsi="Arial"/>
          <w:sz w:val="18"/>
          <w:szCs w:val="18"/>
          <w:color w:val="auto"/>
        </w:rPr>
        <w: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2017 Annual Meeting of Stockholders, which will be filed with the SEC no later than 120 days after the close of the fiscal year ended June 30, 2017.</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2017 Annual Meeting of Stockholders, which will be filed with the SEC no later than 120 days after the close of the fiscal year ended June 30, 2017.</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2017 Annual Meeting of Stockholders, which will be filed with the SEC no later than 120 days after the close of the fiscal year ended June 30, 2017.</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incorporated herein by reference the information required by this Item included in the Company’s Proxy Statement for the 2017 Annual Meeting of Stockholders, which will be filed with the SEC no later than 120 days after the close of the fiscal year ended June 30,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The following documents are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5" w:lineRule="exact"/>
        <w:rPr>
          <w:sz w:val="20"/>
          <w:szCs w:val="20"/>
          <w:color w:val="auto"/>
        </w:rPr>
      </w:pPr>
    </w:p>
    <w:p>
      <w:pPr>
        <w:ind w:left="660" w:hanging="328"/>
        <w:spacing w:after="0" w:line="196" w:lineRule="exact"/>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included in Part II, Item 8 of this document are filed as part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6" w:lineRule="exact"/>
        <w:rPr>
          <w:rFonts w:ascii="Arial" w:cs="Arial" w:eastAsia="Arial" w:hAnsi="Arial"/>
          <w:sz w:val="17"/>
          <w:szCs w:val="17"/>
          <w:color w:val="auto"/>
        </w:rPr>
      </w:pPr>
    </w:p>
    <w:p>
      <w:pPr>
        <w:ind w:left="660" w:right="20" w:hanging="328"/>
        <w:spacing w:after="0" w:line="223" w:lineRule="exact"/>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The financial statement schedule included in Part II, Item 8 of this document is filed as part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rFonts w:ascii="Arial" w:cs="Arial" w:eastAsia="Arial" w:hAnsi="Arial"/>
          <w:sz w:val="18"/>
          <w:szCs w:val="18"/>
          <w:color w:val="auto"/>
        </w:rPr>
      </w:pPr>
    </w:p>
    <w:p>
      <w:pPr>
        <w:ind w:left="660" w:right="16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70" w:lineRule="exact"/>
        <w:rPr>
          <w:rFonts w:ascii="Arial" w:cs="Arial" w:eastAsia="Arial" w:hAnsi="Arial"/>
          <w:sz w:val="18"/>
          <w:szCs w:val="18"/>
          <w:color w:val="auto"/>
        </w:rPr>
      </w:pPr>
    </w:p>
    <w:p>
      <w:pPr>
        <w:ind w:left="660"/>
        <w:spacing w:after="0" w:line="264" w:lineRule="auto"/>
        <w:rPr>
          <w:rFonts w:ascii="Arial" w:cs="Arial" w:eastAsia="Arial" w:hAnsi="Arial"/>
          <w:sz w:val="18"/>
          <w:szCs w:val="18"/>
          <w:color w:val="auto"/>
        </w:rPr>
      </w:pPr>
      <w:r>
        <w:rPr>
          <w:rFonts w:ascii="Arial" w:cs="Arial" w:eastAsia="Arial" w:hAnsi="Arial"/>
          <w:sz w:val="18"/>
          <w:szCs w:val="18"/>
          <w:color w:val="auto"/>
        </w:rPr>
        <w:t>Separate financial statements have been omitted as we are primarily an operating company and our subsidiaries are wholly or majority owned and do not have minority equity interests and/or indebtedness to any person other than us in amounts which together exceed 5% of the total consolidated assets as shown by the most recent year-end Consolidated Balance Sheet.</w:t>
      </w:r>
    </w:p>
    <w:p>
      <w:pPr>
        <w:spacing w:after="0" w:line="181" w:lineRule="exact"/>
        <w:rPr>
          <w:rFonts w:ascii="Arial" w:cs="Arial" w:eastAsia="Arial" w:hAnsi="Arial"/>
          <w:sz w:val="18"/>
          <w:szCs w:val="18"/>
          <w:color w:val="auto"/>
        </w:rPr>
      </w:pPr>
    </w:p>
    <w:p>
      <w:pPr>
        <w:ind w:left="660" w:right="40" w:hanging="328"/>
        <w:spacing w:after="0" w:line="218" w:lineRule="exact"/>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in the Exhibit Index (following the signature page of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are filed with, or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as 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1" w:lineRule="exact"/>
        <w:rPr>
          <w:sz w:val="20"/>
          <w:szCs w:val="20"/>
          <w:color w:val="auto"/>
        </w:rPr>
      </w:pPr>
    </w:p>
    <w:p>
      <w:pPr>
        <w:spacing w:after="0" w:line="207" w:lineRule="exact"/>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to be signed on its behalf by the undersigned, thereunto duly authorized.</w:t>
      </w:r>
    </w:p>
    <w:p>
      <w:pPr>
        <w:spacing w:after="0" w:line="1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387"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President WD Capital, Chief Strategy Officer and Chief Financial</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2017</w:t>
      </w:r>
    </w:p>
    <w:p>
      <w:pPr>
        <w:spacing w:after="0" w:line="225" w:lineRule="exact"/>
        <w:rPr>
          <w:sz w:val="20"/>
          <w:szCs w:val="20"/>
          <w:color w:val="auto"/>
        </w:rPr>
      </w:pPr>
    </w:p>
    <w:p>
      <w:pPr>
        <w:ind w:right="120" w:firstLine="324"/>
        <w:spacing w:after="0" w:line="223" w:lineRule="exact"/>
        <w:rPr>
          <w:sz w:val="20"/>
          <w:szCs w:val="20"/>
          <w:color w:val="auto"/>
        </w:rPr>
      </w:pPr>
      <w:r>
        <w:rPr>
          <w:rFonts w:ascii="Arial" w:cs="Arial" w:eastAsia="Arial" w:hAnsi="Arial"/>
          <w:sz w:val="18"/>
          <w:szCs w:val="18"/>
          <w:color w:val="auto"/>
        </w:rPr>
        <w:t>Pursuant to the requirements of the Securities Exchange Act of 1934,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24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Title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3200" w:type="dxa"/>
            <w:vAlign w:val="bottom"/>
          </w:tcPr>
          <w:p>
            <w:pPr>
              <w:ind w:left="40"/>
              <w:spacing w:after="0"/>
              <w:rPr>
                <w:sz w:val="20"/>
                <w:szCs w:val="20"/>
                <w:color w:val="auto"/>
              </w:rPr>
            </w:pPr>
            <w:r>
              <w:rPr>
                <w:rFonts w:ascii="Arial" w:cs="Arial" w:eastAsia="Arial" w:hAnsi="Arial"/>
                <w:sz w:val="18"/>
                <w:szCs w:val="18"/>
                <w:color w:val="auto"/>
              </w:rPr>
              <w:t>/s/ STEPHEN D. MILLIGAN</w:t>
            </w:r>
          </w:p>
        </w:tc>
        <w:tc>
          <w:tcPr>
            <w:tcW w:w="140" w:type="dxa"/>
            <w:vAlign w:val="bottom"/>
          </w:tcPr>
          <w:p>
            <w:pPr>
              <w:spacing w:after="0"/>
              <w:rPr>
                <w:sz w:val="24"/>
                <w:szCs w:val="24"/>
                <w:color w:val="auto"/>
              </w:rPr>
            </w:pPr>
          </w:p>
        </w:tc>
        <w:tc>
          <w:tcPr>
            <w:tcW w:w="602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2"/>
              </w:rPr>
              <w:t>Chief Executive Officer,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Stephen D. Milligan</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3200" w:type="dxa"/>
            <w:vAlign w:val="bottom"/>
          </w:tcPr>
          <w:p>
            <w:pPr>
              <w:ind w:left="40"/>
              <w:spacing w:after="0"/>
              <w:rPr>
                <w:sz w:val="20"/>
                <w:szCs w:val="20"/>
                <w:color w:val="auto"/>
              </w:rPr>
            </w:pPr>
            <w:r>
              <w:rPr>
                <w:rFonts w:ascii="Arial" w:cs="Arial" w:eastAsia="Arial" w:hAnsi="Arial"/>
                <w:sz w:val="18"/>
                <w:szCs w:val="18"/>
                <w:color w:val="auto"/>
              </w:rPr>
              <w:t>/s/ MARK P. LONG</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3"/>
              </w:rPr>
              <w:t>President WD Capital, Chief Strategy Officer and 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41"/>
        </w:trPr>
        <w:tc>
          <w:tcPr>
            <w:tcW w:w="320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6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Mark P. Long</w:t>
            </w:r>
          </w:p>
        </w:tc>
        <w:tc>
          <w:tcPr>
            <w:tcW w:w="140" w:type="dxa"/>
            <w:vAlign w:val="bottom"/>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MATTHEW E. MASSENGILL</w:t>
            </w:r>
          </w:p>
        </w:tc>
        <w:tc>
          <w:tcPr>
            <w:tcW w:w="140" w:type="dxa"/>
            <w:vAlign w:val="bottom"/>
          </w:tcPr>
          <w:p>
            <w:pPr>
              <w:spacing w:after="0"/>
              <w:rPr>
                <w:sz w:val="24"/>
                <w:szCs w:val="24"/>
                <w:color w:val="auto"/>
              </w:rPr>
            </w:pPr>
          </w:p>
        </w:tc>
        <w:tc>
          <w:tcPr>
            <w:tcW w:w="6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Matthew E. Massengill</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MARTIN I. COLE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Martin I. Cole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KATHLEEN A. COTE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Kathleen A. Cote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HENRY T. DENERO</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Henry T. DeNero</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MICHAEL D. LAMBERT</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Michael D. Lambert</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LEN J. LAUER</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Len J. Lauer</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200" w:type="dxa"/>
            <w:vAlign w:val="bottom"/>
          </w:tcPr>
          <w:p>
            <w:pPr>
              <w:ind w:left="40"/>
              <w:spacing w:after="0"/>
              <w:rPr>
                <w:sz w:val="20"/>
                <w:szCs w:val="20"/>
                <w:color w:val="auto"/>
              </w:rPr>
            </w:pPr>
            <w:r>
              <w:rPr>
                <w:rFonts w:ascii="Arial" w:cs="Arial" w:eastAsia="Arial" w:hAnsi="Arial"/>
                <w:sz w:val="18"/>
                <w:szCs w:val="18"/>
                <w:color w:val="auto"/>
              </w:rPr>
              <w:t>/s/ PAULA A. PRICE</w:t>
            </w:r>
          </w:p>
        </w:tc>
        <w:tc>
          <w:tcPr>
            <w:tcW w:w="140" w:type="dxa"/>
            <w:vAlign w:val="bottom"/>
          </w:tcPr>
          <w:p>
            <w:pPr>
              <w:spacing w:after="0"/>
              <w:rPr>
                <w:sz w:val="24"/>
                <w:szCs w:val="24"/>
                <w:color w:val="auto"/>
              </w:rPr>
            </w:pPr>
          </w:p>
        </w:tc>
        <w:tc>
          <w:tcPr>
            <w:tcW w:w="6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28, 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Paula A. Price</w:t>
            </w:r>
          </w:p>
        </w:tc>
        <w:tc>
          <w:tcPr>
            <w:tcW w:w="1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200" w:type="dxa"/>
            <w:vAlign w:val="bottom"/>
          </w:tcPr>
          <w:p>
            <w:pPr>
              <w:spacing w:after="0"/>
              <w:rPr>
                <w:sz w:val="24"/>
                <w:szCs w:val="24"/>
                <w:color w:val="auto"/>
              </w:rPr>
            </w:pPr>
          </w:p>
        </w:tc>
        <w:tc>
          <w:tcPr>
            <w:tcW w:w="6060" w:type="dxa"/>
            <w:vAlign w:val="bottom"/>
            <w:gridSpan w:val="2"/>
          </w:tcPr>
          <w:p>
            <w:pPr>
              <w:jc w:val="right"/>
              <w:ind w:right="33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428625"/>
                    </a:xfrm>
                    <a:prstGeom prst="rect">
                      <a:avLst/>
                    </a:prstGeom>
                    <a:noFill/>
                  </pic:spPr>
                </pic:pic>
              </a:graphicData>
            </a:graphic>
          </wp:anchor>
        </w:drawing>
      </w:r>
    </w:p>
    <w:p>
      <w:pPr>
        <w:spacing w:after="0" w:line="48"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22"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3.1</w:t>
            </w:r>
          </w:p>
        </w:tc>
        <w:tc>
          <w:tcPr>
            <w:tcW w:w="10340" w:type="dxa"/>
            <w:vAlign w:val="bottom"/>
          </w:tcPr>
          <w:p>
            <w:pPr>
              <w:ind w:left="240"/>
              <w:spacing w:after="0"/>
              <w:rPr>
                <w:sz w:val="20"/>
                <w:szCs w:val="20"/>
                <w:color w:val="auto"/>
              </w:rPr>
            </w:pPr>
            <w:r>
              <w:rPr>
                <w:rFonts w:ascii="Arial" w:cs="Arial" w:eastAsia="Arial" w:hAnsi="Arial"/>
                <w:sz w:val="16"/>
                <w:szCs w:val="16"/>
                <w:color w:val="auto"/>
                <w:w w:val="93"/>
              </w:rPr>
              <w:t>Amended and Restated Certificate of Incorporation of Western Digital Corporation, as amended to date (Filed as Exhibit 3.1 to the Company’s Quarterly</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Report on Form 10-Q (File No. 1-08703) with the Securities and Exchange Commission on February 8, 2006)</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3.2</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5"/>
              </w:rPr>
              <w:t>Amended and Restated By-Laws of Western Digital Corporation, as amended effective as of February 2, 2017 (Filed as Exhibit 3.2 to the Company’s</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Quarterly Report on Form 10-Q (File No. 1-08703) with the Securities and Exchange Commission on February 7, 2017)</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4.1</w:t>
            </w: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Indenture (including Form of 7.375% Senior Secured Notes due 2023), dated as of April 13, 2016, among Western Digital Corporation; HGST, Inc., WD</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Media, LLC, Western Digital (Fremont), LLC and Western Digital Technologies, Inc., as guarantors; and U.S. Bank National Association, as trustee and</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3"/>
              </w:rPr>
              <w:t>collateral agent (Filed as Exhibit 4.1 to the Company’s Current Report on Form 8-K (File No. 1-08703) with the Securities and Exchange Commission on</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April 14, 2016)</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4.2</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4"/>
              </w:rPr>
              <w:t>First Supplemental Indenture to the Indenture filed as Exhibit 4.1 hereto, dated as of May 12, 2016, among Western Digital Corporation, the subsidiary</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5"/>
              </w:rPr>
              <w:t>guarantors party thereto and U.S. Bank National Association, as trustee and collateral agent (Filed as Exhibit 4.3 to the Company’s Current Report on</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Form 8-K (File No. 1-08703) with the Securities and Exchange Commission on May 12,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4.3</w:t>
            </w: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Indenture (including Form of 10.500% Senior Unsecured Notes due 2024), dated as of April 13, 2016, among Western Digital Corporation; HGST, Inc.,</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WD Media, LLC, Western Digital (Fremont), LLC and Western Digital Technologies, Inc., as guarantors; and U.S. Bank National Association, as trustee</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(Filed as Exhibit 4.2 to the Company’s Current Report on Form 8-K (File No. 1-08703) with the Securities and Exchange Commission on April 14, 2016)</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4.4</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4"/>
              </w:rPr>
              <w:t>First Supplemental Indenture to the Indenture filed as Exhibit 4.3 hereto, dated as of May 12, 2016, among Western Digital Corporation, the subsidiary</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4"/>
              </w:rPr>
              <w:t>guarantors party thereto and U.S. Bank National Association, as trustee (Filed as Exhibit 4.4 to the Company’s Current Report on Form 8-K (File No. 1-</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08703) with the Securities and Exchange Commission on May 12,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4.5</w:t>
            </w:r>
          </w:p>
        </w:tc>
        <w:tc>
          <w:tcPr>
            <w:tcW w:w="10340" w:type="dxa"/>
            <w:vAlign w:val="bottom"/>
          </w:tcPr>
          <w:p>
            <w:pPr>
              <w:ind w:left="240"/>
              <w:spacing w:after="0"/>
              <w:rPr>
                <w:sz w:val="20"/>
                <w:szCs w:val="20"/>
                <w:color w:val="auto"/>
              </w:rPr>
            </w:pPr>
            <w:r>
              <w:rPr>
                <w:rFonts w:ascii="Arial" w:cs="Arial" w:eastAsia="Arial" w:hAnsi="Arial"/>
                <w:sz w:val="16"/>
                <w:szCs w:val="16"/>
                <w:color w:val="auto"/>
                <w:w w:val="92"/>
              </w:rPr>
              <w:t>Indenture (including Form of 0.5% Convertible Senior Notes due 2020), dated as of October 29, 2013, by and between SanDisk Corporation and The Bank</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7"/>
              </w:rPr>
              <w:t>of New York Mellon Trust Company, N.A. (Filed as Exhibit 4.1 to SanDisk Corporation’s Current Report on Form 8-K (File No. 000-26734) with the</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Securities and Exchange Commission on October 29, 2013)</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4.6</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3"/>
              </w:rPr>
              <w:t>First Supplemental Indenture to the Indenture filed as Exhibit 4.5 hereto, dated as of May 12, 2016, among SanDisk Corporation, The Bank of New York</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3"/>
              </w:rPr>
              <w:t>Mellon Trust Company, N.A., as trustee, and Western Digital Corporation (Filed as Exhibit 4.1 to the Company’s Current Report on Form 8-K (File No. 1-</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08703) with the Securities and Exchange Commission on May 12,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10.1</w:t>
            </w:r>
          </w:p>
        </w:tc>
        <w:tc>
          <w:tcPr>
            <w:tcW w:w="10340" w:type="dxa"/>
            <w:vAlign w:val="bottom"/>
          </w:tcPr>
          <w:p>
            <w:pPr>
              <w:ind w:left="240"/>
              <w:spacing w:after="0"/>
              <w:rPr>
                <w:sz w:val="20"/>
                <w:szCs w:val="20"/>
                <w:color w:val="auto"/>
              </w:rPr>
            </w:pPr>
            <w:r>
              <w:rPr>
                <w:rFonts w:ascii="Arial" w:cs="Arial" w:eastAsia="Arial" w:hAnsi="Arial"/>
                <w:sz w:val="16"/>
                <w:szCs w:val="16"/>
                <w:color w:val="auto"/>
                <w:w w:val="91"/>
              </w:rPr>
              <w:t>Western Digital Corporation Amended and Restated 2004 Performance Incentive Plan, amended and restated as of August 5, 2015 (Filed as Exhibit 10.1 to</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the Company’s Current Report on Form 8-K (File No. 1-08703) with the Securities and Exchange Commission on November 5, 2015)*</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10.1.1</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4"/>
              </w:rPr>
              <w:t>Form of Notice of Grant of Stock Option and Option Agreement - Executives, as amended on November 3, 2015, under the Western Digital Corporation</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4"/>
              </w:rPr>
              <w:t>Amended and Restated 2004 Performance Incentive Plan (Filed as Exhibit 10.1.1 to the Company’s Quarterly Report on Form 10-Q (File No. 1-08703)</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with the Securities and Exchange Commission on February 10,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10.1.2</w:t>
            </w:r>
          </w:p>
        </w:tc>
        <w:tc>
          <w:tcPr>
            <w:tcW w:w="10340" w:type="dxa"/>
            <w:vAlign w:val="bottom"/>
          </w:tcPr>
          <w:p>
            <w:pPr>
              <w:ind w:left="240"/>
              <w:spacing w:after="0"/>
              <w:rPr>
                <w:sz w:val="20"/>
                <w:szCs w:val="20"/>
                <w:color w:val="auto"/>
              </w:rPr>
            </w:pPr>
            <w:r>
              <w:rPr>
                <w:rFonts w:ascii="Arial" w:cs="Arial" w:eastAsia="Arial" w:hAnsi="Arial"/>
                <w:sz w:val="16"/>
                <w:szCs w:val="16"/>
                <w:color w:val="auto"/>
                <w:w w:val="99"/>
              </w:rPr>
              <w:t>Form of Notice of Grant of Stock Option and Option Agreement - Non-Executives, as amended on November 3, 2015, under the Western Digital</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2"/>
              </w:rPr>
              <w:t>Corporation Amended and Restated 2004 Performance Incentive Plan (Filed as Exhibit 10.1.2 to the Company’s Quarterly Report on Form 10-Q (File No.</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1-08703) with the Securities and Exchange Commission on February 10, 2016)*</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10.1.3</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6"/>
              </w:rPr>
              <w:t>Form of Notice of Grant of Stock Units and Stock Unit Award Agreement - Executives, as amended on November 3, 2015, under the Western Digital</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2"/>
              </w:rPr>
              <w:t>Corporation Amended and Restated 2004 Performance Incentive Plan (Filed as Exhibit 10.1.3 to the Company’s Quarterly Report on Form 10-Q (File No.</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1-08703) with the Securities and Exchange Commission on February 10,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10.1.4</w:t>
            </w:r>
          </w:p>
        </w:tc>
        <w:tc>
          <w:tcPr>
            <w:tcW w:w="10340" w:type="dxa"/>
            <w:vAlign w:val="bottom"/>
          </w:tcPr>
          <w:p>
            <w:pPr>
              <w:ind w:left="240"/>
              <w:spacing w:after="0"/>
              <w:rPr>
                <w:sz w:val="20"/>
                <w:szCs w:val="20"/>
                <w:color w:val="auto"/>
              </w:rPr>
            </w:pPr>
            <w:r>
              <w:rPr>
                <w:rFonts w:ascii="Arial" w:cs="Arial" w:eastAsia="Arial" w:hAnsi="Arial"/>
                <w:sz w:val="16"/>
                <w:szCs w:val="16"/>
                <w:color w:val="auto"/>
                <w:w w:val="96"/>
              </w:rPr>
              <w:t>Form of Notice of Grant of Stock Units and Stock Unit Award Agreement, as amended on November 3, 2015, under the Western Digital Corporation</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Amended and Restated 2004 Performance Incentive Plan (Filed as Exhibit 10.1.4 to the Company’s Quarterly Report on Form 10-Q (File No. 1-08703)</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with the Securities and Exchange Commission on February 10, 2016)*</w:t>
            </w:r>
          </w:p>
        </w:tc>
      </w:tr>
      <w:tr>
        <w:trPr>
          <w:trHeight w:val="33"/>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20"/>
        </w:trPr>
        <w:tc>
          <w:tcPr>
            <w:tcW w:w="1040" w:type="dxa"/>
            <w:vAlign w:val="bottom"/>
            <w:shd w:val="clear" w:color="auto" w:fill="BFE4FF"/>
          </w:tcPr>
          <w:p>
            <w:pPr>
              <w:jc w:val="center"/>
              <w:ind w:left="39"/>
              <w:spacing w:after="0"/>
              <w:rPr>
                <w:sz w:val="20"/>
                <w:szCs w:val="20"/>
                <w:color w:val="auto"/>
              </w:rPr>
            </w:pPr>
            <w:r>
              <w:rPr>
                <w:rFonts w:ascii="Arial" w:cs="Arial" w:eastAsia="Arial" w:hAnsi="Arial"/>
                <w:sz w:val="16"/>
                <w:szCs w:val="16"/>
                <w:color w:val="auto"/>
                <w:w w:val="89"/>
              </w:rPr>
              <w:t>10.1.5</w:t>
            </w: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5"/>
              </w:rPr>
              <w:t>Form of Notice of Grant of Performance Stock Units and Performance Stock Unit Award Agreement - Executives, as amended on November 3, 2015,</w:t>
            </w:r>
          </w:p>
        </w:tc>
      </w:tr>
      <w:tr>
        <w:trPr>
          <w:trHeight w:val="203"/>
        </w:trPr>
        <w:tc>
          <w:tcPr>
            <w:tcW w:w="1040" w:type="dxa"/>
            <w:vAlign w:val="bottom"/>
            <w:shd w:val="clear" w:color="auto" w:fill="BFE4FF"/>
          </w:tcPr>
          <w:p>
            <w:pPr>
              <w:spacing w:after="0"/>
              <w:rPr>
                <w:sz w:val="17"/>
                <w:szCs w:val="17"/>
                <w:color w:val="auto"/>
              </w:rPr>
            </w:pPr>
          </w:p>
        </w:tc>
        <w:tc>
          <w:tcPr>
            <w:tcW w:w="10340" w:type="dxa"/>
            <w:vAlign w:val="bottom"/>
            <w:shd w:val="clear" w:color="auto" w:fill="BFE4FF"/>
          </w:tcPr>
          <w:p>
            <w:pPr>
              <w:ind w:left="240"/>
              <w:spacing w:after="0"/>
              <w:rPr>
                <w:sz w:val="20"/>
                <w:szCs w:val="20"/>
                <w:color w:val="auto"/>
              </w:rPr>
            </w:pPr>
            <w:r>
              <w:rPr>
                <w:rFonts w:ascii="Arial" w:cs="Arial" w:eastAsia="Arial" w:hAnsi="Arial"/>
                <w:sz w:val="16"/>
                <w:szCs w:val="16"/>
                <w:color w:val="auto"/>
                <w:w w:val="96"/>
              </w:rPr>
              <w:t>under the Western Digital Corporation Amended and Restated 2004 Performance Incentive Plan (Filed as Exhibit 10.1.5 to the Company’s Quarterly</w:t>
            </w:r>
          </w:p>
        </w:tc>
      </w:tr>
      <w:tr>
        <w:trPr>
          <w:trHeight w:val="219"/>
        </w:trPr>
        <w:tc>
          <w:tcPr>
            <w:tcW w:w="1040" w:type="dxa"/>
            <w:vAlign w:val="bottom"/>
            <w:tcBorders>
              <w:bottom w:val="single" w:sz="8" w:color="BFE4FF"/>
            </w:tcBorders>
            <w:shd w:val="clear" w:color="auto" w:fill="BFE4FF"/>
          </w:tcPr>
          <w:p>
            <w:pPr>
              <w:spacing w:after="0"/>
              <w:rPr>
                <w:sz w:val="19"/>
                <w:szCs w:val="19"/>
                <w:color w:val="auto"/>
              </w:rPr>
            </w:pPr>
          </w:p>
        </w:tc>
        <w:tc>
          <w:tcPr>
            <w:tcW w:w="103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6"/>
                <w:szCs w:val="16"/>
                <w:color w:val="auto"/>
              </w:rPr>
              <w:t>Report on Form 10-Q (File No. 1-08703) with the Securities and Exchange Commission on February 10, 2016)*</w:t>
            </w:r>
          </w:p>
        </w:tc>
      </w:tr>
      <w:tr>
        <w:trPr>
          <w:trHeight w:val="220"/>
        </w:trPr>
        <w:tc>
          <w:tcPr>
            <w:tcW w:w="1040" w:type="dxa"/>
            <w:vAlign w:val="bottom"/>
          </w:tcPr>
          <w:p>
            <w:pPr>
              <w:jc w:val="center"/>
              <w:ind w:left="39"/>
              <w:spacing w:after="0"/>
              <w:rPr>
                <w:sz w:val="20"/>
                <w:szCs w:val="20"/>
                <w:color w:val="auto"/>
              </w:rPr>
            </w:pPr>
            <w:r>
              <w:rPr>
                <w:rFonts w:ascii="Arial" w:cs="Arial" w:eastAsia="Arial" w:hAnsi="Arial"/>
                <w:sz w:val="16"/>
                <w:szCs w:val="16"/>
                <w:color w:val="auto"/>
                <w:w w:val="89"/>
              </w:rPr>
              <w:t>10.1.6</w:t>
            </w:r>
          </w:p>
        </w:tc>
        <w:tc>
          <w:tcPr>
            <w:tcW w:w="10340" w:type="dxa"/>
            <w:vAlign w:val="bottom"/>
          </w:tcPr>
          <w:p>
            <w:pPr>
              <w:ind w:left="240"/>
              <w:spacing w:after="0"/>
              <w:rPr>
                <w:sz w:val="20"/>
                <w:szCs w:val="20"/>
                <w:color w:val="auto"/>
              </w:rPr>
            </w:pPr>
            <w:r>
              <w:rPr>
                <w:rFonts w:ascii="Arial" w:cs="Arial" w:eastAsia="Arial" w:hAnsi="Arial"/>
                <w:sz w:val="16"/>
                <w:szCs w:val="16"/>
                <w:color w:val="auto"/>
                <w:w w:val="93"/>
              </w:rPr>
              <w:t>Form of Notice of Grant of Performance Stock Units and Performance Stock Unit Award Agreement for Mark Long, dated September 17, 2015, under the</w:t>
            </w:r>
          </w:p>
        </w:tc>
      </w:tr>
      <w:tr>
        <w:trPr>
          <w:trHeight w:val="203"/>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7"/>
              </w:rPr>
              <w:t>Western Digital Corporation Amended and Restated 2004 Performance Incentive Plan (Filed as Exhibit 10.2 to the Company’s Quarterly Report on</w:t>
            </w:r>
          </w:p>
        </w:tc>
      </w:tr>
      <w:tr>
        <w:trPr>
          <w:trHeight w:val="206"/>
        </w:trPr>
        <w:tc>
          <w:tcPr>
            <w:tcW w:w="104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Form 10-Q (File No. 1-08703) with the Securities and Exchange Commission on November 10, 2015)*</w:t>
            </w:r>
          </w:p>
        </w:tc>
      </w:tr>
      <w:tr>
        <w:trPr>
          <w:trHeight w:val="492"/>
        </w:trPr>
        <w:tc>
          <w:tcPr>
            <w:tcW w:w="1040" w:type="dxa"/>
            <w:vAlign w:val="bottom"/>
          </w:tcPr>
          <w:p>
            <w:pPr>
              <w:spacing w:after="0"/>
              <w:rPr>
                <w:sz w:val="24"/>
                <w:szCs w:val="24"/>
                <w:color w:val="auto"/>
              </w:rPr>
            </w:pPr>
          </w:p>
        </w:tc>
        <w:tc>
          <w:tcPr>
            <w:tcW w:w="10340" w:type="dxa"/>
            <w:vAlign w:val="bottom"/>
          </w:tcPr>
          <w:p>
            <w:pPr>
              <w:ind w:left="452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1400"/>
          </w:cols>
          <w:pgMar w:left="240" w:top="125" w:right="259" w:bottom="1440" w:gutter="0" w:footer="0" w:header="0"/>
          <w:type w:val="continuous"/>
        </w:sectPr>
      </w:pPr>
    </w:p>
    <w:bookmarkStart w:id="147" w:name="page148"/>
    <w:bookmarkEnd w:id="1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428625"/>
                    </a:xfrm>
                    <a:prstGeom prst="rect">
                      <a:avLst/>
                    </a:prstGeom>
                    <a:noFill/>
                  </pic:spPr>
                </pic:pic>
              </a:graphicData>
            </a:graphic>
          </wp:anchor>
        </w:drawing>
      </w:r>
    </w:p>
    <w:p>
      <w:pPr>
        <w:spacing w:after="0" w:line="4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Form of Notice of Grant of Performance Stock Units and Performance Stock Unit Award Agreement (revised March 2016) under the Western Digital Corporation Amended and Restated 2004 Performance Incentive Plan (Filed as Exhibit 10.1 to the Company’s Quarterly Report on Form 10-Q (File No. 1-08703) with the Securities and Exchange Commission on May 9, 2016)*</w:t>
      </w:r>
    </w:p>
    <w:p>
      <w:pPr>
        <w:spacing w:after="0" w:line="22"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10.1.8</w:t>
            </w:r>
          </w:p>
        </w:tc>
        <w:tc>
          <w:tcPr>
            <w:tcW w:w="10320" w:type="dxa"/>
            <w:vAlign w:val="bottom"/>
          </w:tcPr>
          <w:p>
            <w:pPr>
              <w:ind w:left="220"/>
              <w:spacing w:after="0"/>
              <w:rPr>
                <w:sz w:val="20"/>
                <w:szCs w:val="20"/>
                <w:color w:val="auto"/>
              </w:rPr>
            </w:pPr>
            <w:r>
              <w:rPr>
                <w:rFonts w:ascii="Arial" w:cs="Arial" w:eastAsia="Arial" w:hAnsi="Arial"/>
                <w:sz w:val="16"/>
                <w:szCs w:val="16"/>
                <w:color w:val="auto"/>
                <w:w w:val="96"/>
              </w:rPr>
              <w:t>Western Digital Corporation Amended and Restated 2004 Performance Incentive Plan Non-Employee Director Option Grant Program, as amended</w:t>
            </w:r>
          </w:p>
        </w:tc>
      </w:tr>
      <w:tr>
        <w:trPr>
          <w:trHeight w:val="203"/>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w w:val="99"/>
              </w:rPr>
              <w:t>September 6, 2012, and Form of Notice of Grant of Stock Option and Option Agreement - Non-Employee Directors (Filed as Exhibit 10.5 to the</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Company’s Quarterly Report on Form 10-Q (File No. 1-08703) with the Securities and Exchange Commission on November 2, 2012)*</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10.1.9</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4"/>
              </w:rPr>
              <w:t>Western Digital Corporation Amended and Restated 2004 Performance Incentive Plan Non-Employee Director Restricted Stock Unit Grant Program, as</w:t>
            </w:r>
          </w:p>
        </w:tc>
      </w:tr>
      <w:tr>
        <w:trPr>
          <w:trHeight w:val="203"/>
        </w:trPr>
        <w:tc>
          <w:tcPr>
            <w:tcW w:w="1060" w:type="dxa"/>
            <w:vAlign w:val="bottom"/>
            <w:shd w:val="clear" w:color="auto" w:fill="BFE4FF"/>
          </w:tcPr>
          <w:p>
            <w:pPr>
              <w:spacing w:after="0"/>
              <w:rPr>
                <w:sz w:val="17"/>
                <w:szCs w:val="17"/>
                <w:color w:val="auto"/>
              </w:rPr>
            </w:pP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2"/>
              </w:rPr>
              <w:t>amended November 4, 2016 (Filed as Exhibit 10.1 to the Company’s Quarterly Report on Form 10-Q (File No. 1-08703) with the Securities and Exchange</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Commission on February 7, 2017)*</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10.1.10</w:t>
            </w:r>
          </w:p>
        </w:tc>
        <w:tc>
          <w:tcPr>
            <w:tcW w:w="10320" w:type="dxa"/>
            <w:vAlign w:val="bottom"/>
          </w:tcPr>
          <w:p>
            <w:pPr>
              <w:ind w:left="220"/>
              <w:spacing w:after="0"/>
              <w:rPr>
                <w:sz w:val="20"/>
                <w:szCs w:val="20"/>
                <w:color w:val="auto"/>
              </w:rPr>
            </w:pPr>
            <w:r>
              <w:rPr>
                <w:rFonts w:ascii="Arial" w:cs="Arial" w:eastAsia="Arial" w:hAnsi="Arial"/>
                <w:sz w:val="16"/>
                <w:szCs w:val="16"/>
                <w:color w:val="auto"/>
                <w:w w:val="94"/>
              </w:rPr>
              <w:t>Western Digital Corporation Incentive Compensation Plan, as Amended and Restated August 5, 2015 (Filed as Exhibit 10.1.8 to the Company’s Annual</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line="184" w:lineRule="exact"/>
              <w:rPr>
                <w:sz w:val="20"/>
                <w:szCs w:val="20"/>
                <w:color w:val="auto"/>
              </w:rPr>
            </w:pPr>
            <w:r>
              <w:rPr>
                <w:rFonts w:ascii="Arial" w:cs="Arial" w:eastAsia="Arial" w:hAnsi="Arial"/>
                <w:sz w:val="16"/>
                <w:szCs w:val="16"/>
                <w:color w:val="auto"/>
              </w:rPr>
              <w:t>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1-08703) with the Securities and Exchange Commission on August 21, 2015)*</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10.2</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7"/>
              </w:rPr>
              <w:t>Western Digital Corporation 2005 Employee Stock Purchase Plan, as amended August 5, 2015 (Filed as Exhibit 4.2 to the Company’s Registration</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Statement on Form S-8 (File No. 333-207842) with the Securities and Exchange Commission on November 5, 2015)*</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10.3</w:t>
            </w:r>
          </w:p>
        </w:tc>
        <w:tc>
          <w:tcPr>
            <w:tcW w:w="10320" w:type="dxa"/>
            <w:vAlign w:val="bottom"/>
          </w:tcPr>
          <w:p>
            <w:pPr>
              <w:ind w:left="220"/>
              <w:spacing w:after="0"/>
              <w:rPr>
                <w:sz w:val="20"/>
                <w:szCs w:val="20"/>
                <w:color w:val="auto"/>
              </w:rPr>
            </w:pPr>
            <w:r>
              <w:rPr>
                <w:rFonts w:ascii="Arial" w:cs="Arial" w:eastAsia="Arial" w:hAnsi="Arial"/>
                <w:sz w:val="16"/>
                <w:szCs w:val="16"/>
                <w:color w:val="auto"/>
                <w:w w:val="96"/>
              </w:rPr>
              <w:t>SanDisk Corporation 2013 Incentive Plan (Filed as Exhibit 4.2 to the Company’s Registration Statement on Form S-8 (File No. 333-211420) with the</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Securities and Exchange Commission on May 17, 2016)*</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060" w:type="dxa"/>
            <w:vAlign w:val="bottom"/>
            <w:tcBorders>
              <w:bottom w:val="single" w:sz="8" w:color="BFE4FF"/>
            </w:tcBorders>
            <w:shd w:val="clear" w:color="auto" w:fill="BFE4FF"/>
          </w:tcPr>
          <w:p>
            <w:pPr>
              <w:jc w:val="center"/>
              <w:ind w:left="19"/>
              <w:spacing w:after="0"/>
              <w:rPr>
                <w:sz w:val="20"/>
                <w:szCs w:val="20"/>
                <w:color w:val="auto"/>
              </w:rPr>
            </w:pPr>
            <w:r>
              <w:rPr>
                <w:rFonts w:ascii="Arial" w:cs="Arial" w:eastAsia="Arial" w:hAnsi="Arial"/>
                <w:sz w:val="16"/>
                <w:szCs w:val="16"/>
                <w:color w:val="auto"/>
                <w:w w:val="89"/>
              </w:rPr>
              <w:t>10.4</w:t>
            </w: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Western Digital Corporation Summary of Compensation Arrangements for Named Executive Officers and Directors†*</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10.5</w:t>
            </w:r>
          </w:p>
        </w:tc>
        <w:tc>
          <w:tcPr>
            <w:tcW w:w="10320" w:type="dxa"/>
            <w:vAlign w:val="bottom"/>
          </w:tcPr>
          <w:p>
            <w:pPr>
              <w:ind w:left="220"/>
              <w:spacing w:after="0"/>
              <w:rPr>
                <w:sz w:val="20"/>
                <w:szCs w:val="20"/>
                <w:color w:val="auto"/>
              </w:rPr>
            </w:pPr>
            <w:r>
              <w:rPr>
                <w:rFonts w:ascii="Arial" w:cs="Arial" w:eastAsia="Arial" w:hAnsi="Arial"/>
                <w:sz w:val="16"/>
                <w:szCs w:val="16"/>
                <w:color w:val="auto"/>
                <w:w w:val="94"/>
              </w:rPr>
              <w:t>Amended and Restated Deferred Compensation Plan, amended and restated effective January 1, 2013 (Filed as Exhibit 10.4 to the Company’s Annual</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Report on Form 10-Q (File No. 1-08703) with the Securities and Exchange Commission on November 2, 2012)*</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10.6</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3"/>
              </w:rPr>
              <w:t>Amended and Restated Employment Agreement, dated as of September 6, 2012, between Western Digital Corporation and Stephen D. Milligan (Filed as</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w w:val="93"/>
              </w:rPr>
              <w:t>Exhibit 10.2 to the Company’s Quarterly Report on Form 10-Q (File No. 1-08703) with the Securities and Exchange Commission on November 2, 2012)*</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10.7</w:t>
            </w:r>
          </w:p>
        </w:tc>
        <w:tc>
          <w:tcPr>
            <w:tcW w:w="10320" w:type="dxa"/>
            <w:vAlign w:val="bottom"/>
          </w:tcPr>
          <w:p>
            <w:pPr>
              <w:ind w:left="220"/>
              <w:spacing w:after="0"/>
              <w:rPr>
                <w:sz w:val="20"/>
                <w:szCs w:val="20"/>
                <w:color w:val="auto"/>
              </w:rPr>
            </w:pPr>
            <w:r>
              <w:rPr>
                <w:rFonts w:ascii="Arial" w:cs="Arial" w:eastAsia="Arial" w:hAnsi="Arial"/>
                <w:sz w:val="16"/>
                <w:szCs w:val="16"/>
                <w:color w:val="auto"/>
                <w:w w:val="93"/>
              </w:rPr>
              <w:t>Separation and General Release Agreement, dated August 3, 2016, between Western Digital Technologies, Inc. and Olivier C. Leonetti (Filed as Exhibit</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line="184" w:lineRule="exact"/>
              <w:rPr>
                <w:sz w:val="20"/>
                <w:szCs w:val="20"/>
                <w:color w:val="auto"/>
              </w:rPr>
            </w:pPr>
            <w:r>
              <w:rPr>
                <w:rFonts w:ascii="Arial" w:cs="Arial" w:eastAsia="Arial" w:hAnsi="Arial"/>
                <w:sz w:val="16"/>
                <w:szCs w:val="16"/>
                <w:color w:val="auto"/>
              </w:rPr>
              <w:t>10.8 to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1-08703) with the Securities and Exchange Commission on August 29, 2016)*</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10.8</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3"/>
              </w:rPr>
              <w:t>Western Digital Corporation Amended and Restated Change of Control Severance Plan, amended and restated as of November 3, 2015 (Filed as Exhibit</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10.2 to the Company’s Current Report on Form 8-K (File No. 1-08703) with the Securities and Exchange Commission on November 5, 2015)*</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10.9</w:t>
            </w:r>
          </w:p>
        </w:tc>
        <w:tc>
          <w:tcPr>
            <w:tcW w:w="10320" w:type="dxa"/>
            <w:vAlign w:val="bottom"/>
          </w:tcPr>
          <w:p>
            <w:pPr>
              <w:ind w:left="220"/>
              <w:spacing w:after="0"/>
              <w:rPr>
                <w:sz w:val="20"/>
                <w:szCs w:val="20"/>
                <w:color w:val="auto"/>
              </w:rPr>
            </w:pPr>
            <w:r>
              <w:rPr>
                <w:rFonts w:ascii="Arial" w:cs="Arial" w:eastAsia="Arial" w:hAnsi="Arial"/>
                <w:sz w:val="16"/>
                <w:szCs w:val="16"/>
                <w:color w:val="auto"/>
                <w:w w:val="93"/>
              </w:rPr>
              <w:t>Western Digital Corporation Executive Severance Plan, amended and restated as of February 2, 2017 (Filed as Exhibit 10.3 to the Company’s Quarterly</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Report on Form 10-Q (File No. 1-08703) with the Securities and Exchange Commission on February 7, 2017)*</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10.10</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4"/>
              </w:rPr>
              <w:t>Form of Indemnity Agreement for Directors of Western Digital Corporation (Filed as Exhibit 10.4 to the Company’s Quarterly Report on Form 10-Q (File</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No. 1-08703) with the Securities and Exchange Commission on November 8, 2002)*</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10.11</w:t>
            </w:r>
          </w:p>
        </w:tc>
        <w:tc>
          <w:tcPr>
            <w:tcW w:w="10320" w:type="dxa"/>
            <w:vAlign w:val="bottom"/>
          </w:tcPr>
          <w:p>
            <w:pPr>
              <w:ind w:left="220"/>
              <w:spacing w:after="0"/>
              <w:rPr>
                <w:sz w:val="20"/>
                <w:szCs w:val="20"/>
                <w:color w:val="auto"/>
              </w:rPr>
            </w:pPr>
            <w:r>
              <w:rPr>
                <w:rFonts w:ascii="Arial" w:cs="Arial" w:eastAsia="Arial" w:hAnsi="Arial"/>
                <w:sz w:val="16"/>
                <w:szCs w:val="16"/>
                <w:color w:val="auto"/>
                <w:w w:val="95"/>
              </w:rPr>
              <w:t>Form of Indemnity Agreement for Officers of Western Digital Corporation (Filed as Exhibit 10.5 to the Company’s Quarterly Report on Form 10-Q (File</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No. 1-08703) with the Securities and Exchange Commission on November 8, 2002)*</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10.12</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Form of Indemnification Agreement entered into between SanDisk Corporation and its directors and officers (Filed as Exhibit 3.2 to SanDisk</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Corporation’s Registration Statement on Form S-1 (File No. 33-96298) with the Securities and Exchange Commission on August 29, 1995)*</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10.13</w:t>
            </w:r>
          </w:p>
        </w:tc>
        <w:tc>
          <w:tcPr>
            <w:tcW w:w="10320" w:type="dxa"/>
            <w:vAlign w:val="bottom"/>
          </w:tcPr>
          <w:p>
            <w:pPr>
              <w:ind w:left="220"/>
              <w:spacing w:after="0"/>
              <w:rPr>
                <w:sz w:val="20"/>
                <w:szCs w:val="20"/>
                <w:color w:val="auto"/>
              </w:rPr>
            </w:pPr>
            <w:r>
              <w:rPr>
                <w:rFonts w:ascii="Arial" w:cs="Arial" w:eastAsia="Arial" w:hAnsi="Arial"/>
                <w:sz w:val="16"/>
                <w:szCs w:val="16"/>
                <w:color w:val="auto"/>
                <w:w w:val="94"/>
              </w:rPr>
              <w:t>Change of Control Executive Benefits Agreement, effective as of January 1, 2015, by and between SanDisk Corporation and Sanjay Mehrotra (Filed as</w:t>
            </w:r>
          </w:p>
        </w:tc>
      </w:tr>
      <w:tr>
        <w:trPr>
          <w:trHeight w:val="203"/>
        </w:trPr>
        <w:tc>
          <w:tcPr>
            <w:tcW w:w="1060" w:type="dxa"/>
            <w:vAlign w:val="bottom"/>
          </w:tcPr>
          <w:p>
            <w:pPr>
              <w:spacing w:after="0"/>
              <w:rPr>
                <w:sz w:val="17"/>
                <w:szCs w:val="17"/>
                <w:color w:val="auto"/>
              </w:rPr>
            </w:pPr>
          </w:p>
        </w:tc>
        <w:tc>
          <w:tcPr>
            <w:tcW w:w="10320" w:type="dxa"/>
            <w:vAlign w:val="bottom"/>
          </w:tcPr>
          <w:p>
            <w:pPr>
              <w:ind w:left="220"/>
              <w:spacing w:after="0" w:line="184" w:lineRule="exact"/>
              <w:rPr>
                <w:sz w:val="20"/>
                <w:szCs w:val="20"/>
                <w:color w:val="auto"/>
              </w:rPr>
            </w:pPr>
            <w:r>
              <w:rPr>
                <w:rFonts w:ascii="Arial" w:cs="Arial" w:eastAsia="Arial" w:hAnsi="Arial"/>
                <w:sz w:val="16"/>
                <w:szCs w:val="16"/>
                <w:color w:val="auto"/>
                <w:w w:val="93"/>
              </w:rPr>
              <w:t>Exhibit 10.4 to SanDisk Corporation’s Annual Report on Form 10</w:t>
            </w:r>
            <w:r>
              <w:rPr>
                <w:rFonts w:ascii="MS PGothic" w:cs="MS PGothic" w:eastAsia="MS PGothic" w:hAnsi="MS PGothic"/>
                <w:sz w:val="16"/>
                <w:szCs w:val="16"/>
                <w:color w:val="auto"/>
                <w:w w:val="93"/>
              </w:rPr>
              <w:t>‑</w:t>
            </w:r>
            <w:r>
              <w:rPr>
                <w:rFonts w:ascii="Arial" w:cs="Arial" w:eastAsia="Arial" w:hAnsi="Arial"/>
                <w:sz w:val="16"/>
                <w:szCs w:val="16"/>
                <w:color w:val="auto"/>
                <w:w w:val="93"/>
              </w:rPr>
              <w:t>K (File No. 000-26734) with the Securities and Exchange Commission on February 10,</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2015)*</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10.14</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7"/>
              </w:rPr>
              <w:t>Letter Agreement Clarifying Change of Control Executive Benefits, by and between Western Digital Corporation, SanDisk Corporation and Sanjay</w:t>
            </w:r>
          </w:p>
        </w:tc>
      </w:tr>
      <w:tr>
        <w:trPr>
          <w:trHeight w:val="203"/>
        </w:trPr>
        <w:tc>
          <w:tcPr>
            <w:tcW w:w="1060" w:type="dxa"/>
            <w:vAlign w:val="bottom"/>
            <w:shd w:val="clear" w:color="auto" w:fill="BFE4FF"/>
          </w:tcPr>
          <w:p>
            <w:pPr>
              <w:spacing w:after="0"/>
              <w:rPr>
                <w:sz w:val="17"/>
                <w:szCs w:val="17"/>
                <w:color w:val="auto"/>
              </w:rPr>
            </w:pPr>
          </w:p>
        </w:tc>
        <w:tc>
          <w:tcPr>
            <w:tcW w:w="10320" w:type="dxa"/>
            <w:vAlign w:val="bottom"/>
            <w:shd w:val="clear" w:color="auto" w:fill="BFE4FF"/>
          </w:tcPr>
          <w:p>
            <w:pPr>
              <w:ind w:left="220"/>
              <w:spacing w:after="0" w:line="184" w:lineRule="exact"/>
              <w:rPr>
                <w:sz w:val="20"/>
                <w:szCs w:val="20"/>
                <w:color w:val="auto"/>
              </w:rPr>
            </w:pPr>
            <w:r>
              <w:rPr>
                <w:rFonts w:ascii="Arial" w:cs="Arial" w:eastAsia="Arial" w:hAnsi="Arial"/>
                <w:sz w:val="16"/>
                <w:szCs w:val="16"/>
                <w:color w:val="auto"/>
                <w:w w:val="95"/>
              </w:rPr>
              <w:t>Mehrotra, dated as of May 12, 2016 (Filed as Exhibit 10.16 to the Company’s Annual Report on Form 10</w:t>
            </w:r>
            <w:r>
              <w:rPr>
                <w:rFonts w:ascii="MS PGothic" w:cs="MS PGothic" w:eastAsia="MS PGothic" w:hAnsi="MS PGothic"/>
                <w:sz w:val="16"/>
                <w:szCs w:val="16"/>
                <w:color w:val="auto"/>
                <w:w w:val="95"/>
              </w:rPr>
              <w:t>‑</w:t>
            </w:r>
            <w:r>
              <w:rPr>
                <w:rFonts w:ascii="Arial" w:cs="Arial" w:eastAsia="Arial" w:hAnsi="Arial"/>
                <w:sz w:val="16"/>
                <w:szCs w:val="16"/>
                <w:color w:val="auto"/>
                <w:w w:val="95"/>
              </w:rPr>
              <w:t>K (File No. 1-08703) with the Securities and</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Exchange Commission on August 29, 2016)*</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10.15</w:t>
            </w:r>
          </w:p>
        </w:tc>
        <w:tc>
          <w:tcPr>
            <w:tcW w:w="10320" w:type="dxa"/>
            <w:vAlign w:val="bottom"/>
          </w:tcPr>
          <w:p>
            <w:pPr>
              <w:ind w:left="220"/>
              <w:spacing w:after="0"/>
              <w:rPr>
                <w:sz w:val="20"/>
                <w:szCs w:val="20"/>
                <w:color w:val="auto"/>
              </w:rPr>
            </w:pPr>
            <w:r>
              <w:rPr>
                <w:rFonts w:ascii="Arial" w:cs="Arial" w:eastAsia="Arial" w:hAnsi="Arial"/>
                <w:sz w:val="16"/>
                <w:szCs w:val="16"/>
                <w:color w:val="auto"/>
                <w:w w:val="97"/>
              </w:rPr>
              <w:t>Loan Agreement, dated as of April 29, 2016, by and among Western Digital Corporation, JPMorgan Chase Bank, N.A., as administrative agent and</w:t>
            </w:r>
          </w:p>
        </w:tc>
      </w:tr>
      <w:tr>
        <w:trPr>
          <w:trHeight w:val="203"/>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w w:val="96"/>
              </w:rPr>
              <w:t>collateral agent, and the lenders and financial institutions from time to time party thereto (Filed as Exhibit 10.4 to the Company’s Quarterly Report on</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Form 10-Q (File No. 1-08703) with the Securities and Exchange Commission on May 9, 2016)</w:t>
            </w:r>
          </w:p>
        </w:tc>
      </w:tr>
      <w:tr>
        <w:trPr>
          <w:trHeight w:val="33"/>
        </w:trPr>
        <w:tc>
          <w:tcPr>
            <w:tcW w:w="106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20"/>
        </w:trPr>
        <w:tc>
          <w:tcPr>
            <w:tcW w:w="1060" w:type="dxa"/>
            <w:vAlign w:val="bottom"/>
            <w:shd w:val="clear" w:color="auto" w:fill="BFE4FF"/>
          </w:tcPr>
          <w:p>
            <w:pPr>
              <w:jc w:val="center"/>
              <w:ind w:left="19"/>
              <w:spacing w:after="0"/>
              <w:rPr>
                <w:sz w:val="20"/>
                <w:szCs w:val="20"/>
                <w:color w:val="auto"/>
              </w:rPr>
            </w:pPr>
            <w:r>
              <w:rPr>
                <w:rFonts w:ascii="Arial" w:cs="Arial" w:eastAsia="Arial" w:hAnsi="Arial"/>
                <w:sz w:val="16"/>
                <w:szCs w:val="16"/>
                <w:color w:val="auto"/>
                <w:w w:val="89"/>
              </w:rPr>
              <w:t>10.16</w:t>
            </w: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2"/>
              </w:rPr>
              <w:t>Amendment No. 1, dated as of August 17, 2016, to the Loan Agreement dated as of April 29, 2016, by and among Western Digital Corporation, JPMorgan</w:t>
            </w:r>
          </w:p>
        </w:tc>
      </w:tr>
      <w:tr>
        <w:trPr>
          <w:trHeight w:val="203"/>
        </w:trPr>
        <w:tc>
          <w:tcPr>
            <w:tcW w:w="1060" w:type="dxa"/>
            <w:vAlign w:val="bottom"/>
            <w:shd w:val="clear" w:color="auto" w:fill="BFE4FF"/>
          </w:tcPr>
          <w:p>
            <w:pPr>
              <w:spacing w:after="0"/>
              <w:rPr>
                <w:sz w:val="17"/>
                <w:szCs w:val="17"/>
                <w:color w:val="auto"/>
              </w:rPr>
            </w:pPr>
          </w:p>
        </w:tc>
        <w:tc>
          <w:tcPr>
            <w:tcW w:w="10320" w:type="dxa"/>
            <w:vAlign w:val="bottom"/>
            <w:shd w:val="clear" w:color="auto" w:fill="BFE4FF"/>
          </w:tcPr>
          <w:p>
            <w:pPr>
              <w:ind w:left="22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19"/>
        </w:trPr>
        <w:tc>
          <w:tcPr>
            <w:tcW w:w="1060" w:type="dxa"/>
            <w:vAlign w:val="bottom"/>
            <w:tcBorders>
              <w:bottom w:val="single" w:sz="8" w:color="BFE4FF"/>
            </w:tcBorders>
            <w:shd w:val="clear" w:color="auto" w:fill="BFE4FF"/>
          </w:tcPr>
          <w:p>
            <w:pPr>
              <w:spacing w:after="0"/>
              <w:rPr>
                <w:sz w:val="19"/>
                <w:szCs w:val="19"/>
                <w:color w:val="auto"/>
              </w:rPr>
            </w:pPr>
          </w:p>
        </w:tc>
        <w:tc>
          <w:tcPr>
            <w:tcW w:w="1032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August 18, 2016)</w:t>
            </w:r>
          </w:p>
        </w:tc>
      </w:tr>
      <w:tr>
        <w:trPr>
          <w:trHeight w:val="220"/>
        </w:trPr>
        <w:tc>
          <w:tcPr>
            <w:tcW w:w="1060" w:type="dxa"/>
            <w:vAlign w:val="bottom"/>
          </w:tcPr>
          <w:p>
            <w:pPr>
              <w:jc w:val="center"/>
              <w:ind w:left="19"/>
              <w:spacing w:after="0"/>
              <w:rPr>
                <w:sz w:val="20"/>
                <w:szCs w:val="20"/>
                <w:color w:val="auto"/>
              </w:rPr>
            </w:pPr>
            <w:r>
              <w:rPr>
                <w:rFonts w:ascii="Arial" w:cs="Arial" w:eastAsia="Arial" w:hAnsi="Arial"/>
                <w:sz w:val="16"/>
                <w:szCs w:val="16"/>
                <w:color w:val="auto"/>
                <w:w w:val="89"/>
              </w:rPr>
              <w:t>10.17</w:t>
            </w:r>
          </w:p>
        </w:tc>
        <w:tc>
          <w:tcPr>
            <w:tcW w:w="10320" w:type="dxa"/>
            <w:vAlign w:val="bottom"/>
          </w:tcPr>
          <w:p>
            <w:pPr>
              <w:ind w:left="220"/>
              <w:spacing w:after="0"/>
              <w:rPr>
                <w:sz w:val="20"/>
                <w:szCs w:val="20"/>
                <w:color w:val="auto"/>
              </w:rPr>
            </w:pPr>
            <w:r>
              <w:rPr>
                <w:rFonts w:ascii="Arial" w:cs="Arial" w:eastAsia="Arial" w:hAnsi="Arial"/>
                <w:sz w:val="16"/>
                <w:szCs w:val="16"/>
                <w:color w:val="auto"/>
                <w:w w:val="96"/>
              </w:rPr>
              <w:t>Amendment No. 2, dated as of September 22, 2016, to the Loan Agreement dated as of April 29, 2016, by and among Western Digital Corporation,</w:t>
            </w:r>
          </w:p>
        </w:tc>
      </w:tr>
      <w:tr>
        <w:trPr>
          <w:trHeight w:val="203"/>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w w:val="91"/>
              </w:rPr>
              <w:t>JPMorgan Chase Bank, N.A., as administrative agent and collateral agent, the lenders party thereto and the other loan parties thereto (Filed as Exhibit 10.1</w:t>
            </w:r>
          </w:p>
        </w:tc>
      </w:tr>
      <w:tr>
        <w:trPr>
          <w:trHeight w:val="206"/>
        </w:trPr>
        <w:tc>
          <w:tcPr>
            <w:tcW w:w="1060" w:type="dxa"/>
            <w:vAlign w:val="bottom"/>
          </w:tcPr>
          <w:p>
            <w:pPr>
              <w:spacing w:after="0"/>
              <w:rPr>
                <w:sz w:val="17"/>
                <w:szCs w:val="17"/>
                <w:color w:val="auto"/>
              </w:rPr>
            </w:pPr>
          </w:p>
        </w:tc>
        <w:tc>
          <w:tcPr>
            <w:tcW w:w="10320" w:type="dxa"/>
            <w:vAlign w:val="bottom"/>
          </w:tcPr>
          <w:p>
            <w:pPr>
              <w:ind w:left="220"/>
              <w:spacing w:after="0"/>
              <w:rPr>
                <w:sz w:val="20"/>
                <w:szCs w:val="20"/>
                <w:color w:val="auto"/>
              </w:rPr>
            </w:pPr>
            <w:r>
              <w:rPr>
                <w:rFonts w:ascii="Arial" w:cs="Arial" w:eastAsia="Arial" w:hAnsi="Arial"/>
                <w:sz w:val="16"/>
                <w:szCs w:val="16"/>
                <w:color w:val="auto"/>
              </w:rPr>
              <w:t>to the Company’s Current Report on Form 8-K (File No. 1-08703) with the Securities and Exchange Commission on September 22, 2016)</w:t>
            </w:r>
          </w:p>
        </w:tc>
      </w:tr>
      <w:tr>
        <w:trPr>
          <w:trHeight w:val="492"/>
        </w:trPr>
        <w:tc>
          <w:tcPr>
            <w:tcW w:w="1060" w:type="dxa"/>
            <w:vAlign w:val="bottom"/>
          </w:tcPr>
          <w:p>
            <w:pPr>
              <w:spacing w:after="0"/>
              <w:rPr>
                <w:sz w:val="24"/>
                <w:szCs w:val="24"/>
                <w:color w:val="auto"/>
              </w:rPr>
            </w:pPr>
          </w:p>
        </w:tc>
        <w:tc>
          <w:tcPr>
            <w:tcW w:w="10320" w:type="dxa"/>
            <w:vAlign w:val="bottom"/>
          </w:tcPr>
          <w:p>
            <w:pPr>
              <w:ind w:left="4500"/>
              <w:spacing w:after="0"/>
              <w:rPr>
                <w:sz w:val="20"/>
                <w:szCs w:val="20"/>
                <w:color w:val="auto"/>
              </w:rPr>
            </w:pPr>
            <w:r>
              <w:rPr>
                <w:rFonts w:ascii="Arial" w:cs="Arial" w:eastAsia="Arial" w:hAnsi="Arial"/>
                <w:sz w:val="18"/>
                <w:szCs w:val="18"/>
                <w:color w:val="auto"/>
              </w:rPr>
              <w:t>146</w:t>
            </w:r>
          </w:p>
        </w:tc>
      </w:tr>
    </w:tbl>
    <w:p>
      <w:pPr>
        <w:sectPr>
          <w:pgSz w:w="11900" w:h="16838" w:orient="portrait"/>
          <w:cols w:equalWidth="0" w:num="1">
            <w:col w:w="11400"/>
          </w:cols>
          <w:pgMar w:left="240" w:top="125" w:right="259" w:bottom="1440" w:gutter="0" w:footer="0" w:header="0"/>
          <w:type w:val="continuous"/>
        </w:sectPr>
      </w:pPr>
    </w:p>
    <w:bookmarkStart w:id="148" w:name="page149"/>
    <w:bookmarkEnd w:id="1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428625"/>
                    </a:xfrm>
                    <a:prstGeom prst="rect">
                      <a:avLst/>
                    </a:prstGeom>
                    <a:noFill/>
                  </pic:spPr>
                </pic:pic>
              </a:graphicData>
            </a:graphic>
          </wp:anchor>
        </w:drawing>
      </w:r>
    </w:p>
    <w:p>
      <w:pPr>
        <w:spacing w:after="0" w:line="48"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Amendment No. 3, dated as of March 14, 2017, to the Loan Agreement dated as of April 29, 2016, by and among Western Digital Corporation, JPMorgan Chase Bank, N.A., as administrative agent and collateral agent, the lenders party thereto and the other loan parties thereto (Filed as Exhibit 10.1 to the Company’s Current Report on Form 8-K (File No. 1-08703) with the Securities and Exchange Commission on March 14, 2017)</w:t>
      </w:r>
    </w:p>
    <w:p>
      <w:pPr>
        <w:spacing w:after="0" w:line="4"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300" w:type="dxa"/>
            <w:vAlign w:val="bottom"/>
          </w:tcPr>
          <w:p>
            <w:pPr>
              <w:ind w:left="200"/>
              <w:spacing w:after="0"/>
              <w:rPr>
                <w:sz w:val="20"/>
                <w:szCs w:val="20"/>
                <w:color w:val="auto"/>
              </w:rPr>
            </w:pPr>
            <w:r>
              <w:rPr>
                <w:rFonts w:ascii="Arial" w:cs="Arial" w:eastAsia="Arial" w:hAnsi="Arial"/>
                <w:sz w:val="16"/>
                <w:szCs w:val="16"/>
                <w:color w:val="auto"/>
                <w:w w:val="92"/>
              </w:rPr>
              <w:t>Amendment No. 4, dated as of March 23, 2017, to the Loan Agreement dated as of April 29, 2016, by and among Western Digital Corporation, JPMorgan</w:t>
            </w:r>
          </w:p>
        </w:tc>
      </w:tr>
      <w:tr>
        <w:trPr>
          <w:trHeight w:val="203"/>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w w:val="94"/>
              </w:rPr>
              <w:t>Chase Bank, N.A., as administrative agent and collateral agent, the lenders party thereto and the other loan parties thereto (Filed as Exhibit 10.1 to the</w:t>
            </w:r>
          </w:p>
        </w:tc>
      </w:tr>
      <w:tr>
        <w:trPr>
          <w:trHeight w:val="206"/>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rPr>
              <w:t>Company’s Current Report on Form 8-K (File No. 1-08703) with the Securities and Exchange Commission on March 23, 2017)</w:t>
            </w:r>
          </w:p>
        </w:tc>
      </w:tr>
      <w:tr>
        <w:trPr>
          <w:trHeight w:val="33"/>
        </w:trPr>
        <w:tc>
          <w:tcPr>
            <w:tcW w:w="10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20"/>
        </w:trPr>
        <w:tc>
          <w:tcPr>
            <w:tcW w:w="10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10.20</w:t>
            </w: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2"/>
              </w:rPr>
              <w:t>Guaranty Agreement, dated as of April 29, 2016, by and among Western Digital Corporation, the subsidiary guarantors party thereto and JPMorgan Chase</w:t>
            </w:r>
          </w:p>
        </w:tc>
      </w:tr>
      <w:tr>
        <w:trPr>
          <w:trHeight w:val="203"/>
        </w:trPr>
        <w:tc>
          <w:tcPr>
            <w:tcW w:w="1080" w:type="dxa"/>
            <w:vAlign w:val="bottom"/>
            <w:shd w:val="clear" w:color="auto" w:fill="BFE4FF"/>
          </w:tcPr>
          <w:p>
            <w:pPr>
              <w:spacing w:after="0"/>
              <w:rPr>
                <w:sz w:val="17"/>
                <w:szCs w:val="17"/>
                <w:color w:val="auto"/>
              </w:rPr>
            </w:pP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4"/>
              </w:rPr>
              <w:t>Bank, N.A., as administrative agent for the guaranteed creditors (Filed as Exhibit 10.2 to the Company’s Current Report on Form 8-K (File No.1-08703)</w:t>
            </w:r>
          </w:p>
        </w:tc>
      </w:tr>
      <w:tr>
        <w:trPr>
          <w:trHeight w:val="219"/>
        </w:trPr>
        <w:tc>
          <w:tcPr>
            <w:tcW w:w="1080" w:type="dxa"/>
            <w:vAlign w:val="bottom"/>
            <w:tcBorders>
              <w:bottom w:val="single" w:sz="8" w:color="BFE4FF"/>
            </w:tcBorders>
            <w:shd w:val="clear" w:color="auto" w:fill="BFE4FF"/>
          </w:tcPr>
          <w:p>
            <w:pPr>
              <w:spacing w:after="0"/>
              <w:rPr>
                <w:sz w:val="19"/>
                <w:szCs w:val="19"/>
                <w:color w:val="auto"/>
              </w:rPr>
            </w:pP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with the Securities and Exchange Commission on April 29, 2016)</w:t>
            </w:r>
          </w:p>
        </w:tc>
      </w:tr>
      <w:tr>
        <w:trPr>
          <w:trHeight w:val="220"/>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300" w:type="dxa"/>
            <w:vAlign w:val="bottom"/>
          </w:tcPr>
          <w:p>
            <w:pPr>
              <w:ind w:left="200"/>
              <w:spacing w:after="0"/>
              <w:rPr>
                <w:sz w:val="20"/>
                <w:szCs w:val="20"/>
                <w:color w:val="auto"/>
              </w:rPr>
            </w:pPr>
            <w:r>
              <w:rPr>
                <w:rFonts w:ascii="Arial" w:cs="Arial" w:eastAsia="Arial" w:hAnsi="Arial"/>
                <w:sz w:val="16"/>
                <w:szCs w:val="16"/>
                <w:color w:val="auto"/>
                <w:w w:val="92"/>
              </w:rPr>
              <w:t>Security Agreement, dated as of May 12, 2016, by and among Western Digital Corporation, the subsidiary guarantors party thereto and U.S. Bank National</w:t>
            </w:r>
          </w:p>
        </w:tc>
      </w:tr>
      <w:tr>
        <w:trPr>
          <w:trHeight w:val="203"/>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w w:val="95"/>
              </w:rPr>
              <w:t>Association, as trustee and collateral agent (Filed as Exhibit 10.1 to the Company’s Current Report on Form 8-K (File No. 1-08703) with the Securities</w:t>
            </w:r>
          </w:p>
        </w:tc>
      </w:tr>
      <w:tr>
        <w:trPr>
          <w:trHeight w:val="206"/>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rPr>
              <w:t>and Exchange Commission on May 12, 2016)</w:t>
            </w:r>
          </w:p>
        </w:tc>
      </w:tr>
      <w:tr>
        <w:trPr>
          <w:trHeight w:val="33"/>
        </w:trPr>
        <w:tc>
          <w:tcPr>
            <w:tcW w:w="10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20"/>
        </w:trPr>
        <w:tc>
          <w:tcPr>
            <w:tcW w:w="10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10.22</w:t>
            </w: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1"/>
              </w:rPr>
              <w:t>Security Agreement, dated as of May 12, 2016, by and among the debtors (as defined therein) party thereto and JPMorgan Chase Bank, N.A., as collateral</w:t>
            </w:r>
          </w:p>
        </w:tc>
      </w:tr>
      <w:tr>
        <w:trPr>
          <w:trHeight w:val="203"/>
        </w:trPr>
        <w:tc>
          <w:tcPr>
            <w:tcW w:w="1080" w:type="dxa"/>
            <w:vAlign w:val="bottom"/>
            <w:shd w:val="clear" w:color="auto" w:fill="BFE4FF"/>
          </w:tcPr>
          <w:p>
            <w:pPr>
              <w:spacing w:after="0"/>
              <w:rPr>
                <w:sz w:val="17"/>
                <w:szCs w:val="17"/>
                <w:color w:val="auto"/>
              </w:rPr>
            </w:pP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3"/>
              </w:rPr>
              <w:t>agent (Filed as Exhibit 10.2 to the Company’s Current Report on Form 8-K (File No. 1-08703) with the Securities and Exchange Commission on May 12,</w:t>
            </w:r>
          </w:p>
        </w:tc>
      </w:tr>
      <w:tr>
        <w:trPr>
          <w:trHeight w:val="219"/>
        </w:trPr>
        <w:tc>
          <w:tcPr>
            <w:tcW w:w="1080" w:type="dxa"/>
            <w:vAlign w:val="bottom"/>
            <w:tcBorders>
              <w:bottom w:val="single" w:sz="8" w:color="BFE4FF"/>
            </w:tcBorders>
            <w:shd w:val="clear" w:color="auto" w:fill="BFE4FF"/>
          </w:tcPr>
          <w:p>
            <w:pPr>
              <w:spacing w:after="0"/>
              <w:rPr>
                <w:sz w:val="19"/>
                <w:szCs w:val="19"/>
                <w:color w:val="auto"/>
              </w:rPr>
            </w:pP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2016)</w:t>
            </w:r>
          </w:p>
        </w:tc>
      </w:tr>
      <w:tr>
        <w:trPr>
          <w:trHeight w:val="220"/>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10300" w:type="dxa"/>
            <w:vAlign w:val="bottom"/>
          </w:tcPr>
          <w:p>
            <w:pPr>
              <w:ind w:left="200"/>
              <w:spacing w:after="0"/>
              <w:rPr>
                <w:sz w:val="20"/>
                <w:szCs w:val="20"/>
                <w:color w:val="auto"/>
              </w:rPr>
            </w:pPr>
            <w:r>
              <w:rPr>
                <w:rFonts w:ascii="Arial" w:cs="Arial" w:eastAsia="Arial" w:hAnsi="Arial"/>
                <w:sz w:val="16"/>
                <w:szCs w:val="16"/>
                <w:color w:val="auto"/>
                <w:w w:val="95"/>
              </w:rPr>
              <w:t>Assumption and Supplement to Guaranty Agreement, dated as of May 12, 2016, by and among the new guarantor (as defined therein) and JPMorgan</w:t>
            </w:r>
          </w:p>
        </w:tc>
      </w:tr>
      <w:tr>
        <w:trPr>
          <w:trHeight w:val="203"/>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w w:val="93"/>
              </w:rPr>
              <w:t>Chase Bank, N.A. as administrative agent (Filed as Exhibit 10.3 to the Company’s Current Report on Form 8-K (File No. 1-08703) with the Securities and</w:t>
            </w:r>
          </w:p>
        </w:tc>
      </w:tr>
      <w:tr>
        <w:trPr>
          <w:trHeight w:val="206"/>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rPr>
              <w:t>Exchange Commission on May 12, 2016)</w:t>
            </w:r>
          </w:p>
        </w:tc>
      </w:tr>
      <w:tr>
        <w:trPr>
          <w:trHeight w:val="33"/>
        </w:trPr>
        <w:tc>
          <w:tcPr>
            <w:tcW w:w="10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20"/>
        </w:trPr>
        <w:tc>
          <w:tcPr>
            <w:tcW w:w="10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10.24</w:t>
            </w: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6"/>
              </w:rPr>
              <w:t>Flash Alliance Master Agreement, dated as of July 7, 2006, by and among SanDisk Corporation, Toshiba Corporation and SanDisk (Ireland) Limited</w:t>
            </w:r>
          </w:p>
        </w:tc>
      </w:tr>
      <w:tr>
        <w:trPr>
          <w:trHeight w:val="203"/>
        </w:trPr>
        <w:tc>
          <w:tcPr>
            <w:tcW w:w="1080" w:type="dxa"/>
            <w:vAlign w:val="bottom"/>
            <w:shd w:val="clear" w:color="auto" w:fill="BFE4FF"/>
          </w:tcPr>
          <w:p>
            <w:pPr>
              <w:spacing w:after="0"/>
              <w:rPr>
                <w:sz w:val="17"/>
                <w:szCs w:val="17"/>
                <w:color w:val="auto"/>
              </w:rPr>
            </w:pP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4"/>
              </w:rPr>
              <w:t>(Filed as Exhibit 10.1 to SanDisk Corporation’s Quarterly Report on Form 10-Q (File No. 000-26734) with the Securities and Exchange Commission on</w:t>
            </w:r>
          </w:p>
        </w:tc>
      </w:tr>
      <w:tr>
        <w:trPr>
          <w:trHeight w:val="219"/>
        </w:trPr>
        <w:tc>
          <w:tcPr>
            <w:tcW w:w="1080" w:type="dxa"/>
            <w:vAlign w:val="bottom"/>
            <w:tcBorders>
              <w:bottom w:val="single" w:sz="8" w:color="BFE4FF"/>
            </w:tcBorders>
            <w:shd w:val="clear" w:color="auto" w:fill="BFE4FF"/>
          </w:tcPr>
          <w:p>
            <w:pPr>
              <w:spacing w:after="0"/>
              <w:rPr>
                <w:sz w:val="19"/>
                <w:szCs w:val="19"/>
                <w:color w:val="auto"/>
              </w:rPr>
            </w:pP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November 8, 2006)#</w:t>
            </w:r>
          </w:p>
        </w:tc>
      </w:tr>
      <w:tr>
        <w:trPr>
          <w:trHeight w:val="220"/>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10.257</w:t>
            </w:r>
          </w:p>
        </w:tc>
        <w:tc>
          <w:tcPr>
            <w:tcW w:w="10300" w:type="dxa"/>
            <w:vAlign w:val="bottom"/>
          </w:tcPr>
          <w:p>
            <w:pPr>
              <w:ind w:left="200"/>
              <w:spacing w:after="0"/>
              <w:rPr>
                <w:sz w:val="20"/>
                <w:szCs w:val="20"/>
                <w:color w:val="auto"/>
              </w:rPr>
            </w:pPr>
            <w:r>
              <w:rPr>
                <w:rFonts w:ascii="Arial" w:cs="Arial" w:eastAsia="Arial" w:hAnsi="Arial"/>
                <w:sz w:val="16"/>
                <w:szCs w:val="16"/>
                <w:color w:val="auto"/>
                <w:w w:val="96"/>
              </w:rPr>
              <w:t>Operating Agreement of Flash Alliance, Ltd., dated as of July 7, 2006, by and between Toshiba Corporation and SanDisk (Ireland) Limited (Filed as</w:t>
            </w:r>
          </w:p>
        </w:tc>
      </w:tr>
      <w:tr>
        <w:trPr>
          <w:trHeight w:val="203"/>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w w:val="93"/>
              </w:rPr>
              <w:t>Exhibit 10.2 to SanDisk Corporation’s Quarterly Report on Form 10-Q (File No. 000-26734) with the Securities and Exchange Commission on November</w:t>
            </w:r>
          </w:p>
        </w:tc>
      </w:tr>
      <w:tr>
        <w:trPr>
          <w:trHeight w:val="206"/>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rPr>
              <w:t>8, 2006)#</w:t>
            </w:r>
          </w:p>
        </w:tc>
      </w:tr>
      <w:tr>
        <w:trPr>
          <w:trHeight w:val="33"/>
        </w:trPr>
        <w:tc>
          <w:tcPr>
            <w:tcW w:w="10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20"/>
        </w:trPr>
        <w:tc>
          <w:tcPr>
            <w:tcW w:w="1080" w:type="dxa"/>
            <w:vAlign w:val="bottom"/>
            <w:shd w:val="clear" w:color="auto" w:fill="BFE4FF"/>
          </w:tcPr>
          <w:p>
            <w:pPr>
              <w:jc w:val="center"/>
              <w:spacing w:after="0"/>
              <w:rPr>
                <w:sz w:val="20"/>
                <w:szCs w:val="20"/>
                <w:color w:val="auto"/>
              </w:rPr>
            </w:pPr>
            <w:r>
              <w:rPr>
                <w:rFonts w:ascii="Arial" w:cs="Arial" w:eastAsia="Arial" w:hAnsi="Arial"/>
                <w:sz w:val="16"/>
                <w:szCs w:val="16"/>
                <w:color w:val="auto"/>
                <w:w w:val="89"/>
              </w:rPr>
              <w:t>10.26</w:t>
            </w: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3"/>
              </w:rPr>
              <w:t>Joint Venture Restructure Agreement, dated as of January 29, 2009, by and among SanDisk Corporation, SanDisk (Ireland) Limited, SanDisk (Cayman)</w:t>
            </w:r>
          </w:p>
        </w:tc>
      </w:tr>
      <w:tr>
        <w:trPr>
          <w:trHeight w:val="203"/>
        </w:trPr>
        <w:tc>
          <w:tcPr>
            <w:tcW w:w="1080" w:type="dxa"/>
            <w:vAlign w:val="bottom"/>
            <w:shd w:val="clear" w:color="auto" w:fill="BFE4FF"/>
          </w:tcPr>
          <w:p>
            <w:pPr>
              <w:spacing w:after="0"/>
              <w:rPr>
                <w:sz w:val="17"/>
                <w:szCs w:val="17"/>
                <w:color w:val="auto"/>
              </w:rPr>
            </w:pPr>
          </w:p>
        </w:tc>
        <w:tc>
          <w:tcPr>
            <w:tcW w:w="10300" w:type="dxa"/>
            <w:vAlign w:val="bottom"/>
            <w:shd w:val="clear" w:color="auto" w:fill="BFE4FF"/>
          </w:tcPr>
          <w:p>
            <w:pPr>
              <w:ind w:left="200"/>
              <w:spacing w:after="0"/>
              <w:rPr>
                <w:sz w:val="20"/>
                <w:szCs w:val="20"/>
                <w:color w:val="auto"/>
              </w:rPr>
            </w:pPr>
            <w:r>
              <w:rPr>
                <w:rFonts w:ascii="Arial" w:cs="Arial" w:eastAsia="Arial" w:hAnsi="Arial"/>
                <w:sz w:val="16"/>
                <w:szCs w:val="16"/>
                <w:color w:val="auto"/>
                <w:w w:val="96"/>
              </w:rPr>
              <w:t>Limited, Toshiba Corporation, Flash Partners Limited and Flash Alliance Limited (Filed as Exhibit 10.1 to SanDisk Corporation’s Quarterly Report on</w:t>
            </w:r>
          </w:p>
        </w:tc>
      </w:tr>
      <w:tr>
        <w:trPr>
          <w:trHeight w:val="219"/>
        </w:trPr>
        <w:tc>
          <w:tcPr>
            <w:tcW w:w="1080" w:type="dxa"/>
            <w:vAlign w:val="bottom"/>
            <w:tcBorders>
              <w:bottom w:val="single" w:sz="8" w:color="BFE4FF"/>
            </w:tcBorders>
            <w:shd w:val="clear" w:color="auto" w:fill="BFE4FF"/>
          </w:tcPr>
          <w:p>
            <w:pPr>
              <w:spacing w:after="0"/>
              <w:rPr>
                <w:sz w:val="19"/>
                <w:szCs w:val="19"/>
                <w:color w:val="auto"/>
              </w:rPr>
            </w:pP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Form 10-Q (File No. 000-26734) with the Securities and Exchange Commission on May 7, 2009)#</w:t>
            </w:r>
          </w:p>
        </w:tc>
      </w:tr>
      <w:tr>
        <w:trPr>
          <w:trHeight w:val="220"/>
        </w:trPr>
        <w:tc>
          <w:tcPr>
            <w:tcW w:w="108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10300" w:type="dxa"/>
            <w:vAlign w:val="bottom"/>
          </w:tcPr>
          <w:p>
            <w:pPr>
              <w:ind w:left="200"/>
              <w:spacing w:after="0"/>
              <w:rPr>
                <w:sz w:val="20"/>
                <w:szCs w:val="20"/>
                <w:color w:val="auto"/>
              </w:rPr>
            </w:pPr>
            <w:r>
              <w:rPr>
                <w:rFonts w:ascii="Arial" w:cs="Arial" w:eastAsia="Arial" w:hAnsi="Arial"/>
                <w:sz w:val="16"/>
                <w:szCs w:val="16"/>
                <w:color w:val="auto"/>
                <w:w w:val="98"/>
              </w:rPr>
              <w:t>New Y2 Facility Agreement, dated October 20, 2015, by and among SanDisk Corporation, SanDisk (Ireland) Limited, SanDisk (Cayman) Limited,</w:t>
            </w:r>
          </w:p>
        </w:tc>
      </w:tr>
      <w:tr>
        <w:trPr>
          <w:trHeight w:val="203"/>
        </w:trPr>
        <w:tc>
          <w:tcPr>
            <w:tcW w:w="1080" w:type="dxa"/>
            <w:vAlign w:val="bottom"/>
          </w:tcPr>
          <w:p>
            <w:pPr>
              <w:spacing w:after="0"/>
              <w:rPr>
                <w:sz w:val="17"/>
                <w:szCs w:val="17"/>
                <w:color w:val="auto"/>
              </w:rPr>
            </w:pPr>
          </w:p>
        </w:tc>
        <w:tc>
          <w:tcPr>
            <w:tcW w:w="10300" w:type="dxa"/>
            <w:vAlign w:val="bottom"/>
          </w:tcPr>
          <w:p>
            <w:pPr>
              <w:ind w:left="200"/>
              <w:spacing w:after="0"/>
              <w:rPr>
                <w:sz w:val="20"/>
                <w:szCs w:val="20"/>
                <w:color w:val="auto"/>
              </w:rPr>
            </w:pPr>
            <w:r>
              <w:rPr>
                <w:rFonts w:ascii="Arial" w:cs="Arial" w:eastAsia="Arial" w:hAnsi="Arial"/>
                <w:sz w:val="16"/>
                <w:szCs w:val="16"/>
                <w:color w:val="auto"/>
                <w:w w:val="94"/>
              </w:rPr>
              <w:t>SanDisk Flash B.V., Toshiba Corporation, Flash Partners Limited, Flash Alliance Limited and Flash Forward Limited (Filed as Exhibit 10.37 to SanDisk</w:t>
            </w:r>
          </w:p>
        </w:tc>
      </w:tr>
      <w:tr>
        <w:trPr>
          <w:trHeight w:val="206"/>
        </w:trPr>
        <w:tc>
          <w:tcPr>
            <w:tcW w:w="1080" w:type="dxa"/>
            <w:vAlign w:val="bottom"/>
          </w:tcPr>
          <w:p>
            <w:pPr>
              <w:spacing w:after="0"/>
              <w:rPr>
                <w:sz w:val="17"/>
                <w:szCs w:val="17"/>
                <w:color w:val="auto"/>
              </w:rPr>
            </w:pPr>
          </w:p>
        </w:tc>
        <w:tc>
          <w:tcPr>
            <w:tcW w:w="10300" w:type="dxa"/>
            <w:vAlign w:val="bottom"/>
          </w:tcPr>
          <w:p>
            <w:pPr>
              <w:ind w:left="200"/>
              <w:spacing w:after="0" w:line="184" w:lineRule="exact"/>
              <w:rPr>
                <w:sz w:val="20"/>
                <w:szCs w:val="20"/>
                <w:color w:val="auto"/>
              </w:rPr>
            </w:pPr>
            <w:r>
              <w:rPr>
                <w:rFonts w:ascii="Arial" w:cs="Arial" w:eastAsia="Arial" w:hAnsi="Arial"/>
                <w:sz w:val="16"/>
                <w:szCs w:val="16"/>
                <w:color w:val="auto"/>
              </w:rPr>
              <w:t>Corporation’s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 No. 000-26734) with the Securities and Exchange Commission on February 12, 2016)#</w:t>
            </w:r>
          </w:p>
        </w:tc>
      </w:tr>
      <w:tr>
        <w:trPr>
          <w:trHeight w:val="33"/>
        </w:trPr>
        <w:tc>
          <w:tcPr>
            <w:tcW w:w="1080" w:type="dxa"/>
            <w:vAlign w:val="bottom"/>
          </w:tcPr>
          <w:p>
            <w:pPr>
              <w:spacing w:after="0"/>
              <w:rPr>
                <w:sz w:val="2"/>
                <w:szCs w:val="2"/>
                <w:color w:val="auto"/>
              </w:rPr>
            </w:pPr>
          </w:p>
        </w:tc>
        <w:tc>
          <w:tcPr>
            <w:tcW w:w="10300" w:type="dxa"/>
            <w:vAlign w:val="bottom"/>
          </w:tcPr>
          <w:p>
            <w:pPr>
              <w:spacing w:after="0"/>
              <w:rPr>
                <w:sz w:val="2"/>
                <w:szCs w:val="2"/>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12.1</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Statement of Computation of Ratio of Earnings to Fixed Charges†</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300" w:type="dxa"/>
            <w:vAlign w:val="bottom"/>
          </w:tcPr>
          <w:p>
            <w:pPr>
              <w:ind w:left="20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47"/>
        </w:trPr>
        <w:tc>
          <w:tcPr>
            <w:tcW w:w="10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31.1</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300" w:type="dxa"/>
            <w:vAlign w:val="bottom"/>
          </w:tcPr>
          <w:p>
            <w:pPr>
              <w:ind w:left="200"/>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tc>
      </w:tr>
      <w:tr>
        <w:trPr>
          <w:trHeight w:val="47"/>
        </w:trPr>
        <w:tc>
          <w:tcPr>
            <w:tcW w:w="10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32.1</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w w:val="95"/>
              </w:rPr>
              <w:t>Certification of Chief Executive Officer Pursuant to 18 U.S.C. Section 1350, as adopted pursuant to Section 906 of the Sarbanes-Oxley Act of 2002**</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10300" w:type="dxa"/>
            <w:vAlign w:val="bottom"/>
          </w:tcPr>
          <w:p>
            <w:pPr>
              <w:ind w:left="200"/>
              <w:spacing w:after="0"/>
              <w:rPr>
                <w:sz w:val="20"/>
                <w:szCs w:val="20"/>
                <w:color w:val="auto"/>
              </w:rPr>
            </w:pPr>
            <w:r>
              <w:rPr>
                <w:rFonts w:ascii="Arial" w:cs="Arial" w:eastAsia="Arial" w:hAnsi="Arial"/>
                <w:sz w:val="16"/>
                <w:szCs w:val="16"/>
                <w:color w:val="auto"/>
                <w:w w:val="96"/>
              </w:rPr>
              <w:t>Certification of Chief Financial Officer Pursuant to 18 U.S.C. Section 1350, as adopted pursuant to Section 906 of the Sarbanes-Oxley Act of 2002**</w:t>
            </w:r>
          </w:p>
        </w:tc>
      </w:tr>
      <w:tr>
        <w:trPr>
          <w:trHeight w:val="47"/>
        </w:trPr>
        <w:tc>
          <w:tcPr>
            <w:tcW w:w="10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3"/>
              </w:rPr>
              <w:t>101.INS</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XBRL Instance Document†</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1030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47"/>
        </w:trPr>
        <w:tc>
          <w:tcPr>
            <w:tcW w:w="10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6"/>
              </w:rPr>
              <w:t>101.CAL</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7"/>
              </w:rPr>
              <w:t>101.LAB</w:t>
            </w:r>
          </w:p>
        </w:tc>
        <w:tc>
          <w:tcPr>
            <w:tcW w:w="1030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47"/>
        </w:trPr>
        <w:tc>
          <w:tcPr>
            <w:tcW w:w="1080" w:type="dxa"/>
            <w:vAlign w:val="bottom"/>
          </w:tcPr>
          <w:p>
            <w:pPr>
              <w:spacing w:after="0"/>
              <w:rPr>
                <w:sz w:val="4"/>
                <w:szCs w:val="4"/>
                <w:color w:val="auto"/>
              </w:rPr>
            </w:pPr>
          </w:p>
        </w:tc>
        <w:tc>
          <w:tcPr>
            <w:tcW w:w="10300" w:type="dxa"/>
            <w:vAlign w:val="bottom"/>
          </w:tcPr>
          <w:p>
            <w:pPr>
              <w:spacing w:after="0"/>
              <w:rPr>
                <w:sz w:val="4"/>
                <w:szCs w:val="4"/>
                <w:color w:val="auto"/>
              </w:rPr>
            </w:pPr>
          </w:p>
        </w:tc>
      </w:tr>
      <w:tr>
        <w:trPr>
          <w:trHeight w:val="250"/>
        </w:trPr>
        <w:tc>
          <w:tcPr>
            <w:tcW w:w="10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90"/>
              </w:rPr>
              <w:t>101.PRE</w:t>
            </w:r>
          </w:p>
        </w:tc>
        <w:tc>
          <w:tcPr>
            <w:tcW w:w="1030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24"/>
        </w:trPr>
        <w:tc>
          <w:tcPr>
            <w:tcW w:w="1080" w:type="dxa"/>
            <w:vAlign w:val="bottom"/>
          </w:tcPr>
          <w:p>
            <w:pPr>
              <w:jc w:val="center"/>
              <w:spacing w:after="0"/>
              <w:rPr>
                <w:sz w:val="20"/>
                <w:szCs w:val="20"/>
                <w:color w:val="auto"/>
              </w:rPr>
            </w:pPr>
            <w:r>
              <w:rPr>
                <w:rFonts w:ascii="Arial" w:cs="Arial" w:eastAsia="Arial" w:hAnsi="Arial"/>
                <w:sz w:val="16"/>
                <w:szCs w:val="16"/>
                <w:color w:val="auto"/>
                <w:w w:val="94"/>
              </w:rPr>
              <w:t>101.DEF</w:t>
            </w:r>
          </w:p>
        </w:tc>
        <w:tc>
          <w:tcPr>
            <w:tcW w:w="1030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020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8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80" w:hanging="332"/>
        <w:spacing w:after="0" w:line="250"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ind w:left="340" w:right="14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supplementally copies of any of the omitted schedules upon request by the Securities and Exchange Commission.</w:t>
      </w:r>
    </w:p>
    <w:p>
      <w:pPr>
        <w:spacing w:after="0" w:line="1" w:lineRule="exact"/>
        <w:rPr>
          <w:sz w:val="20"/>
          <w:szCs w:val="20"/>
          <w:color w:val="auto"/>
        </w:rPr>
      </w:pPr>
    </w:p>
    <w:p>
      <w:pPr>
        <w:ind w:left="340" w:right="360" w:hanging="332"/>
        <w:spacing w:after="0" w:line="323"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a request for confidential treatment, certain portions of this exhibit have been redacted from the publicly filed document and have been furnished separately to the Securities and Exchange Commission as required by Rule 24b-2 under the Securities Exchange Act of 1934, as amended.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125" w:right="25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10.4</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August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2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2016 Annual Meeting of Stockholders (the “Named Executive Officers”)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vMerge w:val="restart"/>
          </w:tcPr>
          <w:p>
            <w:pPr>
              <w:spacing w:after="0"/>
              <w:rPr>
                <w:sz w:val="14"/>
                <w:szCs w:val="14"/>
                <w:color w:val="auto"/>
              </w:rPr>
            </w:pPr>
          </w:p>
        </w:tc>
        <w:tc>
          <w:tcPr>
            <w:tcW w:w="6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6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Stephen D. Milligan</w:t>
            </w: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D. Cordano</w:t>
            </w: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P. Long</w:t>
            </w: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WD Capital, Chief Strategy Officer and Chief Financial Officer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Ray</w:t>
            </w: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Legal Officer and Secretary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Semi-Annual Bonuses</w:t>
      </w:r>
      <w:r>
        <w:rPr>
          <w:rFonts w:ascii="Arial" w:cs="Arial" w:eastAsia="Arial" w:hAnsi="Arial"/>
          <w:sz w:val="17"/>
          <w:szCs w:val="17"/>
          <w:color w:val="auto"/>
        </w:rPr>
        <w:t>. Under the Company’s Amended and Restated 2004 Performance Incentive Plan, the Named Executive Officers are also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cash bonus awards pursuant to the short-term incentive program (“STI”) under the Company’s Incentive Compensation Plan. The cash bonus awards are determined based on the Company’s achievement of performance goals pre-established by the Compensation Committee (the “Committee”) of the Company’s Board of Directors (for fiscal 2017, pre-established adjusted earnings per share goals) as well as other factors.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Additional Compensation</w:t>
      </w:r>
      <w:r>
        <w:rPr>
          <w:rFonts w:ascii="Arial" w:cs="Arial" w:eastAsia="Arial" w:hAnsi="Arial"/>
          <w:sz w:val="18"/>
          <w:szCs w:val="18"/>
          <w:color w:val="auto"/>
        </w:rPr>
        <w:t>. The Named Executive Officers are also eligible to receive equity-based incentives as determined by the Committee,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various Company plans, and for Mr. Milligan, subject to an employment agreement, in each case as set forth in exhibits to the Company’s filings with the Securities and Exchange Commission. In addition, the Named Executive Officers may be eligible to receive perquisites and other personal benefits as disclosed in the Company’s Proxy Statement filed with the Securities and Exchange Commission in connection with the Company’s 2016 Annual Meeting of Stockholders.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Fee</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Current Annual</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Retainer Fees</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Annual Retainer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Additional Non-Executive Chairman of Board Retainer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Committee Retainers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Audit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Compensation Committee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Committee Chairman Retainers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Audit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Compensation Committee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260"/>
              <w:spacing w:after="0"/>
              <w:rPr>
                <w:sz w:val="20"/>
                <w:szCs w:val="20"/>
                <w:color w:val="auto"/>
              </w:rPr>
            </w:pPr>
            <w:r>
              <w:rPr>
                <w:rFonts w:ascii="Arial" w:cs="Arial" w:eastAsia="Arial" w:hAnsi="Arial"/>
                <w:sz w:val="18"/>
                <w:szCs w:val="18"/>
                <w:color w:val="auto"/>
              </w:rPr>
              <w:t>Governance Committee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1440" w:gutter="0" w:footer="0" w:header="0"/>
        </w:sectPr>
      </w:pPr>
    </w:p>
    <w:bookmarkStart w:id="150" w:name="page151"/>
    <w:bookmarkEnd w:id="150"/>
    <w:p>
      <w:pPr>
        <w:ind w:right="20" w:firstLine="432"/>
        <w:spacing w:after="0" w:line="259" w:lineRule="auto"/>
        <w:rPr>
          <w:sz w:val="20"/>
          <w:szCs w:val="20"/>
          <w:color w:val="auto"/>
        </w:rPr>
      </w:pPr>
      <w:r>
        <w:rPr>
          <w:rFonts w:ascii="Arial" w:cs="Arial" w:eastAsia="Arial" w:hAnsi="Arial"/>
          <w:sz w:val="18"/>
          <w:szCs w:val="18"/>
          <w:color w:val="auto"/>
        </w:rPr>
        <w:t>The annual retainer fees are paid immediately following the Annual Meeting of Stockholders. Non-employee directors do not receive a separate fee for each Board of Directors or committee meeting they attend. However, the Company reimburses all non-employee directors for reasonable out-of-pocket expenses incurred to attend each Board of Directors or committee meeting. Mr. Milligan, who is an employee of the Company, does not receive any compensation for his service on the Board or any Board committee.</w:t>
      </w:r>
    </w:p>
    <w:p>
      <w:pPr>
        <w:spacing w:after="0" w:line="18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Additional Director Compensation</w:t>
      </w:r>
      <w:r>
        <w:rPr>
          <w:rFonts w:ascii="Arial" w:cs="Arial" w:eastAsia="Arial" w:hAnsi="Arial"/>
          <w:sz w:val="17"/>
          <w:szCs w:val="17"/>
          <w:color w:val="auto"/>
        </w:rPr>
        <w:t>. The Company’s non-employee directors are also entitled to participate in the following other Company plans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exhibits to the Company’s filings with the Securities and Exchange Commission: Non-Employee Director Restricted Stock Unit Grant Program, as adopted under the Company’s Amended and Restated 2004 Performance Incentive Plan; and Deferred Compensation Plan.</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fiscal 2017, the Non-Employee Director Restricted Stock Unit Grant Program provided that each of the Company’s non-employee directors automatically receive, immediately following each annual meeting of stockholders if he or she has been reelected as a director at that annual meeting, an award of restricted stock units equal in value to $225,000 (or, in the case of our non-employee director serving as Chairman of the Board, $275,000, or Lead Independent Director, $255,000), based on the closing market value of an equivalent number of shares of our common stock on the grant date, rounded down to the nearest whole share. Each award of restricted stock units represents the right to receive an equivalent number of shares of our common stock on the applicable vesting date.</w:t>
      </w:r>
    </w:p>
    <w:p>
      <w:pPr>
        <w:sectPr>
          <w:pgSz w:w="11900" w:h="16838" w:orient="portrait"/>
          <w:cols w:equalWidth="0" w:num="1">
            <w:col w:w="11340"/>
          </w:cols>
          <w:pgMar w:left="240" w:top="584" w:right="319" w:bottom="1440" w:gutter="0" w:footer="0" w:header="0"/>
        </w:sectPr>
      </w:pPr>
    </w:p>
    <w:bookmarkStart w:id="151" w:name="page152"/>
    <w:bookmarkEnd w:id="151"/>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223"/>
        </w:trPr>
        <w:tc>
          <w:tcPr>
            <w:tcW w:w="16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r>
      <w:tr>
        <w:trPr>
          <w:trHeight w:val="229"/>
        </w:trPr>
        <w:tc>
          <w:tcPr>
            <w:tcW w:w="4640" w:type="dxa"/>
            <w:vAlign w:val="bottom"/>
            <w:gridSpan w:val="2"/>
          </w:tcPr>
          <w:p>
            <w:pPr>
              <w:ind w:left="280"/>
              <w:spacing w:after="0"/>
              <w:rPr>
                <w:sz w:val="20"/>
                <w:szCs w:val="20"/>
                <w:color w:val="auto"/>
              </w:rPr>
            </w:pPr>
            <w:r>
              <w:rPr>
                <w:rFonts w:ascii="Arial" w:cs="Arial" w:eastAsia="Arial" w:hAnsi="Arial"/>
                <w:sz w:val="18"/>
                <w:szCs w:val="18"/>
                <w:color w:val="auto"/>
                <w:w w:val="98"/>
              </w:rPr>
              <w:t>Undistributed equity in income from 50%-or-less-owned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6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r>
      <w:tr>
        <w:trPr>
          <w:trHeight w:val="237"/>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r>
      <w:tr>
        <w:trPr>
          <w:trHeight w:val="229"/>
        </w:trPr>
        <w:tc>
          <w:tcPr>
            <w:tcW w:w="4640" w:type="dxa"/>
            <w:vAlign w:val="bottom"/>
            <w:gridSpan w:val="2"/>
          </w:tcPr>
          <w:p>
            <w:pPr>
              <w:ind w:left="280"/>
              <w:spacing w:after="0"/>
              <w:rPr>
                <w:sz w:val="20"/>
                <w:szCs w:val="20"/>
                <w:color w:val="auto"/>
              </w:rPr>
            </w:pPr>
            <w:r>
              <w:rPr>
                <w:rFonts w:ascii="Arial" w:cs="Arial" w:eastAsia="Arial" w:hAnsi="Arial"/>
                <w:sz w:val="18"/>
                <w:szCs w:val="18"/>
                <w:color w:val="auto"/>
                <w:w w:val="94"/>
              </w:rPr>
              <w:t>Interest relating to lease guarantee of 50%-or-less-owned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7"/>
        </w:trPr>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w w:val="96"/>
              </w:rPr>
              <w:t xml:space="preserve">Estimated interest portion of operating lease expense </w:t>
            </w:r>
            <w:r>
              <w:rPr>
                <w:rFonts w:ascii="Arial" w:cs="Arial" w:eastAsia="Arial" w:hAnsi="Arial"/>
                <w:sz w:val="25"/>
                <w:szCs w:val="25"/>
                <w:color w:val="auto"/>
                <w:w w:val="96"/>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r>
      <w:tr>
        <w:trPr>
          <w:trHeight w:val="237"/>
        </w:trPr>
        <w:tc>
          <w:tcPr>
            <w:tcW w:w="464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r>
      <w:tr>
        <w:trPr>
          <w:trHeight w:val="27"/>
        </w:trPr>
        <w:tc>
          <w:tcPr>
            <w:tcW w:w="16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17.3x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23.9x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1.9x</w:t>
            </w:r>
          </w:p>
        </w:tc>
      </w:tr>
      <w:tr>
        <w:trPr>
          <w:trHeight w:val="135"/>
        </w:trPr>
        <w:tc>
          <w:tcPr>
            <w:tcW w:w="162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WESTERN DIGITAL COPORATION</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5740" w:type="dxa"/>
            <w:vAlign w:val="bottom"/>
          </w:tcPr>
          <w:p>
            <w:pPr>
              <w:ind w:left="258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Name of Entity</w:t>
            </w:r>
          </w:p>
        </w:tc>
        <w:tc>
          <w:tcPr>
            <w:tcW w:w="5740" w:type="dxa"/>
            <w:vAlign w:val="bottom"/>
          </w:tcPr>
          <w:p>
            <w:pPr>
              <w:ind w:left="258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66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Amplidata N.V.</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Belgium</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Amplidata, Inc.</w:t>
            </w:r>
          </w:p>
        </w:tc>
        <w:tc>
          <w:tcPr>
            <w:tcW w:w="57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EasyStore Memory Limited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Ireland</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Fabrik, LLC</w:t>
            </w:r>
          </w:p>
        </w:tc>
        <w:tc>
          <w:tcPr>
            <w:tcW w:w="57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 Multisystems Ltd.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Canada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Fusion-io (Beijing) Info Tech Co., Ltd</w:t>
            </w:r>
          </w:p>
        </w:tc>
        <w:tc>
          <w:tcPr>
            <w:tcW w:w="5740" w:type="dxa"/>
            <w:vAlign w:val="bottom"/>
          </w:tcPr>
          <w:p>
            <w:pPr>
              <w:ind w:left="2580"/>
              <w:spacing w:after="0"/>
              <w:rPr>
                <w:sz w:val="20"/>
                <w:szCs w:val="20"/>
                <w:color w:val="auto"/>
              </w:rPr>
            </w:pPr>
            <w:r>
              <w:rPr>
                <w:rFonts w:ascii="Arial" w:cs="Arial" w:eastAsia="Arial" w:hAnsi="Arial"/>
                <w:sz w:val="18"/>
                <w:szCs w:val="18"/>
                <w:color w:val="auto"/>
              </w:rPr>
              <w:t>China</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GmbH</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Germany</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Fusion-io Holdings S.A.R.L.</w:t>
            </w:r>
          </w:p>
        </w:tc>
        <w:tc>
          <w:tcPr>
            <w:tcW w:w="5740" w:type="dxa"/>
            <w:vAlign w:val="bottom"/>
          </w:tcPr>
          <w:p>
            <w:pPr>
              <w:ind w:left="2580"/>
              <w:spacing w:after="0"/>
              <w:rPr>
                <w:sz w:val="20"/>
                <w:szCs w:val="20"/>
                <w:color w:val="auto"/>
              </w:rPr>
            </w:pPr>
            <w:r>
              <w:rPr>
                <w:rFonts w:ascii="Arial" w:cs="Arial" w:eastAsia="Arial" w:hAnsi="Arial"/>
                <w:sz w:val="18"/>
                <w:szCs w:val="18"/>
                <w:color w:val="auto"/>
              </w:rPr>
              <w:t>Luxembourg</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Limited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Hong Kong</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Fusion-io Poland SP.Z.O.O.</w:t>
            </w:r>
          </w:p>
        </w:tc>
        <w:tc>
          <w:tcPr>
            <w:tcW w:w="5740" w:type="dxa"/>
            <w:vAlign w:val="bottom"/>
          </w:tcPr>
          <w:p>
            <w:pPr>
              <w:ind w:left="2580"/>
              <w:spacing w:after="0"/>
              <w:rPr>
                <w:sz w:val="20"/>
                <w:szCs w:val="20"/>
                <w:color w:val="auto"/>
              </w:rPr>
            </w:pPr>
            <w:r>
              <w:rPr>
                <w:rFonts w:ascii="Arial" w:cs="Arial" w:eastAsia="Arial" w:hAnsi="Arial"/>
                <w:sz w:val="18"/>
                <w:szCs w:val="18"/>
                <w:color w:val="auto"/>
              </w:rPr>
              <w:t>Poland</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Fusion-io Singapore Private Ltd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Singapore</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Fusion-io LLC</w:t>
            </w:r>
          </w:p>
        </w:tc>
        <w:tc>
          <w:tcPr>
            <w:tcW w:w="57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G-Tech LLC</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California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HGSP (Shenzhen) Co., Ltd.</w:t>
            </w:r>
          </w:p>
        </w:tc>
        <w:tc>
          <w:tcPr>
            <w:tcW w:w="5740" w:type="dxa"/>
            <w:vAlign w:val="bottom"/>
          </w:tcPr>
          <w:p>
            <w:pPr>
              <w:ind w:left="2580"/>
              <w:spacing w:after="0"/>
              <w:rPr>
                <w:sz w:val="20"/>
                <w:szCs w:val="20"/>
                <w:color w:val="auto"/>
              </w:rPr>
            </w:pPr>
            <w:r>
              <w:rPr>
                <w:rFonts w:ascii="Arial" w:cs="Arial" w:eastAsia="Arial" w:hAnsi="Arial"/>
                <w:sz w:val="18"/>
                <w:szCs w:val="18"/>
                <w:color w:val="auto"/>
              </w:rPr>
              <w:t>China</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(Shenzhen) Co., Ltd.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China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(Thailand) Ltd.</w:t>
            </w:r>
          </w:p>
        </w:tc>
        <w:tc>
          <w:tcPr>
            <w:tcW w:w="5740" w:type="dxa"/>
            <w:vAlign w:val="bottom"/>
          </w:tcPr>
          <w:p>
            <w:pPr>
              <w:ind w:left="2580"/>
              <w:spacing w:after="0"/>
              <w:rPr>
                <w:sz w:val="20"/>
                <w:szCs w:val="20"/>
                <w:color w:val="auto"/>
              </w:rPr>
            </w:pPr>
            <w:r>
              <w:rPr>
                <w:rFonts w:ascii="Arial" w:cs="Arial" w:eastAsia="Arial" w:hAnsi="Arial"/>
                <w:sz w:val="18"/>
                <w:szCs w:val="18"/>
                <w:color w:val="auto"/>
              </w:rPr>
              <w:t>Thailand</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Asia Pte. Ltd.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Singapore</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Consulting (Shanghai) Co., Ltd.</w:t>
            </w:r>
          </w:p>
        </w:tc>
        <w:tc>
          <w:tcPr>
            <w:tcW w:w="5740" w:type="dxa"/>
            <w:vAlign w:val="bottom"/>
          </w:tcPr>
          <w:p>
            <w:pPr>
              <w:ind w:left="2580"/>
              <w:spacing w:after="0"/>
              <w:rPr>
                <w:sz w:val="20"/>
                <w:szCs w:val="20"/>
                <w:color w:val="auto"/>
              </w:rPr>
            </w:pPr>
            <w:r>
              <w:rPr>
                <w:rFonts w:ascii="Arial" w:cs="Arial" w:eastAsia="Arial" w:hAnsi="Arial"/>
                <w:sz w:val="18"/>
                <w:szCs w:val="18"/>
                <w:color w:val="auto"/>
              </w:rPr>
              <w:t>China</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Europe, Ltd.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United Kingdom</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Japan, Ltd.</w:t>
            </w:r>
          </w:p>
        </w:tc>
        <w:tc>
          <w:tcPr>
            <w:tcW w:w="5740" w:type="dxa"/>
            <w:vAlign w:val="bottom"/>
          </w:tcPr>
          <w:p>
            <w:pPr>
              <w:ind w:left="2580"/>
              <w:spacing w:after="0"/>
              <w:rPr>
                <w:sz w:val="20"/>
                <w:szCs w:val="20"/>
                <w:color w:val="auto"/>
              </w:rPr>
            </w:pPr>
            <w:r>
              <w:rPr>
                <w:rFonts w:ascii="Arial" w:cs="Arial" w:eastAsia="Arial" w:hAnsi="Arial"/>
                <w:sz w:val="18"/>
                <w:szCs w:val="18"/>
                <w:color w:val="auto"/>
              </w:rPr>
              <w:t>Japan</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Malaysia Sdn. Bhd.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Malaysia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Netherlands B.V.</w:t>
            </w:r>
          </w:p>
        </w:tc>
        <w:tc>
          <w:tcPr>
            <w:tcW w:w="5740" w:type="dxa"/>
            <w:vAlign w:val="bottom"/>
          </w:tcPr>
          <w:p>
            <w:pPr>
              <w:ind w:left="2580"/>
              <w:spacing w:after="0"/>
              <w:rPr>
                <w:sz w:val="20"/>
                <w:szCs w:val="20"/>
                <w:color w:val="auto"/>
              </w:rPr>
            </w:pPr>
            <w:r>
              <w:rPr>
                <w:rFonts w:ascii="Arial" w:cs="Arial" w:eastAsia="Arial" w:hAnsi="Arial"/>
                <w:sz w:val="18"/>
                <w:szCs w:val="18"/>
                <w:color w:val="auto"/>
              </w:rPr>
              <w:t>Netherlands</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Philippines Corp.</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Philippines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Singapore Pte. Ltd.</w:t>
            </w:r>
          </w:p>
        </w:tc>
        <w:tc>
          <w:tcPr>
            <w:tcW w:w="5740" w:type="dxa"/>
            <w:vAlign w:val="bottom"/>
          </w:tcPr>
          <w:p>
            <w:pPr>
              <w:ind w:left="2580"/>
              <w:spacing w:after="0"/>
              <w:rPr>
                <w:sz w:val="20"/>
                <w:szCs w:val="20"/>
                <w:color w:val="auto"/>
              </w:rPr>
            </w:pPr>
            <w:r>
              <w:rPr>
                <w:rFonts w:ascii="Arial" w:cs="Arial" w:eastAsia="Arial" w:hAnsi="Arial"/>
                <w:sz w:val="18"/>
                <w:szCs w:val="18"/>
                <w:color w:val="auto"/>
              </w:rPr>
              <w:t>Singapore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Technologies India Private Limited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India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Technologies Malaysia Sdn. Bhd.</w:t>
            </w:r>
          </w:p>
        </w:tc>
        <w:tc>
          <w:tcPr>
            <w:tcW w:w="5740" w:type="dxa"/>
            <w:vAlign w:val="bottom"/>
          </w:tcPr>
          <w:p>
            <w:pPr>
              <w:ind w:left="2580"/>
              <w:spacing w:after="0"/>
              <w:rPr>
                <w:sz w:val="20"/>
                <w:szCs w:val="20"/>
                <w:color w:val="auto"/>
              </w:rPr>
            </w:pPr>
            <w:r>
              <w:rPr>
                <w:rFonts w:ascii="Arial" w:cs="Arial" w:eastAsia="Arial" w:hAnsi="Arial"/>
                <w:sz w:val="18"/>
                <w:szCs w:val="18"/>
                <w:color w:val="auto"/>
              </w:rPr>
              <w:t>Malaysia</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HGST Technologies Santa Ana, Inc.</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California</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HGST, Inc.</w:t>
            </w:r>
          </w:p>
        </w:tc>
        <w:tc>
          <w:tcPr>
            <w:tcW w:w="57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HICAP Properties Corp.</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Philippines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Keen Personal Media, Inc.</w:t>
            </w:r>
          </w:p>
        </w:tc>
        <w:tc>
          <w:tcPr>
            <w:tcW w:w="574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M-Systems (Cayman) Limited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Cayman Islands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M-Systems B.V.</w:t>
            </w:r>
          </w:p>
        </w:tc>
        <w:tc>
          <w:tcPr>
            <w:tcW w:w="5740" w:type="dxa"/>
            <w:vAlign w:val="bottom"/>
          </w:tcPr>
          <w:p>
            <w:pPr>
              <w:ind w:left="2580"/>
              <w:spacing w:after="0"/>
              <w:rPr>
                <w:sz w:val="20"/>
                <w:szCs w:val="20"/>
                <w:color w:val="auto"/>
              </w:rPr>
            </w:pPr>
            <w:r>
              <w:rPr>
                <w:rFonts w:ascii="Arial" w:cs="Arial" w:eastAsia="Arial" w:hAnsi="Arial"/>
                <w:sz w:val="18"/>
                <w:szCs w:val="18"/>
                <w:color w:val="auto"/>
              </w:rPr>
              <w:t>Netherlands</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M-Systems Finance Inc.</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Cayman Islands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M-Systems Inc.</w:t>
            </w:r>
          </w:p>
        </w:tc>
        <w:tc>
          <w:tcPr>
            <w:tcW w:w="5740" w:type="dxa"/>
            <w:vAlign w:val="bottom"/>
          </w:tcPr>
          <w:p>
            <w:pPr>
              <w:ind w:left="2580"/>
              <w:spacing w:after="0"/>
              <w:rPr>
                <w:sz w:val="20"/>
                <w:szCs w:val="20"/>
                <w:color w:val="auto"/>
              </w:rPr>
            </w:pPr>
            <w:r>
              <w:rPr>
                <w:rFonts w:ascii="Arial" w:cs="Arial" w:eastAsia="Arial" w:hAnsi="Arial"/>
                <w:sz w:val="18"/>
                <w:szCs w:val="18"/>
                <w:color w:val="auto"/>
              </w:rPr>
              <w:t>New York</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P.P.S. Van Koppen Pensioen B.V.</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Netherlands</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Pacifica Insurance Corporation</w:t>
            </w:r>
          </w:p>
        </w:tc>
        <w:tc>
          <w:tcPr>
            <w:tcW w:w="5740" w:type="dxa"/>
            <w:vAlign w:val="bottom"/>
          </w:tcPr>
          <w:p>
            <w:pPr>
              <w:ind w:left="2580"/>
              <w:spacing w:after="0"/>
              <w:rPr>
                <w:sz w:val="20"/>
                <w:szCs w:val="20"/>
                <w:color w:val="auto"/>
              </w:rPr>
            </w:pPr>
            <w:r>
              <w:rPr>
                <w:rFonts w:ascii="Arial" w:cs="Arial" w:eastAsia="Arial" w:hAnsi="Arial"/>
                <w:sz w:val="18"/>
                <w:szCs w:val="18"/>
                <w:color w:val="auto"/>
              </w:rPr>
              <w:t>Hawaii</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Prestadora SD, S. de R.L. de C.V.</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Mexico</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Read-Rite Philippines, Inc.</w:t>
            </w:r>
          </w:p>
        </w:tc>
        <w:tc>
          <w:tcPr>
            <w:tcW w:w="5740" w:type="dxa"/>
            <w:vAlign w:val="bottom"/>
          </w:tcPr>
          <w:p>
            <w:pPr>
              <w:ind w:left="2580"/>
              <w:spacing w:after="0"/>
              <w:rPr>
                <w:sz w:val="20"/>
                <w:szCs w:val="20"/>
                <w:color w:val="auto"/>
              </w:rPr>
            </w:pPr>
            <w:r>
              <w:rPr>
                <w:rFonts w:ascii="Arial" w:cs="Arial" w:eastAsia="Arial" w:hAnsi="Arial"/>
                <w:sz w:val="18"/>
                <w:szCs w:val="18"/>
                <w:color w:val="auto"/>
              </w:rPr>
              <w:t>Philippines</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Sandbox Expansion LLC</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Delaware</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SanDisk (Cayman) Limited</w:t>
            </w:r>
          </w:p>
        </w:tc>
        <w:tc>
          <w:tcPr>
            <w:tcW w:w="5740" w:type="dxa"/>
            <w:vAlign w:val="bottom"/>
          </w:tcPr>
          <w:p>
            <w:pPr>
              <w:ind w:left="2580"/>
              <w:spacing w:after="0"/>
              <w:rPr>
                <w:sz w:val="20"/>
                <w:szCs w:val="20"/>
                <w:color w:val="auto"/>
              </w:rPr>
            </w:pPr>
            <w:r>
              <w:rPr>
                <w:rFonts w:ascii="Arial" w:cs="Arial" w:eastAsia="Arial" w:hAnsi="Arial"/>
                <w:sz w:val="18"/>
                <w:szCs w:val="18"/>
                <w:color w:val="auto"/>
              </w:rPr>
              <w:t>Cayman Islands</w:t>
            </w:r>
          </w:p>
        </w:tc>
      </w:tr>
      <w:tr>
        <w:trPr>
          <w:trHeight w:val="27"/>
        </w:trPr>
        <w:tc>
          <w:tcPr>
            <w:tcW w:w="566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(Ireland) Limited</w:t>
            </w:r>
          </w:p>
        </w:tc>
        <w:tc>
          <w:tcPr>
            <w:tcW w:w="574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Ireland</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SanDisk 3D IP Holdings Ltd</w:t>
            </w:r>
          </w:p>
        </w:tc>
        <w:tc>
          <w:tcPr>
            <w:tcW w:w="5740" w:type="dxa"/>
            <w:vAlign w:val="bottom"/>
          </w:tcPr>
          <w:p>
            <w:pPr>
              <w:ind w:left="2580"/>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1420"/>
          </w:cols>
          <w:pgMar w:left="240" w:top="121" w:right="239" w:bottom="1440" w:gutter="0" w:footer="0" w:header="0"/>
        </w:sectPr>
      </w:pPr>
    </w:p>
    <w:bookmarkStart w:id="153" w:name="page154"/>
    <w:bookmarkEnd w:id="153"/>
    <w:p>
      <w:pPr>
        <w:ind w:left="4220"/>
        <w:spacing w:after="0"/>
        <w:rPr>
          <w:sz w:val="20"/>
          <w:szCs w:val="20"/>
          <w:color w:val="auto"/>
        </w:rPr>
      </w:pPr>
      <w:r>
        <w:rPr>
          <w:rFonts w:ascii="Arial" w:cs="Arial" w:eastAsia="Arial" w:hAnsi="Arial"/>
          <w:sz w:val="18"/>
          <w:szCs w:val="18"/>
          <w:b w:val="1"/>
          <w:bCs w:val="1"/>
          <w:color w:val="auto"/>
        </w:rPr>
        <w:t>WESTERN DIGITAL COPORATION</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5320" w:type="dxa"/>
            <w:vAlign w:val="bottom"/>
          </w:tcPr>
          <w:p>
            <w:pPr>
              <w:ind w:left="216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Name of Entity</w:t>
            </w:r>
          </w:p>
        </w:tc>
        <w:tc>
          <w:tcPr>
            <w:tcW w:w="5320" w:type="dxa"/>
            <w:vAlign w:val="bottom"/>
          </w:tcPr>
          <w:p>
            <w:pPr>
              <w:ind w:left="216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60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3D LLC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B.V.</w:t>
            </w:r>
          </w:p>
        </w:tc>
        <w:tc>
          <w:tcPr>
            <w:tcW w:w="5320" w:type="dxa"/>
            <w:vAlign w:val="bottom"/>
          </w:tcPr>
          <w:p>
            <w:pPr>
              <w:ind w:left="2160"/>
              <w:spacing w:after="0"/>
              <w:rPr>
                <w:sz w:val="20"/>
                <w:szCs w:val="20"/>
                <w:color w:val="auto"/>
              </w:rPr>
            </w:pPr>
            <w:r>
              <w:rPr>
                <w:rFonts w:ascii="Arial" w:cs="Arial" w:eastAsia="Arial" w:hAnsi="Arial"/>
                <w:sz w:val="18"/>
                <w:szCs w:val="18"/>
                <w:color w:val="auto"/>
              </w:rPr>
              <w:t>Netherlands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Bermuda Limited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Bermuda</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Bermuda Unlimited</w:t>
            </w:r>
          </w:p>
        </w:tc>
        <w:tc>
          <w:tcPr>
            <w:tcW w:w="5320" w:type="dxa"/>
            <w:vAlign w:val="bottom"/>
          </w:tcPr>
          <w:p>
            <w:pPr>
              <w:ind w:left="2160"/>
              <w:spacing w:after="0"/>
              <w:rPr>
                <w:sz w:val="20"/>
                <w:szCs w:val="20"/>
                <w:color w:val="auto"/>
              </w:rPr>
            </w:pPr>
            <w:r>
              <w:rPr>
                <w:rFonts w:ascii="Arial" w:cs="Arial" w:eastAsia="Arial" w:hAnsi="Arial"/>
                <w:sz w:val="18"/>
                <w:szCs w:val="18"/>
                <w:color w:val="auto"/>
              </w:rPr>
              <w:t>Bermuda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BiCS IP Holdings Ltd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Cayman Islands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Brasil Participações Ltda.</w:t>
            </w:r>
          </w:p>
        </w:tc>
        <w:tc>
          <w:tcPr>
            <w:tcW w:w="5320" w:type="dxa"/>
            <w:vAlign w:val="bottom"/>
          </w:tcPr>
          <w:p>
            <w:pPr>
              <w:ind w:left="2160"/>
              <w:spacing w:after="0"/>
              <w:rPr>
                <w:sz w:val="20"/>
                <w:szCs w:val="20"/>
                <w:color w:val="auto"/>
              </w:rPr>
            </w:pPr>
            <w:r>
              <w:rPr>
                <w:rFonts w:ascii="Arial" w:cs="Arial" w:eastAsia="Arial" w:hAnsi="Arial"/>
                <w:sz w:val="18"/>
                <w:szCs w:val="18"/>
                <w:color w:val="auto"/>
              </w:rPr>
              <w:t>Brazil</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C.V.</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Netherlands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China Limited</w:t>
            </w:r>
          </w:p>
        </w:tc>
        <w:tc>
          <w:tcPr>
            <w:tcW w:w="5320" w:type="dxa"/>
            <w:vAlign w:val="bottom"/>
          </w:tcPr>
          <w:p>
            <w:pPr>
              <w:ind w:left="2160"/>
              <w:spacing w:after="0"/>
              <w:rPr>
                <w:sz w:val="20"/>
                <w:szCs w:val="20"/>
                <w:color w:val="auto"/>
              </w:rPr>
            </w:pPr>
            <w:r>
              <w:rPr>
                <w:rFonts w:ascii="Arial" w:cs="Arial" w:eastAsia="Arial" w:hAnsi="Arial"/>
                <w:sz w:val="18"/>
                <w:szCs w:val="18"/>
                <w:color w:val="auto"/>
              </w:rPr>
              <w:t>Ireland</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China LLC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LLC</w:t>
            </w:r>
          </w:p>
        </w:tc>
        <w:tc>
          <w:tcPr>
            <w:tcW w:w="5320" w:type="dxa"/>
            <w:vAlign w:val="bottom"/>
          </w:tcPr>
          <w:p>
            <w:pPr>
              <w:ind w:left="2160"/>
              <w:spacing w:after="0"/>
              <w:rPr>
                <w:sz w:val="20"/>
                <w:szCs w:val="20"/>
                <w:color w:val="auto"/>
              </w:rPr>
            </w:pPr>
            <w:r>
              <w:rPr>
                <w:rFonts w:ascii="Arial" w:cs="Arial" w:eastAsia="Arial" w:hAnsi="Arial"/>
                <w:sz w:val="18"/>
                <w:szCs w:val="18"/>
                <w:color w:val="auto"/>
              </w:rPr>
              <w:t>Delaware</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Enterprise Holdings, Inc.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Enterprise IP LLC</w:t>
            </w:r>
          </w:p>
        </w:tc>
        <w:tc>
          <w:tcPr>
            <w:tcW w:w="5320" w:type="dxa"/>
            <w:vAlign w:val="bottom"/>
          </w:tcPr>
          <w:p>
            <w:pPr>
              <w:ind w:left="2160"/>
              <w:spacing w:after="0"/>
              <w:rPr>
                <w:sz w:val="20"/>
                <w:szCs w:val="20"/>
                <w:color w:val="auto"/>
              </w:rPr>
            </w:pPr>
            <w:r>
              <w:rPr>
                <w:rFonts w:ascii="Arial" w:cs="Arial" w:eastAsia="Arial" w:hAnsi="Arial"/>
                <w:sz w:val="18"/>
                <w:szCs w:val="18"/>
                <w:color w:val="auto"/>
              </w:rPr>
              <w:t>Texas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Equipment Y.K.</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Japan</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Flash B.V.</w:t>
            </w:r>
          </w:p>
        </w:tc>
        <w:tc>
          <w:tcPr>
            <w:tcW w:w="5320" w:type="dxa"/>
            <w:vAlign w:val="bottom"/>
          </w:tcPr>
          <w:p>
            <w:pPr>
              <w:ind w:left="2160"/>
              <w:spacing w:after="0"/>
              <w:rPr>
                <w:sz w:val="20"/>
                <w:szCs w:val="20"/>
                <w:color w:val="auto"/>
              </w:rPr>
            </w:pPr>
            <w:r>
              <w:rPr>
                <w:rFonts w:ascii="Arial" w:cs="Arial" w:eastAsia="Arial" w:hAnsi="Arial"/>
                <w:sz w:val="18"/>
                <w:szCs w:val="18"/>
                <w:color w:val="auto"/>
              </w:rPr>
              <w:t>Netherlands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France SAS</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France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G.K.</w:t>
            </w:r>
          </w:p>
        </w:tc>
        <w:tc>
          <w:tcPr>
            <w:tcW w:w="5320" w:type="dxa"/>
            <w:vAlign w:val="bottom"/>
          </w:tcPr>
          <w:p>
            <w:pPr>
              <w:ind w:left="2160"/>
              <w:spacing w:after="0"/>
              <w:rPr>
                <w:sz w:val="20"/>
                <w:szCs w:val="20"/>
                <w:color w:val="auto"/>
              </w:rPr>
            </w:pPr>
            <w:r>
              <w:rPr>
                <w:rFonts w:ascii="Arial" w:cs="Arial" w:eastAsia="Arial" w:hAnsi="Arial"/>
                <w:sz w:val="18"/>
                <w:szCs w:val="18"/>
                <w:color w:val="auto"/>
              </w:rPr>
              <w:t>Japan</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GmBH</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Germany</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Holding B.V.</w:t>
            </w:r>
          </w:p>
        </w:tc>
        <w:tc>
          <w:tcPr>
            <w:tcW w:w="5320" w:type="dxa"/>
            <w:vAlign w:val="bottom"/>
          </w:tcPr>
          <w:p>
            <w:pPr>
              <w:ind w:left="2160"/>
              <w:spacing w:after="0"/>
              <w:rPr>
                <w:sz w:val="20"/>
                <w:szCs w:val="20"/>
                <w:color w:val="auto"/>
              </w:rPr>
            </w:pPr>
            <w:r>
              <w:rPr>
                <w:rFonts w:ascii="Arial" w:cs="Arial" w:eastAsia="Arial" w:hAnsi="Arial"/>
                <w:sz w:val="18"/>
                <w:szCs w:val="18"/>
                <w:color w:val="auto"/>
              </w:rPr>
              <w:t>Netherlands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Holdings LLC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Hong Kong Limited</w:t>
            </w:r>
          </w:p>
        </w:tc>
        <w:tc>
          <w:tcPr>
            <w:tcW w:w="5320" w:type="dxa"/>
            <w:vAlign w:val="bottom"/>
          </w:tcPr>
          <w:p>
            <w:pPr>
              <w:ind w:left="2160"/>
              <w:spacing w:after="0"/>
              <w:rPr>
                <w:sz w:val="20"/>
                <w:szCs w:val="20"/>
                <w:color w:val="auto"/>
              </w:rPr>
            </w:pPr>
            <w:r>
              <w:rPr>
                <w:rFonts w:ascii="Arial" w:cs="Arial" w:eastAsia="Arial" w:hAnsi="Arial"/>
                <w:sz w:val="18"/>
                <w:szCs w:val="18"/>
                <w:color w:val="auto"/>
              </w:rPr>
              <w:t>Hong Kong</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IL Ltd.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Israel</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India Device Design Centre Private Limited</w:t>
            </w:r>
          </w:p>
        </w:tc>
        <w:tc>
          <w:tcPr>
            <w:tcW w:w="5320" w:type="dxa"/>
            <w:vAlign w:val="bottom"/>
          </w:tcPr>
          <w:p>
            <w:pPr>
              <w:ind w:left="2160"/>
              <w:spacing w:after="0"/>
              <w:rPr>
                <w:sz w:val="20"/>
                <w:szCs w:val="20"/>
                <w:color w:val="auto"/>
              </w:rPr>
            </w:pPr>
            <w:r>
              <w:rPr>
                <w:rFonts w:ascii="Arial" w:cs="Arial" w:eastAsia="Arial" w:hAnsi="Arial"/>
                <w:sz w:val="18"/>
                <w:szCs w:val="18"/>
                <w:color w:val="auto"/>
              </w:rPr>
              <w:t>India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Information Technology (Shanghai) Co. Ltd.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China</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International Holdco B.V.</w:t>
            </w:r>
          </w:p>
        </w:tc>
        <w:tc>
          <w:tcPr>
            <w:tcW w:w="5320" w:type="dxa"/>
            <w:vAlign w:val="bottom"/>
          </w:tcPr>
          <w:p>
            <w:pPr>
              <w:ind w:left="2160"/>
              <w:spacing w:after="0"/>
              <w:rPr>
                <w:sz w:val="20"/>
                <w:szCs w:val="20"/>
                <w:color w:val="auto"/>
              </w:rPr>
            </w:pPr>
            <w:r>
              <w:rPr>
                <w:rFonts w:ascii="Arial" w:cs="Arial" w:eastAsia="Arial" w:hAnsi="Arial"/>
                <w:sz w:val="18"/>
                <w:szCs w:val="18"/>
                <w:color w:val="auto"/>
              </w:rPr>
              <w:t>Netherlands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International Limited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Ireland</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International Middle East FZE</w:t>
            </w:r>
          </w:p>
        </w:tc>
        <w:tc>
          <w:tcPr>
            <w:tcW w:w="5320" w:type="dxa"/>
            <w:vAlign w:val="bottom"/>
          </w:tcPr>
          <w:p>
            <w:pPr>
              <w:ind w:left="2160"/>
              <w:spacing w:after="0"/>
              <w:rPr>
                <w:sz w:val="20"/>
                <w:szCs w:val="20"/>
                <w:color w:val="auto"/>
              </w:rPr>
            </w:pPr>
            <w:r>
              <w:rPr>
                <w:rFonts w:ascii="Arial" w:cs="Arial" w:eastAsia="Arial" w:hAnsi="Arial"/>
                <w:sz w:val="18"/>
                <w:szCs w:val="18"/>
                <w:color w:val="auto"/>
              </w:rPr>
              <w:t>United Arab Emirates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Israel (Tefen) Ltd.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Israel</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Korea Limited</w:t>
            </w:r>
          </w:p>
        </w:tc>
        <w:tc>
          <w:tcPr>
            <w:tcW w:w="5320" w:type="dxa"/>
            <w:vAlign w:val="bottom"/>
          </w:tcPr>
          <w:p>
            <w:pPr>
              <w:ind w:left="2160"/>
              <w:spacing w:after="0"/>
              <w:rPr>
                <w:sz w:val="20"/>
                <w:szCs w:val="20"/>
                <w:color w:val="auto"/>
              </w:rPr>
            </w:pPr>
            <w:r>
              <w:rPr>
                <w:rFonts w:ascii="Arial" w:cs="Arial" w:eastAsia="Arial" w:hAnsi="Arial"/>
                <w:sz w:val="18"/>
                <w:szCs w:val="18"/>
                <w:color w:val="auto"/>
              </w:rPr>
              <w:t>Korea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Latin America Holdings LLC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Malaysia Sdn. Bhd.</w:t>
            </w:r>
          </w:p>
        </w:tc>
        <w:tc>
          <w:tcPr>
            <w:tcW w:w="5320" w:type="dxa"/>
            <w:vAlign w:val="bottom"/>
          </w:tcPr>
          <w:p>
            <w:pPr>
              <w:ind w:left="2160"/>
              <w:spacing w:after="0"/>
              <w:rPr>
                <w:sz w:val="20"/>
                <w:szCs w:val="20"/>
                <w:color w:val="auto"/>
              </w:rPr>
            </w:pPr>
            <w:r>
              <w:rPr>
                <w:rFonts w:ascii="Arial" w:cs="Arial" w:eastAsia="Arial" w:hAnsi="Arial"/>
                <w:sz w:val="18"/>
                <w:szCs w:val="18"/>
                <w:color w:val="auto"/>
              </w:rPr>
              <w:t>Malaysia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Manufacturing Americas, LLC</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Delaware</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Manufacturing Unlimited Company</w:t>
            </w:r>
          </w:p>
        </w:tc>
        <w:tc>
          <w:tcPr>
            <w:tcW w:w="5320" w:type="dxa"/>
            <w:vAlign w:val="bottom"/>
          </w:tcPr>
          <w:p>
            <w:pPr>
              <w:ind w:left="2160"/>
              <w:spacing w:after="0"/>
              <w:rPr>
                <w:sz w:val="20"/>
                <w:szCs w:val="20"/>
                <w:color w:val="auto"/>
              </w:rPr>
            </w:pPr>
            <w:r>
              <w:rPr>
                <w:rFonts w:ascii="Arial" w:cs="Arial" w:eastAsia="Arial" w:hAnsi="Arial"/>
                <w:sz w:val="18"/>
                <w:szCs w:val="18"/>
                <w:color w:val="auto"/>
              </w:rPr>
              <w:t>Ireland</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Operations Holdings Limited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Ireland</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Pazarlama Ve Ticaret Limited Sirketi</w:t>
            </w:r>
          </w:p>
        </w:tc>
        <w:tc>
          <w:tcPr>
            <w:tcW w:w="5320" w:type="dxa"/>
            <w:vAlign w:val="bottom"/>
          </w:tcPr>
          <w:p>
            <w:pPr>
              <w:ind w:left="2160"/>
              <w:spacing w:after="0"/>
              <w:rPr>
                <w:sz w:val="20"/>
                <w:szCs w:val="20"/>
                <w:color w:val="auto"/>
              </w:rPr>
            </w:pPr>
            <w:r>
              <w:rPr>
                <w:rFonts w:ascii="Arial" w:cs="Arial" w:eastAsia="Arial" w:hAnsi="Arial"/>
                <w:sz w:val="18"/>
                <w:szCs w:val="18"/>
                <w:color w:val="auto"/>
              </w:rPr>
              <w:t>Turkey</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Scotland, Limited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United Kingdom</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Semiconductor (Shanghai) Co. Ltd.</w:t>
            </w:r>
          </w:p>
        </w:tc>
        <w:tc>
          <w:tcPr>
            <w:tcW w:w="5320" w:type="dxa"/>
            <w:vAlign w:val="bottom"/>
          </w:tcPr>
          <w:p>
            <w:pPr>
              <w:ind w:left="2160"/>
              <w:spacing w:after="0"/>
              <w:rPr>
                <w:sz w:val="20"/>
                <w:szCs w:val="20"/>
                <w:color w:val="auto"/>
              </w:rPr>
            </w:pPr>
            <w:r>
              <w:rPr>
                <w:rFonts w:ascii="Arial" w:cs="Arial" w:eastAsia="Arial" w:hAnsi="Arial"/>
                <w:sz w:val="18"/>
                <w:szCs w:val="18"/>
                <w:color w:val="auto"/>
              </w:rPr>
              <w:t>China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Spain, S.L.U.</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Spain</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Storage Malaysia Sdn. Bhd.</w:t>
            </w:r>
          </w:p>
        </w:tc>
        <w:tc>
          <w:tcPr>
            <w:tcW w:w="5320" w:type="dxa"/>
            <w:vAlign w:val="bottom"/>
          </w:tcPr>
          <w:p>
            <w:pPr>
              <w:ind w:left="2160"/>
              <w:spacing w:after="0"/>
              <w:rPr>
                <w:sz w:val="20"/>
                <w:szCs w:val="20"/>
                <w:color w:val="auto"/>
              </w:rPr>
            </w:pPr>
            <w:r>
              <w:rPr>
                <w:rFonts w:ascii="Arial" w:cs="Arial" w:eastAsia="Arial" w:hAnsi="Arial"/>
                <w:sz w:val="18"/>
                <w:szCs w:val="18"/>
                <w:color w:val="auto"/>
              </w:rPr>
              <w:t>Malaysia</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Sweden AB</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Sweden</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Switzerland Sarl</w:t>
            </w:r>
          </w:p>
        </w:tc>
        <w:tc>
          <w:tcPr>
            <w:tcW w:w="5320" w:type="dxa"/>
            <w:vAlign w:val="bottom"/>
          </w:tcPr>
          <w:p>
            <w:pPr>
              <w:ind w:left="2160"/>
              <w:spacing w:after="0"/>
              <w:rPr>
                <w:sz w:val="20"/>
                <w:szCs w:val="20"/>
                <w:color w:val="auto"/>
              </w:rPr>
            </w:pPr>
            <w:r>
              <w:rPr>
                <w:rFonts w:ascii="Arial" w:cs="Arial" w:eastAsia="Arial" w:hAnsi="Arial"/>
                <w:sz w:val="18"/>
                <w:szCs w:val="18"/>
                <w:color w:val="auto"/>
              </w:rPr>
              <w:t>Switzerland</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Taiwan Limited</w:t>
            </w:r>
          </w:p>
        </w:tc>
        <w:tc>
          <w:tcPr>
            <w:tcW w:w="532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8"/>
                <w:szCs w:val="18"/>
                <w:color w:val="auto"/>
              </w:rPr>
              <w:t>Taiwan</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SanDisk Technologies LLC</w:t>
            </w:r>
          </w:p>
        </w:tc>
        <w:tc>
          <w:tcPr>
            <w:tcW w:w="5320" w:type="dxa"/>
            <w:vAlign w:val="bottom"/>
          </w:tcPr>
          <w:p>
            <w:pPr>
              <w:ind w:left="2160"/>
              <w:spacing w:after="0"/>
              <w:rPr>
                <w:sz w:val="20"/>
                <w:szCs w:val="20"/>
                <w:color w:val="auto"/>
              </w:rPr>
            </w:pPr>
            <w:r>
              <w:rPr>
                <w:rFonts w:ascii="Arial" w:cs="Arial" w:eastAsia="Arial" w:hAnsi="Arial"/>
                <w:sz w:val="18"/>
                <w:szCs w:val="18"/>
                <w:color w:val="auto"/>
              </w:rPr>
              <w:t>Texas</w:t>
            </w:r>
          </w:p>
        </w:tc>
      </w:tr>
      <w:tr>
        <w:trPr>
          <w:trHeight w:val="27"/>
        </w:trPr>
        <w:tc>
          <w:tcPr>
            <w:tcW w:w="6080" w:type="dxa"/>
            <w:vAlign w:val="bottom"/>
          </w:tcPr>
          <w:p>
            <w:pPr>
              <w:spacing w:after="0"/>
              <w:rPr>
                <w:sz w:val="2"/>
                <w:szCs w:val="2"/>
                <w:color w:val="auto"/>
              </w:rPr>
            </w:pPr>
          </w:p>
        </w:tc>
        <w:tc>
          <w:tcPr>
            <w:tcW w:w="532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SanDisk Trading (Shanghai) Co. Ltd.</w:t>
            </w:r>
          </w:p>
        </w:tc>
        <w:tc>
          <w:tcPr>
            <w:tcW w:w="53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China</w:t>
            </w:r>
          </w:p>
        </w:tc>
      </w:tr>
      <w:tr>
        <w:trPr>
          <w:trHeight w:val="27"/>
        </w:trPr>
        <w:tc>
          <w:tcPr>
            <w:tcW w:w="608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338" w:right="259" w:bottom="1440" w:gutter="0" w:footer="0" w:header="0"/>
        </w:sectPr>
      </w:pPr>
    </w:p>
    <w:bookmarkStart w:id="154" w:name="page155"/>
    <w:bookmarkEnd w:id="154"/>
    <w:p>
      <w:pPr>
        <w:ind w:left="4220"/>
        <w:spacing w:after="0"/>
        <w:rPr>
          <w:sz w:val="20"/>
          <w:szCs w:val="20"/>
          <w:color w:val="auto"/>
        </w:rPr>
      </w:pPr>
      <w:r>
        <w:rPr>
          <w:rFonts w:ascii="Arial" w:cs="Arial" w:eastAsia="Arial" w:hAnsi="Arial"/>
          <w:sz w:val="18"/>
          <w:szCs w:val="18"/>
          <w:b w:val="1"/>
          <w:bCs w:val="1"/>
          <w:color w:val="auto"/>
        </w:rPr>
        <w:t>WESTERN DIGITAL COPORATION</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4160" w:type="dxa"/>
            <w:vAlign w:val="bottom"/>
          </w:tcPr>
          <w:p>
            <w:pPr>
              <w:ind w:left="100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Name of Entity</w:t>
            </w:r>
          </w:p>
        </w:tc>
        <w:tc>
          <w:tcPr>
            <w:tcW w:w="4160" w:type="dxa"/>
            <w:vAlign w:val="bottom"/>
          </w:tcPr>
          <w:p>
            <w:pPr>
              <w:ind w:left="100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72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SanDisk Trading Holdings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Ireland</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SanDisk UK, Limited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United Kingdom</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SanDisk,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Japan</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SD International Holdings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Cayman Islands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Secure Content Storage Association, LLC</w:t>
            </w:r>
          </w:p>
        </w:tc>
        <w:tc>
          <w:tcPr>
            <w:tcW w:w="4160" w:type="dxa"/>
            <w:vAlign w:val="bottom"/>
          </w:tcPr>
          <w:p>
            <w:pPr>
              <w:ind w:left="1000"/>
              <w:spacing w:after="0"/>
              <w:rPr>
                <w:sz w:val="20"/>
                <w:szCs w:val="20"/>
                <w:color w:val="auto"/>
              </w:rPr>
            </w:pPr>
            <w:r>
              <w:rPr>
                <w:rFonts w:ascii="Arial" w:cs="Arial" w:eastAsia="Arial" w:hAnsi="Arial"/>
                <w:sz w:val="18"/>
                <w:szCs w:val="18"/>
                <w:color w:val="auto"/>
              </w:rPr>
              <w:t>Delaware</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Hailiang Storage Products Co.,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China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Skyera, LLC</w:t>
            </w:r>
          </w:p>
        </w:tc>
        <w:tc>
          <w:tcPr>
            <w:tcW w:w="4160" w:type="dxa"/>
            <w:vAlign w:val="bottom"/>
          </w:tcPr>
          <w:p>
            <w:pPr>
              <w:ind w:left="1000"/>
              <w:spacing w:after="0"/>
              <w:rPr>
                <w:sz w:val="20"/>
                <w:szCs w:val="20"/>
                <w:color w:val="auto"/>
              </w:rPr>
            </w:pPr>
            <w:r>
              <w:rPr>
                <w:rFonts w:ascii="Arial" w:cs="Arial" w:eastAsia="Arial" w:hAnsi="Arial"/>
                <w:sz w:val="18"/>
                <w:szCs w:val="18"/>
                <w:color w:val="auto"/>
              </w:rPr>
              <w:t>Delaware</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SMART Storage Systems GmbH</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Austria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STEC Bermuda, LP</w:t>
            </w:r>
          </w:p>
        </w:tc>
        <w:tc>
          <w:tcPr>
            <w:tcW w:w="4160" w:type="dxa"/>
            <w:vAlign w:val="bottom"/>
          </w:tcPr>
          <w:p>
            <w:pPr>
              <w:ind w:left="1000"/>
              <w:spacing w:after="0"/>
              <w:rPr>
                <w:sz w:val="20"/>
                <w:szCs w:val="20"/>
                <w:color w:val="auto"/>
              </w:rPr>
            </w:pPr>
            <w:r>
              <w:rPr>
                <w:rFonts w:ascii="Arial" w:cs="Arial" w:eastAsia="Arial" w:hAnsi="Arial"/>
                <w:sz w:val="18"/>
                <w:szCs w:val="18"/>
                <w:color w:val="auto"/>
              </w:rPr>
              <w:t>Bermuda</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Europe B.V.</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Netherlands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STEC Germany GmbH</w:t>
            </w:r>
          </w:p>
        </w:tc>
        <w:tc>
          <w:tcPr>
            <w:tcW w:w="4160" w:type="dxa"/>
            <w:vAlign w:val="bottom"/>
          </w:tcPr>
          <w:p>
            <w:pPr>
              <w:ind w:left="1000"/>
              <w:spacing w:after="0"/>
              <w:rPr>
                <w:sz w:val="20"/>
                <w:szCs w:val="20"/>
                <w:color w:val="auto"/>
              </w:rPr>
            </w:pPr>
            <w:r>
              <w:rPr>
                <w:rFonts w:ascii="Arial" w:cs="Arial" w:eastAsia="Arial" w:hAnsi="Arial"/>
                <w:sz w:val="18"/>
                <w:szCs w:val="18"/>
                <w:color w:val="auto"/>
              </w:rPr>
              <w:t>Germany</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Hong Kong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Hong Kong</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STEC International Holding, Inc.</w:t>
            </w:r>
          </w:p>
        </w:tc>
        <w:tc>
          <w:tcPr>
            <w:tcW w:w="4160" w:type="dxa"/>
            <w:vAlign w:val="bottom"/>
          </w:tcPr>
          <w:p>
            <w:pPr>
              <w:ind w:left="1000"/>
              <w:spacing w:after="0"/>
              <w:rPr>
                <w:sz w:val="20"/>
                <w:szCs w:val="20"/>
                <w:color w:val="auto"/>
              </w:rPr>
            </w:pPr>
            <w:r>
              <w:rPr>
                <w:rFonts w:ascii="Arial" w:cs="Arial" w:eastAsia="Arial" w:hAnsi="Arial"/>
                <w:sz w:val="18"/>
                <w:szCs w:val="18"/>
                <w:color w:val="auto"/>
              </w:rPr>
              <w:t>California</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STEC Italy SRL</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Italy</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STEC R&amp;D Ltd.</w:t>
            </w:r>
          </w:p>
        </w:tc>
        <w:tc>
          <w:tcPr>
            <w:tcW w:w="4160" w:type="dxa"/>
            <w:vAlign w:val="bottom"/>
          </w:tcPr>
          <w:p>
            <w:pPr>
              <w:ind w:left="1000"/>
              <w:spacing w:after="0"/>
              <w:rPr>
                <w:sz w:val="20"/>
                <w:szCs w:val="20"/>
                <w:color w:val="auto"/>
              </w:rPr>
            </w:pPr>
            <w:r>
              <w:rPr>
                <w:rFonts w:ascii="Arial" w:cs="Arial" w:eastAsia="Arial" w:hAnsi="Arial"/>
                <w:sz w:val="18"/>
                <w:szCs w:val="18"/>
                <w:color w:val="auto"/>
              </w:rPr>
              <w:t>Cayman Islands</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Suntech Realty, Inc.</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Philippines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Virident Systems Private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India</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Virident Systems, LLC</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Delaware</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Virident Systems International Holdings Ltd.</w:t>
            </w:r>
          </w:p>
        </w:tc>
        <w:tc>
          <w:tcPr>
            <w:tcW w:w="4160" w:type="dxa"/>
            <w:vAlign w:val="bottom"/>
          </w:tcPr>
          <w:p>
            <w:pPr>
              <w:ind w:left="1000"/>
              <w:spacing w:after="0"/>
              <w:rPr>
                <w:sz w:val="20"/>
                <w:szCs w:val="20"/>
                <w:color w:val="auto"/>
              </w:rPr>
            </w:pPr>
            <w:r>
              <w:rPr>
                <w:rFonts w:ascii="Arial" w:cs="Arial" w:eastAsia="Arial" w:hAnsi="Arial"/>
                <w:sz w:val="18"/>
                <w:szCs w:val="18"/>
                <w:color w:val="auto"/>
              </w:rPr>
              <w:t>Cayman Islands</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Viviti Technologies Pte.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Singapore</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WD Media (Malaysia) Sdn.</w:t>
            </w:r>
          </w:p>
        </w:tc>
        <w:tc>
          <w:tcPr>
            <w:tcW w:w="4160" w:type="dxa"/>
            <w:vAlign w:val="bottom"/>
          </w:tcPr>
          <w:p>
            <w:pPr>
              <w:ind w:left="1000"/>
              <w:spacing w:after="0"/>
              <w:rPr>
                <w:sz w:val="20"/>
                <w:szCs w:val="20"/>
                <w:color w:val="auto"/>
              </w:rPr>
            </w:pPr>
            <w:r>
              <w:rPr>
                <w:rFonts w:ascii="Arial" w:cs="Arial" w:eastAsia="Arial" w:hAnsi="Arial"/>
                <w:sz w:val="18"/>
                <w:szCs w:val="18"/>
                <w:color w:val="auto"/>
              </w:rPr>
              <w:t>Malaysia</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 Media (Singapore) Pte.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Singapore</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WD Media, LLC</w:t>
            </w:r>
          </w:p>
        </w:tc>
        <w:tc>
          <w:tcPr>
            <w:tcW w:w="4160" w:type="dxa"/>
            <w:vAlign w:val="bottom"/>
          </w:tcPr>
          <w:p>
            <w:pPr>
              <w:ind w:left="1000"/>
              <w:spacing w:after="0"/>
              <w:rPr>
                <w:sz w:val="20"/>
                <w:szCs w:val="20"/>
                <w:color w:val="auto"/>
              </w:rPr>
            </w:pPr>
            <w:r>
              <w:rPr>
                <w:rFonts w:ascii="Arial" w:cs="Arial" w:eastAsia="Arial" w:hAnsi="Arial"/>
                <w:sz w:val="18"/>
                <w:szCs w:val="18"/>
                <w:color w:val="auto"/>
              </w:rPr>
              <w:t>Delaware</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(Argentina) S.A.</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Argentina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(France) SARL</w:t>
            </w:r>
          </w:p>
        </w:tc>
        <w:tc>
          <w:tcPr>
            <w:tcW w:w="4160" w:type="dxa"/>
            <w:vAlign w:val="bottom"/>
          </w:tcPr>
          <w:p>
            <w:pPr>
              <w:ind w:left="1000"/>
              <w:spacing w:after="0"/>
              <w:rPr>
                <w:sz w:val="20"/>
                <w:szCs w:val="20"/>
                <w:color w:val="auto"/>
              </w:rPr>
            </w:pPr>
            <w:r>
              <w:rPr>
                <w:rFonts w:ascii="Arial" w:cs="Arial" w:eastAsia="Arial" w:hAnsi="Arial"/>
                <w:sz w:val="18"/>
                <w:szCs w:val="18"/>
                <w:color w:val="auto"/>
              </w:rPr>
              <w:t>France</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(Fremont), LLC</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Delaware</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(I.S.)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Ireland</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(Malaysia) Sdn. Bhd.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Malaysia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(S.E. Asia) Pte Ltd</w:t>
            </w:r>
          </w:p>
        </w:tc>
        <w:tc>
          <w:tcPr>
            <w:tcW w:w="4160" w:type="dxa"/>
            <w:vAlign w:val="bottom"/>
          </w:tcPr>
          <w:p>
            <w:pPr>
              <w:ind w:left="1000"/>
              <w:spacing w:after="0"/>
              <w:rPr>
                <w:sz w:val="20"/>
                <w:szCs w:val="20"/>
                <w:color w:val="auto"/>
              </w:rPr>
            </w:pPr>
            <w:r>
              <w:rPr>
                <w:rFonts w:ascii="Arial" w:cs="Arial" w:eastAsia="Arial" w:hAnsi="Arial"/>
                <w:sz w:val="18"/>
                <w:szCs w:val="18"/>
                <w:color w:val="auto"/>
              </w:rPr>
              <w:t>Singapore</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(Thailand) Company Limited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Thailand</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(UK)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Canada Corporation</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Ontario, Canada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Capital Global, Ltd.</w:t>
            </w:r>
          </w:p>
        </w:tc>
        <w:tc>
          <w:tcPr>
            <w:tcW w:w="4160" w:type="dxa"/>
            <w:vAlign w:val="bottom"/>
          </w:tcPr>
          <w:p>
            <w:pPr>
              <w:ind w:left="1000"/>
              <w:spacing w:after="0"/>
              <w:rPr>
                <w:sz w:val="20"/>
                <w:szCs w:val="20"/>
                <w:color w:val="auto"/>
              </w:rPr>
            </w:pPr>
            <w:r>
              <w:rPr>
                <w:rFonts w:ascii="Arial" w:cs="Arial" w:eastAsia="Arial" w:hAnsi="Arial"/>
                <w:sz w:val="18"/>
                <w:szCs w:val="18"/>
                <w:color w:val="auto"/>
              </w:rPr>
              <w:t>Cayman Islands</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Capital, LLC</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Delaware</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Deutschland GmbH</w:t>
            </w:r>
          </w:p>
        </w:tc>
        <w:tc>
          <w:tcPr>
            <w:tcW w:w="4160" w:type="dxa"/>
            <w:vAlign w:val="bottom"/>
          </w:tcPr>
          <w:p>
            <w:pPr>
              <w:ind w:left="1000"/>
              <w:spacing w:after="0"/>
              <w:rPr>
                <w:sz w:val="20"/>
                <w:szCs w:val="20"/>
                <w:color w:val="auto"/>
              </w:rPr>
            </w:pPr>
            <w:r>
              <w:rPr>
                <w:rFonts w:ascii="Arial" w:cs="Arial" w:eastAsia="Arial" w:hAnsi="Arial"/>
                <w:sz w:val="18"/>
                <w:szCs w:val="18"/>
                <w:color w:val="auto"/>
              </w:rPr>
              <w:t>Germany</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Do Brasil Comercio E Distribuicao De Produtos De Informatica Ltda.</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Brazil</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Hong Kong Limited</w:t>
            </w:r>
          </w:p>
        </w:tc>
        <w:tc>
          <w:tcPr>
            <w:tcW w:w="4160" w:type="dxa"/>
            <w:vAlign w:val="bottom"/>
          </w:tcPr>
          <w:p>
            <w:pPr>
              <w:ind w:left="1000"/>
              <w:spacing w:after="0"/>
              <w:rPr>
                <w:sz w:val="20"/>
                <w:szCs w:val="20"/>
                <w:color w:val="auto"/>
              </w:rPr>
            </w:pPr>
            <w:r>
              <w:rPr>
                <w:rFonts w:ascii="Arial" w:cs="Arial" w:eastAsia="Arial" w:hAnsi="Arial"/>
                <w:sz w:val="18"/>
                <w:szCs w:val="18"/>
                <w:color w:val="auto"/>
              </w:rPr>
              <w:t>Hong Kong</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Information Technology (Shanghai) Company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China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International Ltd.</w:t>
            </w:r>
          </w:p>
        </w:tc>
        <w:tc>
          <w:tcPr>
            <w:tcW w:w="4160" w:type="dxa"/>
            <w:vAlign w:val="bottom"/>
          </w:tcPr>
          <w:p>
            <w:pPr>
              <w:ind w:left="1000"/>
              <w:spacing w:after="0"/>
              <w:rPr>
                <w:sz w:val="20"/>
                <w:szCs w:val="20"/>
                <w:color w:val="auto"/>
              </w:rPr>
            </w:pPr>
            <w:r>
              <w:rPr>
                <w:rFonts w:ascii="Arial" w:cs="Arial" w:eastAsia="Arial" w:hAnsi="Arial"/>
                <w:sz w:val="18"/>
                <w:szCs w:val="18"/>
                <w:color w:val="auto"/>
              </w:rPr>
              <w:t>Cayman Islands</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Ireland,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Cayman Islands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Japan Ltd.</w:t>
            </w:r>
          </w:p>
        </w:tc>
        <w:tc>
          <w:tcPr>
            <w:tcW w:w="4160" w:type="dxa"/>
            <w:vAlign w:val="bottom"/>
          </w:tcPr>
          <w:p>
            <w:pPr>
              <w:ind w:left="1000"/>
              <w:spacing w:after="0"/>
              <w:rPr>
                <w:sz w:val="20"/>
                <w:szCs w:val="20"/>
                <w:color w:val="auto"/>
              </w:rPr>
            </w:pPr>
            <w:r>
              <w:rPr>
                <w:rFonts w:ascii="Arial" w:cs="Arial" w:eastAsia="Arial" w:hAnsi="Arial"/>
                <w:sz w:val="18"/>
                <w:szCs w:val="18"/>
                <w:color w:val="auto"/>
              </w:rPr>
              <w:t>Japan</w:t>
            </w:r>
          </w:p>
        </w:tc>
      </w:tr>
      <w:tr>
        <w:trPr>
          <w:trHeight w:val="27"/>
        </w:trPr>
        <w:tc>
          <w:tcPr>
            <w:tcW w:w="724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Korea, Ltd.</w:t>
            </w:r>
          </w:p>
        </w:tc>
        <w:tc>
          <w:tcPr>
            <w:tcW w:w="41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Republic of Korea</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Western Digital Latin America, Inc.</w:t>
            </w:r>
          </w:p>
        </w:tc>
        <w:tc>
          <w:tcPr>
            <w:tcW w:w="4160" w:type="dxa"/>
            <w:vAlign w:val="bottom"/>
          </w:tcPr>
          <w:p>
            <w:pPr>
              <w:ind w:left="10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00"/>
          </w:cols>
          <w:pgMar w:left="240" w:top="337" w:right="259" w:bottom="1440" w:gutter="0" w:footer="0" w:header="0"/>
        </w:sectPr>
      </w:pPr>
    </w:p>
    <w:bookmarkStart w:id="155" w:name="page156"/>
    <w:bookmarkEnd w:id="155"/>
    <w:p>
      <w:pPr>
        <w:ind w:left="4220"/>
        <w:spacing w:after="0"/>
        <w:rPr>
          <w:sz w:val="20"/>
          <w:szCs w:val="20"/>
          <w:color w:val="auto"/>
        </w:rPr>
      </w:pPr>
      <w:r>
        <w:rPr>
          <w:rFonts w:ascii="Arial" w:cs="Arial" w:eastAsia="Arial" w:hAnsi="Arial"/>
          <w:sz w:val="18"/>
          <w:szCs w:val="18"/>
          <w:b w:val="1"/>
          <w:bCs w:val="1"/>
          <w:color w:val="auto"/>
        </w:rPr>
        <w:t>WESTERN DIGITAL COPORATION</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6020" w:type="dxa"/>
            <w:vAlign w:val="bottom"/>
          </w:tcPr>
          <w:p>
            <w:pPr>
              <w:ind w:left="286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Name of Entity</w:t>
            </w:r>
          </w:p>
        </w:tc>
        <w:tc>
          <w:tcPr>
            <w:tcW w:w="6020" w:type="dxa"/>
            <w:vAlign w:val="bottom"/>
          </w:tcPr>
          <w:p>
            <w:pPr>
              <w:ind w:left="286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3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Digital Netherlands B.V.</w:t>
            </w:r>
          </w:p>
        </w:tc>
        <w:tc>
          <w:tcPr>
            <w:tcW w:w="6020" w:type="dxa"/>
            <w:vAlign w:val="bottom"/>
            <w:tcBorders>
              <w:bottom w:val="single" w:sz="8" w:color="CCEEFF"/>
            </w:tcBorders>
            <w:shd w:val="clear" w:color="auto" w:fill="CCEEFF"/>
          </w:tcPr>
          <w:p>
            <w:pPr>
              <w:ind w:left="2860"/>
              <w:spacing w:after="0"/>
              <w:rPr>
                <w:sz w:val="20"/>
                <w:szCs w:val="20"/>
                <w:color w:val="auto"/>
              </w:rPr>
            </w:pPr>
            <w:r>
              <w:rPr>
                <w:rFonts w:ascii="Arial" w:cs="Arial" w:eastAsia="Arial" w:hAnsi="Arial"/>
                <w:sz w:val="18"/>
                <w:szCs w:val="18"/>
                <w:color w:val="auto"/>
              </w:rPr>
              <w:t>The Netherlands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Western Digital Taiwan Co., Ltd.</w:t>
            </w:r>
          </w:p>
        </w:tc>
        <w:tc>
          <w:tcPr>
            <w:tcW w:w="6020" w:type="dxa"/>
            <w:vAlign w:val="bottom"/>
          </w:tcPr>
          <w:p>
            <w:pPr>
              <w:ind w:left="2860"/>
              <w:spacing w:after="0"/>
              <w:rPr>
                <w:sz w:val="20"/>
                <w:szCs w:val="20"/>
                <w:color w:val="auto"/>
              </w:rPr>
            </w:pPr>
            <w:r>
              <w:rPr>
                <w:rFonts w:ascii="Arial" w:cs="Arial" w:eastAsia="Arial" w:hAnsi="Arial"/>
                <w:sz w:val="18"/>
                <w:szCs w:val="18"/>
                <w:color w:val="auto"/>
              </w:rPr>
              <w:t>Taiwan</w:t>
            </w:r>
          </w:p>
        </w:tc>
      </w:tr>
      <w:tr>
        <w:trPr>
          <w:trHeight w:val="27"/>
        </w:trPr>
        <w:tc>
          <w:tcPr>
            <w:tcW w:w="538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Western Digital Technologies, Inc.</w:t>
            </w:r>
          </w:p>
        </w:tc>
        <w:tc>
          <w:tcPr>
            <w:tcW w:w="602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7"/>
        </w:trPr>
        <w:tc>
          <w:tcPr>
            <w:tcW w:w="538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337"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1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statements on Form S-8 (Nos. 333</w:t>
      </w:r>
      <w:r>
        <w:rPr>
          <w:rFonts w:ascii="MS PGothic" w:cs="MS PGothic" w:eastAsia="MS PGothic" w:hAnsi="MS PGothic"/>
          <w:sz w:val="18"/>
          <w:szCs w:val="18"/>
          <w:color w:val="auto"/>
        </w:rPr>
        <w:t>‑</w:t>
      </w:r>
      <w:r>
        <w:rPr>
          <w:rFonts w:ascii="Arial" w:cs="Arial" w:eastAsia="Arial" w:hAnsi="Arial"/>
          <w:sz w:val="18"/>
          <w:szCs w:val="18"/>
          <w:color w:val="auto"/>
        </w:rPr>
        <w:t>41423, 33-56128, 333-122475, 333-129813, 333-155661, 333-163133, 333-180286, 333-185194, 333-190290, 333-191216, 333-191910, 333-202646, 333-207842, 333-211420, and 33-60168) of Western Digital Corporation and subsidiaries of our reports dated August 28, 2017, with respect to the consolidated balance sheets of Western Digital Corporation and subsidiaries as of June 30, 2017 and July 1, 2016, and the related consolidated statements of operations, comprehensive income, stockholders’ equity, and cash flows, for each of the years in the three-year period ended June 30, 2017, the related financial statement schedule, and the effectiveness of internal control over financial reporting as of June 30, 2017, which reports appear in the June 30, 2017, Annual Report on Form 10-K of Western Digital Corporation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28,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ectPr>
          <w:pgSz w:w="11900" w:h="16838" w:orient="portrait"/>
          <w:cols w:equalWidth="0" w:num="1">
            <w:col w:w="11420"/>
          </w:cols>
          <w:pgMar w:left="240" w:top="57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2017</w:t>
      </w:r>
    </w:p>
    <w:p>
      <w:pPr>
        <w:sectPr>
          <w:pgSz w:w="11900" w:h="16838" w:orient="portrait"/>
          <w:cols w:equalWidth="0" w:num="1">
            <w:col w:w="11420"/>
          </w:cols>
          <w:pgMar w:left="24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2017</w:t>
      </w:r>
    </w:p>
    <w:p>
      <w:pPr>
        <w:sectPr>
          <w:pgSz w:w="11900" w:h="16838" w:orient="portrait"/>
          <w:cols w:equalWidth="0" w:num="1">
            <w:col w:w="11420"/>
          </w:cols>
          <w:pgMar w:left="240" w:top="581" w:right="239" w:bottom="1440" w:gutter="0" w:footer="0" w:header="0"/>
        </w:sectPr>
      </w:pPr>
    </w:p>
    <w:bookmarkStart w:id="159" w:name="page160"/>
    <w:bookmarkEnd w:id="159"/>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224" w:lineRule="exact"/>
        <w:tabs>
          <w:tab w:leader="none" w:pos="5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accompanying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period ended June 30, 2017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2017</w:t>
      </w:r>
    </w:p>
    <w:p>
      <w:pPr>
        <w:sectPr>
          <w:pgSz w:w="11900" w:h="16838" w:orient="portrait"/>
          <w:cols w:equalWidth="0" w:num="1">
            <w:col w:w="11420"/>
          </w:cols>
          <w:pgMar w:left="240" w:top="580" w:right="239" w:bottom="1440" w:gutter="0" w:footer="0" w:header="0"/>
        </w:sectPr>
      </w:pPr>
    </w:p>
    <w:bookmarkStart w:id="160" w:name="page161"/>
    <w:bookmarkEnd w:id="160"/>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840" w:firstLine="332"/>
        <w:spacing w:after="0" w:line="224" w:lineRule="exact"/>
        <w:tabs>
          <w:tab w:leader="none" w:pos="5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accompanying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period ended June 30, 2017 (the “Report”) fully complies with the requirements of Section 13(a) or Section 15(d), as applicable, of the Securities Exchange Act of 1934, as amended; and</w:t>
      </w:r>
    </w:p>
    <w:p>
      <w:pPr>
        <w:spacing w:after="0" w:line="66" w:lineRule="exact"/>
        <w:rPr>
          <w:rFonts w:ascii="Arial" w:cs="Arial" w:eastAsia="Arial" w:hAnsi="Arial"/>
          <w:sz w:val="17"/>
          <w:szCs w:val="17"/>
          <w:color w:val="auto"/>
        </w:rPr>
      </w:pPr>
    </w:p>
    <w:p>
      <w:pPr>
        <w:ind w:left="600" w:hanging="268"/>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2017</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Roman"/>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2019-12-29T04:48:52Z</dcterms:created>
  <dcterms:modified xsi:type="dcterms:W3CDTF">2019-12-29T04:48:52Z</dcterms:modified>
</cp:coreProperties>
</file>