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 Irving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WESTERN DIGITAL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5601 GREAT OAKS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WESTERN DIGITAL CORP</w:t>
              </w:r>
            </w:hyperlink>
            <w:r>
              <w:rPr/>
              <w:t xml:space="preserve"> [ </w:t>
            </w:r>
            <w:r>
              <w:rPr>
                <w:rFonts w:ascii="Times;serif" w:hAnsi="Times;serif"/>
                <w:color w:val="0000FF"/>
                <w:sz w:val="24"/>
                <w:shd w:fill="FFFFFF" w:val="clear"/>
              </w:rPr>
              <w:t>WDC</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9"/>
        <w:gridCol w:w="921"/>
        <w:gridCol w:w="790"/>
        <w:gridCol w:w="612"/>
        <w:gridCol w:w="346"/>
        <w:gridCol w:w="1019"/>
        <w:gridCol w:w="437"/>
        <w:gridCol w:w="603"/>
        <w:gridCol w:w="1142"/>
        <w:gridCol w:w="985"/>
        <w:gridCol w:w="12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266,647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Investment Co</w:t>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Investment Co</w:t>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 via Inv Co</w:t>
            </w:r>
          </w:p>
        </w:tc>
      </w:tr>
      <w:tr>
        <w:trPr/>
        <w:tc>
          <w:tcPr>
            <w:tcW w:w="21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209,000</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Personal Inv. Co.</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represent a transfer of 112,500 shares of Common Stock from the Reporting Person to a Bahamas investment company (the "Investment Company"), of which the Reporting Person and the Reporting Person's spouse (together, the "Joint Beneficial Owners") are the sole beneficial owners of the Investment Company. In connection with the transfer, the Investment Company recorded a shareholder loan liability to the Joint Beneficial Owners in an amount equal to the value of the transferred shares ("Loan"), which is interest-free, repayable on demand, and represents an intra-structure obligation between the Reporting Person and the Investment Company. No cash consideration was paid in connection with the transfer.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transactions represent a transfer of the rights of the Joint Beneficial Owners in the Investment Company to a revocable trust, acting via its trustee (the "Trust"), and the assignment of the rights to the Loan from the Joint Beneficial Owners to the Trust. Trust assets are held through the Investment Company and the shares of the Investment Company are held for the Trust pursuant to a Declaration of Trust. The transfer was made in connection with the Reporting Person's estate planning.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Sandra Garcia Attorney-in-Fact for Irving Tan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9518" TargetMode="External"/><Relationship Id="rId5" Type="http://schemas.openxmlformats.org/officeDocument/2006/relationships/hyperlink" Target="http://www.sec.gov/cgi-bin/browse-edgar?action=getcompany&amp;CIK=0000106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4361</Characters>
  <CharactersWithSpaces>5069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